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24000" cy="1170783"/>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1"/>
                    <a:stretch>
                      <a:fillRect/>
                    </a:stretch>
                  </pic:blipFill>
                  <pic:spPr>
                    <a:xfrm>
                      <a:off x="0" y="0"/>
                      <a:ext cx="1224000" cy="1170783"/>
                    </a:xfrm>
                    <a:prstGeom prst="rect"/>
                  </pic:spPr>
                </pic:pic>
              </a:graphicData>
            </a:graphic>
          </wp:inline>
        </w:drawing>
      </w:r>
    </w:p>
    <w:p>
      <w:pPr>
        <w:jc w:val="center"/>
      </w:pPr>
      <w:r>
        <w:rPr>
          <w:rFonts w:ascii="Aptos" w:hAnsi="Aptos"/>
          <w:smallCaps/>
          <w:color w:val="5A5A5A"/>
          <w:sz w:val="20"/>
        </w:rPr>
        <w:t>Executive Document 09</w:t>
      </w:r>
    </w:p>
    <w:p>
      <w:pPr>
        <w:pStyle w:val="DocTitle"/>
        <w:jc w:val="center"/>
      </w:pPr>
      <w:r>
        <w:t>Phased Implementation Roadmap</w:t>
      </w:r>
    </w:p>
    <w:p>
      <w:pPr>
        <w:jc w:val="center"/>
      </w:pPr>
      <w:r>
        <w:rPr>
          <w:rFonts w:ascii="Aptos" w:hAnsi="Aptos"/>
          <w:i/>
          <w:color w:val="5A5A5A"/>
          <w:sz w:val="22"/>
        </w:rPr>
        <w:t>Prudent route from discovery to pilot and scale</w:t>
      </w:r>
    </w:p>
    <w:tbl>
      <w:tblPr>
        <w:tblW w:type="auto" w:w="0"/>
        <w:jc w:val="center"/>
        <w:tblLayout w:type="fixed"/>
        <w:tblLook w:firstColumn="1" w:firstRow="1" w:lastColumn="0" w:lastRow="0" w:noHBand="0" w:noVBand="1" w:val="04A0"/>
      </w:tblPr>
      <w:tblGrid>
        <w:gridCol w:w="4847"/>
        <w:gridCol w:w="4847"/>
      </w:tblGrid>
      <w:tr>
        <w:tc>
          <w:tcPr>
            <w:tcW w:type="dxa" w:w="2268"/>
            <w:tcMar>
              <w:top w:w="90" w:type="dxa"/>
              <w:start w:w="120" w:type="dxa"/>
              <w:bottom w:w="90" w:type="dxa"/>
              <w:end w:w="120" w:type="dxa"/>
            </w:tcMar>
            <w:vAlign w:val="center"/>
            <w:shd w:fill="EAF0FB"/>
          </w:tcPr>
          <w:p>
            <w:r>
              <w:rPr>
                <w:b/>
              </w:rPr>
              <w:t>Series</w:t>
            </w:r>
          </w:p>
        </w:tc>
        <w:tc>
          <w:tcPr>
            <w:tcW w:type="dxa" w:w="5669"/>
            <w:tcMar>
              <w:top w:w="90" w:type="dxa"/>
              <w:start w:w="120" w:type="dxa"/>
              <w:bottom w:w="90" w:type="dxa"/>
              <w:end w:w="120" w:type="dxa"/>
            </w:tcMar>
            <w:vAlign w:val="center"/>
          </w:tcPr>
          <w:p>
            <w:r>
              <w:t>CRS-PDVS Executive Brief Set</w:t>
            </w:r>
          </w:p>
        </w:tc>
      </w:tr>
      <w:tr>
        <w:tc>
          <w:tcPr>
            <w:tcW w:type="dxa" w:w="2268"/>
            <w:tcMar>
              <w:top w:w="90" w:type="dxa"/>
              <w:start w:w="120" w:type="dxa"/>
              <w:bottom w:w="90" w:type="dxa"/>
              <w:end w:w="120" w:type="dxa"/>
            </w:tcMar>
            <w:vAlign w:val="center"/>
            <w:shd w:fill="EAF0FB"/>
          </w:tcPr>
          <w:p>
            <w:r>
              <w:rPr>
                <w:b/>
              </w:rPr>
              <w:t>Status</w:t>
            </w:r>
          </w:p>
        </w:tc>
        <w:tc>
          <w:tcPr>
            <w:tcW w:type="dxa" w:w="5669"/>
            <w:tcMar>
              <w:top w:w="90" w:type="dxa"/>
              <w:start w:w="120" w:type="dxa"/>
              <w:bottom w:w="90" w:type="dxa"/>
              <w:end w:w="120" w:type="dxa"/>
            </w:tcMar>
            <w:vAlign w:val="center"/>
          </w:tcPr>
          <w:p>
            <w:r>
              <w:t>Confidential Working Draft</w:t>
            </w:r>
          </w:p>
        </w:tc>
      </w:tr>
      <w:tr>
        <w:tc>
          <w:tcPr>
            <w:tcW w:type="dxa" w:w="2268"/>
            <w:tcMar>
              <w:top w:w="90" w:type="dxa"/>
              <w:start w:w="120" w:type="dxa"/>
              <w:bottom w:w="90" w:type="dxa"/>
              <w:end w:w="120" w:type="dxa"/>
            </w:tcMar>
            <w:vAlign w:val="center"/>
            <w:shd w:fill="EAF0FB"/>
          </w:tcPr>
          <w:p>
            <w:r>
              <w:rPr>
                <w:b/>
              </w:rPr>
              <w:t>Prepared for</w:t>
            </w:r>
          </w:p>
        </w:tc>
        <w:tc>
          <w:tcPr>
            <w:tcW w:type="dxa" w:w="5669"/>
            <w:tcMar>
              <w:top w:w="90" w:type="dxa"/>
              <w:start w:w="120" w:type="dxa"/>
              <w:bottom w:w="90" w:type="dxa"/>
              <w:end w:w="120" w:type="dxa"/>
            </w:tcMar>
            <w:vAlign w:val="center"/>
          </w:tcPr>
          <w:p>
            <w:r>
              <w:t>Institutional Review and Stakeholder Engagement</w:t>
            </w:r>
          </w:p>
        </w:tc>
      </w:tr>
    </w:tbl>
    <w:p/>
    <w:p>
      <w:r>
        <w:br w:type="page"/>
      </w:r>
    </w:p>
    <w:p>
      <w:pPr>
        <w:jc w:val="left"/>
      </w:pPr>
      <w:r>
        <w:rPr>
          <w:rFonts w:ascii="Aptos" w:hAnsi="Aptos"/>
          <w:b/>
          <w:color w:val="09217A"/>
          <w:sz w:val="18"/>
        </w:rPr>
        <w:t>CRS-PDVS Executive Brief Series</w:t>
      </w:r>
    </w:p>
    <w:p>
      <w:pPr>
        <w:pStyle w:val="Heading1Exec"/>
      </w:pPr>
      <w:r>
        <w:t>Phase 1 - Discovery and Alignment</w:t>
      </w:r>
    </w:p>
    <w:p>
      <w:pPr>
        <w:pStyle w:val="Body"/>
        <w:jc w:val="both"/>
      </w:pPr>
      <w:r>
        <w:t>The first phase should validate the current workflow, pensioner record sources, institutional roles, and practical support constraints. This stage should involve the Pension Board, relevant ministries, and technical stakeholders. Its purpose is to replace assumptions with verified process knowledge.</w:t>
      </w:r>
    </w:p>
    <w:p>
      <w:pPr>
        <w:pStyle w:val="Body"/>
        <w:jc w:val="both"/>
      </w:pPr>
      <w:r>
        <w:t>Because Cross River's pension-verification demand is distributed across all eighteen LGAs, the discovery phase must explicitly test geographic considerations, support-centre assumptions, and likely assisted-verification needs.</w:t>
      </w:r>
    </w:p>
    <w:p>
      <w:pPr>
        <w:pStyle w:val="Heading2Exec"/>
      </w:pPr>
      <w:r>
        <w:t>Cross River State Operating Context</w:t>
      </w:r>
    </w:p>
    <w:tbl>
      <w:tblPr>
        <w:tblW w:type="auto" w:w="0"/>
        <w:jc w:val="center"/>
        <w:tblLayout w:type="fixed"/>
        <w:tblLook w:firstColumn="1" w:firstRow="1" w:lastColumn="0" w:lastRow="0" w:noHBand="0" w:noVBand="1" w:val="04A0"/>
      </w:tblPr>
      <w:tblGrid>
        <w:gridCol w:w="2948"/>
        <w:gridCol w:w="6236"/>
      </w:tblGrid>
      <w:tr>
        <w:tc>
          <w:tcPr>
            <w:tcW w:type="dxa" w:w="4847"/>
            <w:shd w:fill="DCE6F8"/>
            <w:tcMar>
              <w:top w:w="80" w:type="dxa"/>
              <w:start w:w="100" w:type="dxa"/>
              <w:bottom w:w="80" w:type="dxa"/>
              <w:end w:w="100" w:type="dxa"/>
            </w:tcMar>
            <w:vAlign w:val="center"/>
          </w:tcPr>
          <w:p>
            <w:r>
              <w:rPr>
                <w:b/>
                <w:color w:val="09217A"/>
              </w:rPr>
              <w:t>Context</w:t>
            </w:r>
          </w:p>
        </w:tc>
        <w:tc>
          <w:tcPr>
            <w:tcW w:type="dxa" w:w="4847"/>
            <w:shd w:fill="DCE6F8"/>
            <w:tcMar>
              <w:top w:w="80" w:type="dxa"/>
              <w:start w:w="100" w:type="dxa"/>
              <w:bottom w:w="80" w:type="dxa"/>
              <w:end w:w="100" w:type="dxa"/>
            </w:tcMar>
            <w:vAlign w:val="center"/>
          </w:tcPr>
          <w:p>
            <w:r>
              <w:rPr>
                <w:b/>
                <w:color w:val="09217A"/>
              </w:rPr>
              <w:t>Current Reference Point</w:t>
            </w:r>
          </w:p>
        </w:tc>
      </w:tr>
      <w:tr>
        <w:tc>
          <w:tcPr>
            <w:tcW w:type="dxa" w:w="2948"/>
            <w:tcMar>
              <w:top w:w="80" w:type="dxa"/>
              <w:start w:w="100" w:type="dxa"/>
              <w:bottom w:w="80" w:type="dxa"/>
              <w:end w:w="100" w:type="dxa"/>
            </w:tcMar>
            <w:vAlign w:val="center"/>
          </w:tcPr>
          <w:p>
            <w:r>
              <w:t>State structure</w:t>
            </w:r>
          </w:p>
        </w:tc>
        <w:tc>
          <w:tcPr>
            <w:tcW w:type="dxa" w:w="6236"/>
            <w:tcMar>
              <w:top w:w="80" w:type="dxa"/>
              <w:start w:w="100" w:type="dxa"/>
              <w:bottom w:w="80" w:type="dxa"/>
              <w:end w:w="100" w:type="dxa"/>
            </w:tcMar>
            <w:vAlign w:val="center"/>
          </w:tcPr>
          <w:p>
            <w:r>
              <w:t>18 Local Government Areas spread across the southern coast, central belt and northern highlands.</w:t>
            </w:r>
          </w:p>
        </w:tc>
      </w:tr>
      <w:tr>
        <w:tc>
          <w:tcPr>
            <w:tcW w:type="dxa" w:w="2948"/>
            <w:tcMar>
              <w:top w:w="80" w:type="dxa"/>
              <w:start w:w="100" w:type="dxa"/>
              <w:bottom w:w="80" w:type="dxa"/>
              <w:end w:w="100" w:type="dxa"/>
            </w:tcMar>
            <w:vAlign w:val="center"/>
          </w:tcPr>
          <w:p>
            <w:r>
              <w:t>Population</w:t>
            </w:r>
          </w:p>
        </w:tc>
        <w:tc>
          <w:tcPr>
            <w:tcW w:type="dxa" w:w="6236"/>
            <w:tcMar>
              <w:top w:w="80" w:type="dxa"/>
              <w:start w:w="100" w:type="dxa"/>
              <w:bottom w:w="80" w:type="dxa"/>
              <w:end w:w="100" w:type="dxa"/>
            </w:tcMar>
            <w:vAlign w:val="center"/>
          </w:tcPr>
          <w:p>
            <w:r>
              <w:t>Projected 2024 population of about 5.1 million, with administrative demand concentrated across both urban and rural communities.</w:t>
            </w:r>
          </w:p>
        </w:tc>
      </w:tr>
      <w:tr>
        <w:tc>
          <w:tcPr>
            <w:tcW w:type="dxa" w:w="2948"/>
            <w:tcMar>
              <w:top w:w="80" w:type="dxa"/>
              <w:start w:w="100" w:type="dxa"/>
              <w:bottom w:w="80" w:type="dxa"/>
              <w:end w:w="100" w:type="dxa"/>
            </w:tcMar>
            <w:vAlign w:val="center"/>
          </w:tcPr>
          <w:p>
            <w:r>
              <w:t>Access reality</w:t>
            </w:r>
          </w:p>
        </w:tc>
        <w:tc>
          <w:tcPr>
            <w:tcW w:type="dxa" w:w="6236"/>
            <w:tcMar>
              <w:top w:w="80" w:type="dxa"/>
              <w:start w:w="100" w:type="dxa"/>
              <w:bottom w:w="80" w:type="dxa"/>
              <w:end w:w="100" w:type="dxa"/>
            </w:tcMar>
            <w:vAlign w:val="center"/>
          </w:tcPr>
          <w:p>
            <w:r>
              <w:t>Distances from Calabar vary widely - from 5 km to Calabar South to about 380 km to Obanliku - which affects ease of travel for elderly pensioners.</w:t>
            </w:r>
          </w:p>
        </w:tc>
      </w:tr>
      <w:tr>
        <w:tc>
          <w:tcPr>
            <w:tcW w:type="dxa" w:w="2948"/>
            <w:tcMar>
              <w:top w:w="80" w:type="dxa"/>
              <w:start w:w="100" w:type="dxa"/>
              <w:bottom w:w="80" w:type="dxa"/>
              <w:end w:w="100" w:type="dxa"/>
            </w:tcMar>
            <w:vAlign w:val="center"/>
          </w:tcPr>
          <w:p>
            <w:r>
              <w:t>Administrative signal</w:t>
            </w:r>
          </w:p>
        </w:tc>
        <w:tc>
          <w:tcPr>
            <w:tcW w:type="dxa" w:w="6236"/>
            <w:tcMar>
              <w:top w:w="80" w:type="dxa"/>
              <w:start w:w="100" w:type="dxa"/>
              <w:bottom w:w="80" w:type="dxa"/>
              <w:end w:w="100" w:type="dxa"/>
            </w:tcMar>
            <w:vAlign w:val="center"/>
          </w:tcPr>
          <w:p>
            <w:r>
              <w:t>The 2026 approved budget includes a line item for verification of local government pensioners, indicating that verification remains a live administrative function.</w:t>
            </w:r>
          </w:p>
        </w:tc>
      </w:tr>
    </w:tbl>
    <w:p>
      <w:pPr>
        <w:pStyle w:val="Heading1Exec"/>
      </w:pPr>
      <w:r>
        <w:t>Phase 2 - Prototype and Internal Review</w:t>
      </w:r>
    </w:p>
    <w:p>
      <w:pPr>
        <w:pStyle w:val="Body"/>
        <w:jc w:val="both"/>
      </w:pPr>
      <w:r>
        <w:t>The second phase should build a serious prototype covering pensioner flows, administrative dashboards, and assisted-verification pathways. It should be realistic enough to show how the platform would function, but controlled enough to remain safe for internal demonstration and review.</w:t>
      </w:r>
    </w:p>
    <w:p>
      <w:pPr>
        <w:pStyle w:val="Body"/>
        <w:jc w:val="both"/>
      </w:pPr>
      <w:r>
        <w:t>At this stage, the product should demonstrate workflow clarity, interface discipline, and security awareness.</w:t>
      </w:r>
    </w:p>
    <w:p>
      <w:pPr>
        <w:pStyle w:val="Heading2Exec"/>
      </w:pPr>
      <w:r>
        <w:t>Roadmap Summary</w:t>
      </w:r>
    </w:p>
    <w:tbl>
      <w:tblPr>
        <w:tblW w:type="auto" w:w="0"/>
        <w:jc w:val="center"/>
        <w:tblLayout w:type="fixed"/>
        <w:tblLook w:firstColumn="1" w:firstRow="1" w:lastColumn="0" w:lastRow="0" w:noHBand="0" w:noVBand="1" w:val="04A0"/>
      </w:tblPr>
      <w:tblGrid>
        <w:gridCol w:w="3232"/>
        <w:gridCol w:w="3232"/>
        <w:gridCol w:w="3232"/>
      </w:tblGrid>
      <w:tr>
        <w:tc>
          <w:tcPr>
            <w:tcW w:type="dxa" w:w="1814"/>
            <w:shd w:fill="DCE6F8"/>
            <w:vAlign w:val="center"/>
            <w:tcMar>
              <w:top w:w="80" w:type="dxa"/>
              <w:start w:w="100" w:type="dxa"/>
              <w:bottom w:w="80" w:type="dxa"/>
              <w:end w:w="100" w:type="dxa"/>
            </w:tcMar>
          </w:tcPr>
          <w:p>
            <w:r>
              <w:rPr>
                <w:b/>
                <w:color w:val="09217A"/>
              </w:rPr>
              <w:t>Phase</w:t>
            </w:r>
          </w:p>
        </w:tc>
        <w:tc>
          <w:tcPr>
            <w:tcW w:type="dxa" w:w="2835"/>
            <w:shd w:fill="DCE6F8"/>
            <w:vAlign w:val="center"/>
            <w:tcMar>
              <w:top w:w="80" w:type="dxa"/>
              <w:start w:w="100" w:type="dxa"/>
              <w:bottom w:w="80" w:type="dxa"/>
              <w:end w:w="100" w:type="dxa"/>
            </w:tcMar>
          </w:tcPr>
          <w:p>
            <w:r>
              <w:rPr>
                <w:b/>
                <w:color w:val="09217A"/>
              </w:rPr>
              <w:t>Primary Outcome</w:t>
            </w:r>
          </w:p>
        </w:tc>
        <w:tc>
          <w:tcPr>
            <w:tcW w:type="dxa" w:w="4535"/>
            <w:shd w:fill="DCE6F8"/>
            <w:vAlign w:val="center"/>
            <w:tcMar>
              <w:top w:w="80" w:type="dxa"/>
              <w:start w:w="100" w:type="dxa"/>
              <w:bottom w:w="80" w:type="dxa"/>
              <w:end w:w="100" w:type="dxa"/>
            </w:tcMar>
          </w:tcPr>
          <w:p>
            <w:r>
              <w:rPr>
                <w:b/>
                <w:color w:val="09217A"/>
              </w:rPr>
              <w:t>Immediate Deliverable</w:t>
            </w:r>
          </w:p>
        </w:tc>
      </w:tr>
      <w:tr>
        <w:tc>
          <w:tcPr>
            <w:tcW w:type="dxa" w:w="3232"/>
            <w:tcMar>
              <w:top w:w="80" w:type="dxa"/>
              <w:start w:w="100" w:type="dxa"/>
              <w:bottom w:w="80" w:type="dxa"/>
              <w:end w:w="100" w:type="dxa"/>
            </w:tcMar>
            <w:vAlign w:val="center"/>
          </w:tcPr>
          <w:p>
            <w:r>
              <w:t>1. Discovery</w:t>
            </w:r>
          </w:p>
        </w:tc>
        <w:tc>
          <w:tcPr>
            <w:tcW w:type="dxa" w:w="3232"/>
            <w:tcMar>
              <w:top w:w="80" w:type="dxa"/>
              <w:start w:w="100" w:type="dxa"/>
              <w:bottom w:w="80" w:type="dxa"/>
              <w:end w:w="100" w:type="dxa"/>
            </w:tcMar>
            <w:vAlign w:val="center"/>
          </w:tcPr>
          <w:p>
            <w:r>
              <w:t>Workflow validation</w:t>
            </w:r>
          </w:p>
        </w:tc>
        <w:tc>
          <w:tcPr>
            <w:tcW w:type="dxa" w:w="3232"/>
            <w:tcMar>
              <w:top w:w="80" w:type="dxa"/>
              <w:start w:w="100" w:type="dxa"/>
              <w:bottom w:w="80" w:type="dxa"/>
              <w:end w:w="100" w:type="dxa"/>
            </w:tcMar>
            <w:vAlign w:val="center"/>
          </w:tcPr>
          <w:p>
            <w:r>
              <w:t>Stakeholder-validated process map</w:t>
            </w:r>
          </w:p>
        </w:tc>
      </w:tr>
      <w:tr>
        <w:tc>
          <w:tcPr>
            <w:tcW w:type="dxa" w:w="3232"/>
            <w:tcMar>
              <w:top w:w="80" w:type="dxa"/>
              <w:start w:w="100" w:type="dxa"/>
              <w:bottom w:w="80" w:type="dxa"/>
              <w:end w:w="100" w:type="dxa"/>
            </w:tcMar>
            <w:vAlign w:val="center"/>
          </w:tcPr>
          <w:p>
            <w:r>
              <w:t>2. Prototype</w:t>
            </w:r>
          </w:p>
        </w:tc>
        <w:tc>
          <w:tcPr>
            <w:tcW w:type="dxa" w:w="3232"/>
            <w:tcMar>
              <w:top w:w="80" w:type="dxa"/>
              <w:start w:w="100" w:type="dxa"/>
              <w:bottom w:w="80" w:type="dxa"/>
              <w:end w:w="100" w:type="dxa"/>
            </w:tcMar>
            <w:vAlign w:val="center"/>
          </w:tcPr>
          <w:p>
            <w:r>
              <w:t>Interface and control proof</w:t>
            </w:r>
          </w:p>
        </w:tc>
        <w:tc>
          <w:tcPr>
            <w:tcW w:type="dxa" w:w="3232"/>
            <w:tcMar>
              <w:top w:w="80" w:type="dxa"/>
              <w:start w:w="100" w:type="dxa"/>
              <w:bottom w:w="80" w:type="dxa"/>
              <w:end w:w="100" w:type="dxa"/>
            </w:tcMar>
            <w:vAlign w:val="center"/>
          </w:tcPr>
          <w:p>
            <w:r>
              <w:t>Reviewable pensioner and admin prototype</w:t>
            </w:r>
          </w:p>
        </w:tc>
      </w:tr>
      <w:tr>
        <w:tc>
          <w:tcPr>
            <w:tcW w:type="dxa" w:w="3232"/>
            <w:tcMar>
              <w:top w:w="80" w:type="dxa"/>
              <w:start w:w="100" w:type="dxa"/>
              <w:bottom w:w="80" w:type="dxa"/>
              <w:end w:w="100" w:type="dxa"/>
            </w:tcMar>
            <w:vAlign w:val="center"/>
          </w:tcPr>
          <w:p>
            <w:r>
              <w:t>3. Pilot</w:t>
            </w:r>
          </w:p>
        </w:tc>
        <w:tc>
          <w:tcPr>
            <w:tcW w:type="dxa" w:w="3232"/>
            <w:tcMar>
              <w:top w:w="80" w:type="dxa"/>
              <w:start w:w="100" w:type="dxa"/>
              <w:bottom w:w="80" w:type="dxa"/>
              <w:end w:w="100" w:type="dxa"/>
            </w:tcMar>
            <w:vAlign w:val="center"/>
          </w:tcPr>
          <w:p>
            <w:r>
              <w:t>Controlled field test</w:t>
            </w:r>
          </w:p>
        </w:tc>
        <w:tc>
          <w:tcPr>
            <w:tcW w:type="dxa" w:w="3232"/>
            <w:tcMar>
              <w:top w:w="80" w:type="dxa"/>
              <w:start w:w="100" w:type="dxa"/>
              <w:bottom w:w="80" w:type="dxa"/>
              <w:end w:w="100" w:type="dxa"/>
            </w:tcMar>
            <w:vAlign w:val="center"/>
          </w:tcPr>
          <w:p>
            <w:r>
              <w:t>Pilot operations pack and support plan</w:t>
            </w:r>
          </w:p>
        </w:tc>
      </w:tr>
      <w:tr>
        <w:tc>
          <w:tcPr>
            <w:tcW w:type="dxa" w:w="3232"/>
            <w:tcMar>
              <w:top w:w="80" w:type="dxa"/>
              <w:start w:w="100" w:type="dxa"/>
              <w:bottom w:w="80" w:type="dxa"/>
              <w:end w:w="100" w:type="dxa"/>
            </w:tcMar>
            <w:vAlign w:val="center"/>
          </w:tcPr>
          <w:p>
            <w:r>
              <w:t>4. Scale decision</w:t>
            </w:r>
          </w:p>
        </w:tc>
        <w:tc>
          <w:tcPr>
            <w:tcW w:type="dxa" w:w="3232"/>
            <w:tcMar>
              <w:top w:w="80" w:type="dxa"/>
              <w:start w:w="100" w:type="dxa"/>
              <w:bottom w:w="80" w:type="dxa"/>
              <w:end w:w="100" w:type="dxa"/>
            </w:tcMar>
            <w:vAlign w:val="center"/>
          </w:tcPr>
          <w:p>
            <w:r>
              <w:t>Evidence-led expansion choice</w:t>
            </w:r>
          </w:p>
        </w:tc>
        <w:tc>
          <w:tcPr>
            <w:tcW w:type="dxa" w:w="3232"/>
            <w:tcMar>
              <w:top w:w="80" w:type="dxa"/>
              <w:start w:w="100" w:type="dxa"/>
              <w:bottom w:w="80" w:type="dxa"/>
              <w:end w:w="100" w:type="dxa"/>
            </w:tcMar>
            <w:vAlign w:val="center"/>
          </w:tcPr>
          <w:p>
            <w:r>
              <w:t>Pilot evaluation and rollout recommendation</w:t>
            </w:r>
          </w:p>
        </w:tc>
      </w:tr>
    </w:tbl>
    <w:p>
      <w:pPr>
        <w:pStyle w:val="Heading1Exec"/>
      </w:pPr>
      <w:r>
        <w:t>Phase 3 - Pilot Preparation and Limited Rollout</w:t>
      </w:r>
    </w:p>
    <w:p>
      <w:pPr>
        <w:pStyle w:val="Body"/>
        <w:jc w:val="both"/>
      </w:pPr>
      <w:r>
        <w:t>The third phase should define the pilot scope, sample LGAs, support arrangements, operating metrics, and review thresholds. A prudent pilot would start small, with a manageable pensioner population and explicit exception-handling procedures.</w:t>
      </w:r>
    </w:p>
    <w:p>
      <w:pPr>
        <w:pStyle w:val="Body"/>
        <w:jc w:val="both"/>
      </w:pPr>
      <w:r>
        <w:t>Pilot location choice should reflect Cross River's diversity. The State should test not only a simple urban case, but also at least one location that pressures the service model differently in terms of distance or support demand.</w:t>
      </w:r>
    </w:p>
    <w:p>
      <w:pPr>
        <w:pStyle w:val="Heading1Exec"/>
      </w:pPr>
      <w:r>
        <w:t>Phase 4 - Evaluation and Scale Decision</w:t>
      </w:r>
    </w:p>
    <w:p>
      <w:pPr>
        <w:pStyle w:val="Body"/>
        <w:jc w:val="both"/>
      </w:pPr>
      <w:r>
        <w:t>After pilot execution, the State should assess completion rates, failure reasons, support burden, usability feedback, administrative value, and governance gaps. Only then should wider deployment be considered.</w:t>
      </w:r>
    </w:p>
    <w:p>
      <w:pPr>
        <w:pStyle w:val="Body"/>
        <w:jc w:val="both"/>
      </w:pPr>
      <w:r>
        <w:t>The correct implementation principle is evidence before scale.</w:t>
      </w:r>
    </w:p>
    <w:p>
      <w:pPr>
        <w:pStyle w:val="Heading2Exec"/>
      </w:pPr>
      <w:r>
        <w:t>Reference Basis</w:t>
      </w:r>
    </w:p>
    <w:p>
      <w:pPr>
        <w:pStyle w:val="ListBullet"/>
        <w:spacing w:after="40"/>
      </w:pPr>
      <w:r>
        <w:t>CRS-PDVS Prototype Blueprint and Pilot Implementation Plan.</w:t>
      </w:r>
    </w:p>
    <w:p>
      <w:pPr>
        <w:pStyle w:val="ListBullet"/>
        <w:spacing w:after="40"/>
      </w:pPr>
      <w:r>
        <w:t>Cross River geographic and LGA context from official statistics.</w:t>
      </w:r>
    </w:p>
    <w:p>
      <w:pPr>
        <w:pStyle w:val="ListBullet"/>
        <w:spacing w:after="40"/>
      </w:pPr>
      <w:r>
        <w:t>PenCom operational guidance relevant to staged verification control.</w:t>
      </w:r>
    </w:p>
    <w:sectPr w:rsidR="00FC693F" w:rsidRPr="0006063C" w:rsidSect="00034616">
      <w:headerReference w:type="default" r:id="rId9"/>
      <w:footerReference w:type="default" r:id="rId10"/>
      <w:pgSz w:w="11906" w:h="16838"/>
      <w:pgMar w:top="1134" w:right="1020" w:bottom="96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Confidential Working Draft</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2000" cy="413217"/>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
                  <a:stretch>
                    <a:fillRect/>
                  </a:stretch>
                </pic:blipFill>
                <pic:spPr>
                  <a:xfrm>
                    <a:off x="0" y="0"/>
                    <a:ext cx="432000" cy="413217"/>
                  </a:xfrm>
                  <a:prstGeom prst="rect"/>
                </pic:spPr>
              </pic:pic>
            </a:graphicData>
          </a:graphic>
        </wp:inline>
      </w:drawing>
    </w:r>
    <w:r>
      <w:rPr>
        <w:rFonts w:ascii="Aptos" w:hAnsi="Aptos"/>
        <w:b/>
        <w:color w:val="5A5A5A"/>
        <w:sz w:val="17"/>
      </w:rPr>
      <w:t xml:space="preserve">  CRS-PDVS Executive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76" w:lineRule="auto"/>
    </w:pPr>
    <w:rPr>
      <w:rFonts w:ascii="Aptos" w:hAnsi="Aptos"/>
      <w:color w:val="282828"/>
      <w:sz w:val="22"/>
    </w:rPr>
  </w:style>
  <w:style w:type="paragraph" w:customStyle="1" w:styleId="DocTitle">
    <w:name w:val="Doc Title"/>
    <w:pPr>
      <w:spacing w:after="120"/>
    </w:pPr>
    <w:rPr>
      <w:rFonts w:ascii="Aptos" w:hAnsi="Aptos"/>
      <w:b/>
      <w:color w:val="09217A"/>
      <w:sz w:val="40"/>
    </w:rPr>
  </w:style>
  <w:style w:type="paragraph" w:customStyle="1" w:styleId="Heading1Exec">
    <w:name w:val="Heading 1 Exec"/>
    <w:pPr>
      <w:spacing w:after="120" w:before="200"/>
    </w:pPr>
    <w:rPr>
      <w:rFonts w:ascii="Aptos" w:hAnsi="Aptos"/>
      <w:b/>
      <w:color w:val="09217A"/>
      <w:sz w:val="28"/>
    </w:rPr>
  </w:style>
  <w:style w:type="paragraph" w:customStyle="1" w:styleId="Heading2Exec">
    <w:name w:val="Heading 2 Exec"/>
    <w:pPr>
      <w:spacing w:after="120" w:before="120"/>
    </w:pPr>
    <w:rPr>
      <w:rFonts w:ascii="Aptos" w:hAnsi="Aptos"/>
      <w:b/>
      <w:color w:val="282828"/>
      <w:sz w:val="23"/>
    </w:rPr>
  </w:style>
  <w:style w:type="paragraph" w:customStyle="1" w:styleId="SmallCaps">
    <w:name w:val="Small Caps"/>
    <w:pPr>
      <w:spacing w:after="120"/>
    </w:pPr>
    <w:rPr>
      <w:rFonts w:ascii="Aptos" w:hAnsi="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