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" cy="1170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17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smallCaps/>
          <w:color w:val="5A5A5A"/>
          <w:sz w:val="20"/>
        </w:rPr>
        <w:t>Executive Document 10</w:t>
      </w:r>
    </w:p>
    <w:p>
      <w:pPr>
        <w:pStyle w:val="DocTitle"/>
        <w:jc w:val="center"/>
      </w:pPr>
      <w:r>
        <w:t>Collaboration Path and Closing Note</w:t>
      </w:r>
    </w:p>
    <w:p>
      <w:pPr>
        <w:jc w:val="center"/>
      </w:pPr>
      <w:r>
        <w:rPr>
          <w:rFonts w:ascii="Aptos" w:hAnsi="Aptos"/>
          <w:i/>
          <w:color w:val="5A5A5A"/>
          <w:sz w:val="22"/>
        </w:rPr>
        <w:t>Institutional pathway for review, co-development, and decision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Series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CRS-PDVS Executive Brief Set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Confidential Working Draft</w:t>
            </w:r>
          </w:p>
        </w:tc>
      </w:tr>
      <w:tr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B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566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Institutional Review and Stakeholder Engagement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Aptos" w:hAnsi="Aptos"/>
          <w:b/>
          <w:color w:val="09217A"/>
          <w:sz w:val="18"/>
        </w:rPr>
        <w:t>CRS-PDVS Executive Brief Series</w:t>
      </w:r>
    </w:p>
    <w:p>
      <w:pPr>
        <w:pStyle w:val="Heading1Exec"/>
      </w:pPr>
      <w:r>
        <w:t>Proposed Collaboration Path</w:t>
      </w:r>
    </w:p>
    <w:p>
      <w:pPr>
        <w:pStyle w:val="Body"/>
        <w:jc w:val="both"/>
      </w:pPr>
      <w:r>
        <w:t>The most responsible path forward is institutional collaboration rather than unilateral solution delivery. The State should review the concept, validate the current operating workflow, nominate focal officers, and agree a controlled route for prototype review and pilot scoping.</w:t>
      </w:r>
    </w:p>
    <w:p>
      <w:pPr>
        <w:pStyle w:val="Body"/>
        <w:jc w:val="both"/>
      </w:pPr>
      <w:r>
        <w:t>This creates the right ownership model. CRS-PDVS should be shaped as a Cross River State service platform under proper administrative authority, not as an external product seeking adoption without process alignment.</w:t>
      </w:r>
    </w:p>
    <w:p>
      <w:pPr>
        <w:pStyle w:val="Heading2Exec"/>
      </w:pPr>
      <w:r>
        <w:t>Cross River State Operating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236"/>
      </w:tblGrid>
      <w:tr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Context</w:t>
            </w:r>
          </w:p>
        </w:tc>
        <w:tc>
          <w:tcPr>
            <w:tcW w:type="dxa" w:w="4847"/>
            <w:shd w:fill="DCE6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09217A"/>
              </w:rPr>
              <w:t>Current Reference Point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State structure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18 Local Government Areas spread across the southern coast, central belt and northern highlands.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Population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Projected 2024 population of about 5.1 million, with administrative demand concentrated across both urban and rural communities.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Access reality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Distances from Calabar vary widely - from 5 km to Calabar South to about 380 km to Obanliku - which affects ease of travel for elderly pensioners.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Administrative signal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The 2026 approved budget includes a line item for verification of local government pensioners, indicating that verification remains a live administrative function.</w:t>
            </w:r>
          </w:p>
        </w:tc>
      </w:tr>
    </w:tbl>
    <w:p>
      <w:pPr>
        <w:pStyle w:val="Heading1Exec"/>
      </w:pPr>
      <w:r>
        <w:t>Immediate Next Steps</w:t>
      </w:r>
    </w:p>
    <w:p>
      <w:pPr>
        <w:pStyle w:val="Body"/>
        <w:jc w:val="both"/>
      </w:pPr>
      <w:r>
        <w:t>The immediate next steps are straightforward: confirm the relevant review stakeholders; validate pension-workflow facts; review the prototype against administrative expectations; and determine whether the State wishes to proceed to pilot-definition work.</w:t>
      </w:r>
    </w:p>
    <w:p>
      <w:pPr>
        <w:pStyle w:val="Body"/>
        <w:jc w:val="both"/>
      </w:pPr>
      <w:r>
        <w:t>These actions are modest, practical, and reversible. They create room for evidence-led decision-making without forcing premature scale commitments.</w:t>
      </w:r>
    </w:p>
    <w:p>
      <w:pPr>
        <w:pStyle w:val="Heading1Exec"/>
      </w:pPr>
      <w:r>
        <w:t>Closing Position</w:t>
      </w:r>
    </w:p>
    <w:p>
      <w:pPr>
        <w:pStyle w:val="Body"/>
        <w:jc w:val="both"/>
      </w:pPr>
      <w:r>
        <w:t>Cross River State has a credible opportunity to improve pensioner verification in a way that is more humane for elderly citizens and more manageable for government officers. The case for action rests not on rhetoric, but on service reality: a large state, a distributed population, and a verification function that remains administratively important.</w:t>
      </w:r>
    </w:p>
    <w:p>
      <w:pPr>
        <w:pStyle w:val="Body"/>
        <w:jc w:val="both"/>
      </w:pPr>
      <w:r>
        <w:t>This executive set therefore recommends serious stakeholder consideration of CRS-PDVS as a phased state modernization initiative, beginning with discovery, prototype review, and pilot preparation.</w:t>
      </w:r>
    </w:p>
    <w:p>
      <w:pPr>
        <w:pStyle w:val="Heading2Exec"/>
      </w:pPr>
      <w:r>
        <w:t>Reference Basis</w:t>
      </w:r>
    </w:p>
    <w:p>
      <w:pPr>
        <w:pStyle w:val="ListBullet"/>
        <w:spacing w:after="40"/>
      </w:pPr>
      <w:r>
        <w:t>CRS-PDVS Executive Brief Master Plan.</w:t>
      </w:r>
    </w:p>
    <w:p>
      <w:pPr>
        <w:pStyle w:val="ListBullet"/>
        <w:spacing w:after="40"/>
      </w:pPr>
      <w:r>
        <w:t>Cross River State official statistical and budget references.</w:t>
      </w:r>
    </w:p>
    <w:p>
      <w:pPr>
        <w:pStyle w:val="ListBullet"/>
        <w:spacing w:after="40"/>
      </w:pPr>
      <w:r>
        <w:t>PenCom, NIMC, and comparative digital-life-certificate references.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64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>Confidential Working Draft</w:t>
    </w:r>
    <w:r>
      <w:t xml:space="preserve">   |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432000" cy="4132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rs_logo_white-087ea47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" cy="41321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5A5A5A"/>
        <w:sz w:val="17"/>
      </w:rPr>
      <w:t xml:space="preserve">  CRS-PDVS Executive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76" w:lineRule="auto"/>
    </w:pPr>
    <w:rPr>
      <w:rFonts w:ascii="Aptos" w:hAnsi="Aptos"/>
      <w:color w:val="282828"/>
      <w:sz w:val="22"/>
    </w:rPr>
  </w:style>
  <w:style w:type="paragraph" w:customStyle="1" w:styleId="DocTitle">
    <w:name w:val="Doc Title"/>
    <w:pPr>
      <w:spacing w:after="120"/>
    </w:pPr>
    <w:rPr>
      <w:rFonts w:ascii="Aptos" w:hAnsi="Aptos"/>
      <w:b/>
      <w:color w:val="09217A"/>
      <w:sz w:val="40"/>
    </w:rPr>
  </w:style>
  <w:style w:type="paragraph" w:customStyle="1" w:styleId="Heading1Exec">
    <w:name w:val="Heading 1 Exec"/>
    <w:pPr>
      <w:spacing w:after="120" w:before="200"/>
    </w:pPr>
    <w:rPr>
      <w:rFonts w:ascii="Aptos" w:hAnsi="Aptos"/>
      <w:b/>
      <w:color w:val="09217A"/>
      <w:sz w:val="28"/>
    </w:rPr>
  </w:style>
  <w:style w:type="paragraph" w:customStyle="1" w:styleId="Heading2Exec">
    <w:name w:val="Heading 2 Exec"/>
    <w:pPr>
      <w:spacing w:after="120" w:before="120"/>
    </w:pPr>
    <w:rPr>
      <w:rFonts w:ascii="Aptos" w:hAnsi="Aptos"/>
      <w:b/>
      <w:color w:val="282828"/>
      <w:sz w:val="23"/>
    </w:rPr>
  </w:style>
  <w:style w:type="paragraph" w:customStyle="1" w:styleId="SmallCaps">
    <w:name w:val="Small Caps"/>
    <w:pPr>
      <w:spacing w:after="120"/>
    </w:pPr>
    <w:rPr>
      <w:rFonts w:ascii="Aptos" w:hAnsi="Aptos"/>
      <w:b w:val="0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