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2245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s_logo_white-087ea47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245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0D2C8B"/>
          <w:sz w:val="48"/>
        </w:rPr>
        <w:t>CRS-PDVS Executive Brief Master Plan</w:t>
      </w:r>
    </w:p>
    <w:p>
      <w:pPr>
        <w:jc w:val="center"/>
      </w:pPr>
      <w:r>
        <w:rPr>
          <w:color w:val="666666"/>
          <w:sz w:val="24"/>
        </w:rPr>
        <w:t>Planning guide for the first government-facing executive brief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6912"/>
      </w:tblGrid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Status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Confidential Internal Working Document</w:t>
            </w:r>
          </w:p>
        </w:tc>
      </w:tr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Prepared for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Institutional review and controlled circulation</w:t>
            </w:r>
          </w:p>
        </w:tc>
      </w:tr>
      <w:tr>
        <w:tc>
          <w:tcPr>
            <w:tcW w:type="dxa" w:w="4968"/>
            <w:vAlign w:val="center"/>
            <w:shd w:fill="EAF0FF"/>
          </w:tcPr>
          <w:p>
            <w:pPr>
              <w:spacing w:before="40" w:after="40"/>
            </w:pPr>
            <w:r>
              <w:t>Prepared under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CRS-PDVS programme documentation set</w:t>
            </w:r>
          </w:p>
        </w:tc>
      </w:tr>
    </w:tbl>
    <w:p/>
    <w:p>
      <w:pPr>
        <w:jc w:val="center"/>
      </w:pPr>
      <w:r>
        <w:rPr>
          <w:i/>
          <w:color w:val="666666"/>
          <w:sz w:val="20"/>
        </w:rPr>
        <w:t>Cross River State • Blue-White Service Design • Pensioner-Centred Modernisation</w:t>
      </w:r>
    </w:p>
    <w:p>
      <w:r>
        <w:br w:type="page"/>
      </w:r>
    </w:p>
    <w:p>
      <w:pPr>
        <w:pStyle w:val="Heading1"/>
      </w:pPr>
      <w:r>
        <w:t>1. Document Purpose</w:t>
      </w:r>
    </w:p>
    <w:p>
      <w:pPr/>
      <w:r>
        <w:t>This planning document governs the development of the first CRS-PDVS executive brief. It fixes the purpose, audience, structure, tone, evidence rules, and drafting sequence for the final ten-page paper to be presented for institutional consideration.</w:t>
      </w:r>
    </w:p>
    <w:p>
      <w:pPr/>
      <w:r>
        <w:t>Its role is to prevent drift. The final brief must read as a disciplined public-service proposal: state-aware, pension-aware, legally conscious, and operationally realistic.</w:t>
      </w:r>
    </w:p>
    <w:p>
      <w:pPr>
        <w:pStyle w:val="Heading1"/>
      </w:pPr>
      <w:r>
        <w:t>2. Core Objective of the Executive Brief</w:t>
      </w:r>
    </w:p>
    <w:p>
      <w:pPr>
        <w:pStyle w:val="ListBullet"/>
      </w:pPr>
      <w:r>
        <w:t>Present a concise and credible proposal for digital pensioner verification in Cross River State.</w:t>
      </w:r>
    </w:p>
    <w:p>
      <w:pPr>
        <w:pStyle w:val="ListBullet"/>
      </w:pPr>
      <w:r>
        <w:t>Show a sound understanding of pensioner welfare, administrative workflow, and fraud-control realities.</w:t>
      </w:r>
    </w:p>
    <w:p>
      <w:pPr>
        <w:pStyle w:val="ListBullet"/>
      </w:pPr>
      <w:r>
        <w:t>Reflect the state context: 18 local government areas, mixed urban-rural access conditions, and long travel distances from Calabar to northern LGAs.</w:t>
      </w:r>
    </w:p>
    <w:p>
      <w:pPr>
        <w:pStyle w:val="ListBullet"/>
      </w:pPr>
      <w:r>
        <w:t>Translate the idea into a phased implementation pathway rather than an all-at-once system replacement.</w:t>
      </w:r>
    </w:p>
    <w:p>
      <w:pPr>
        <w:pStyle w:val="Heading1"/>
      </w:pPr>
      <w:r>
        <w:t>3. Audience Map</w:t>
      </w:r>
    </w:p>
    <w:p>
      <w:pPr/>
      <w:r>
        <w:t>The brief must work for multiple readers at once. It should satisfy the Pension Board, senior civil servants, finance officials, digital-governance stakeholders, legal reviewers, and trusted advisers who may screen the document before it reaches executive level.</w:t>
      </w:r>
    </w:p>
    <w:p>
      <w:pPr>
        <w:pStyle w:val="ListBullet"/>
      </w:pPr>
      <w:r>
        <w:t>Primary readers: Pension Board leadership, Head of Service, Ministry of Finance, ICT and digital-governance stakeholders.</w:t>
      </w:r>
    </w:p>
    <w:p>
      <w:pPr>
        <w:pStyle w:val="ListBullet"/>
      </w:pPr>
      <w:r>
        <w:t>Secondary readers: legal reviewers, compliance officers, technical assessors, senior advisers, and programme gatekeepers.</w:t>
      </w:r>
    </w:p>
    <w:p>
      <w:pPr>
        <w:pStyle w:val="Heading1"/>
      </w:pPr>
      <w:r>
        <w:t>4. What Smart Government Readers Will Test</w:t>
      </w:r>
    </w:p>
    <w:p>
      <w:pPr>
        <w:pStyle w:val="ListBullet"/>
      </w:pPr>
      <w:r>
        <w:t>Does the document understand the actual problem, or is it generic?</w:t>
      </w:r>
    </w:p>
    <w:p>
      <w:pPr>
        <w:pStyle w:val="ListBullet"/>
      </w:pPr>
      <w:r>
        <w:t>Does it respect existing administrative structures?</w:t>
      </w:r>
    </w:p>
    <w:p>
      <w:pPr>
        <w:pStyle w:val="ListBullet"/>
      </w:pPr>
      <w:r>
        <w:t>Is the tone sober and non-accusatory?</w:t>
      </w:r>
    </w:p>
    <w:p>
      <w:pPr>
        <w:pStyle w:val="ListBullet"/>
      </w:pPr>
      <w:r>
        <w:t>Does it show awareness of identity, biometric, and data-protection obligations?</w:t>
      </w:r>
    </w:p>
    <w:p>
      <w:pPr>
        <w:pStyle w:val="ListBullet"/>
      </w:pPr>
      <w:r>
        <w:t>Is the implementation pathway realistic and affordable at pilot stage?</w:t>
      </w:r>
    </w:p>
    <w:p>
      <w:pPr>
        <w:pStyle w:val="ListBullet"/>
      </w:pPr>
      <w:r>
        <w:t>Does it avoid overclaiming what software alone can fix?</w:t>
      </w:r>
    </w:p>
    <w:p>
      <w:pPr>
        <w:pStyle w:val="Heading1"/>
      </w:pPr>
      <w:r>
        <w:t>5. Tone and Writing Rules</w:t>
      </w:r>
    </w:p>
    <w:p>
      <w:pPr>
        <w:pStyle w:val="ListBullet"/>
      </w:pPr>
      <w:r>
        <w:t>Use formal institutional English with short-to-medium sentences.</w:t>
      </w:r>
    </w:p>
    <w:p>
      <w:pPr>
        <w:pStyle w:val="ListBullet"/>
      </w:pPr>
      <w:r>
        <w:t>Avoid startup language, hype, sentimentality, or activist framing.</w:t>
      </w:r>
    </w:p>
    <w:p>
      <w:pPr>
        <w:pStyle w:val="ListBullet"/>
      </w:pPr>
      <w:r>
        <w:t>Use specific Cross River and Nigerian context where relevant.</w:t>
      </w:r>
    </w:p>
    <w:p>
      <w:pPr>
        <w:pStyle w:val="ListBullet"/>
      </w:pPr>
      <w:r>
        <w:t>Keep the document calm, implementation-focused, and respectful to existing public institutions.</w:t>
      </w:r>
    </w:p>
    <w:p>
      <w:pPr>
        <w:pStyle w:val="Heading1"/>
      </w:pPr>
      <w:r>
        <w:t>6. Recommended 10-Page Structure</w:t>
      </w:r>
    </w:p>
    <w:p>
      <w:pPr/>
      <w:r>
        <w:t>The final brief should follow a deliberate sequence that establishes legitimacy before solution detail. The preferred order is fixed below and should not be altered without reason.</w:t>
      </w:r>
    </w:p>
    <w:p>
      <w:pPr>
        <w:pStyle w:val="Heading2"/>
      </w:pPr>
      <w:r>
        <w:t>Page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DCE6F8"/>
          </w:tcPr>
          <w:p>
            <w:r>
              <w:rPr>
                <w:b/>
              </w:rPr>
              <w:t>Reference point</w:t>
            </w:r>
          </w:p>
        </w:tc>
        <w:tc>
          <w:tcPr>
            <w:tcW w:type="dxa" w:w="4968"/>
            <w:shd w:fill="DCE6F8"/>
          </w:tcPr>
          <w:p>
            <w:r>
              <w:rPr>
                <w:b/>
              </w:rPr>
              <w:t>Implication for CRS-PDVS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Page 1: Cover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Signal seriousness immediately with title, subtitle, confidentiality marking, and institutional purpose.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Page 2: Executive Summary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Provide a one-page understanding for senior readers who may not read the whole brief.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Pages 3-4: Context and Opportunity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Explain the human burden of manual verification and why a digital service is timely.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Pages 5-7: Solution and Public Value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Describe the product, how it works, and why it matters for pensioners and administration.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Pages 8-10: Governance, Roadmap and Ask</w:t>
            </w:r>
          </w:p>
        </w:tc>
        <w:tc>
          <w:tcPr>
            <w:tcW w:type="dxa" w:w="4968"/>
            <w:vAlign w:val="center"/>
          </w:tcPr>
          <w:p>
            <w:pPr>
              <w:spacing w:before="40" w:after="40"/>
            </w:pPr>
            <w:r>
              <w:t>Address data protection, phased delivery, pilot logic, and a modest request for collaboration.</w:t>
            </w:r>
          </w:p>
        </w:tc>
      </w:tr>
    </w:tbl>
    <w:p/>
    <w:p>
      <w:pPr>
        <w:pStyle w:val="Heading1"/>
      </w:pPr>
      <w:r>
        <w:t>7. Evidence Strategy</w:t>
      </w:r>
    </w:p>
    <w:p>
      <w:pPr/>
      <w:r>
        <w:t>The executive brief should be evidence-guided rather than citation-heavy. It should rely first on official state publications and national regulatory materials, then use reputable contextual reporting only where needed to establish operational reality.</w:t>
      </w:r>
    </w:p>
    <w:p>
      <w:pPr>
        <w:pStyle w:val="ListBullet"/>
      </w:pPr>
      <w:r>
        <w:t>Cross River State official sources: demographics, LGA structure, budget documents, state public communications.</w:t>
      </w:r>
    </w:p>
    <w:p>
      <w:pPr>
        <w:pStyle w:val="ListBullet"/>
      </w:pPr>
      <w:r>
        <w:t>National sources: PenCom, NIMC, NDPA-era data governance material, and regulated identity-verification references.</w:t>
      </w:r>
    </w:p>
    <w:p>
      <w:pPr>
        <w:pStyle w:val="ListBullet"/>
      </w:pPr>
      <w:r>
        <w:t>Comparative sources: credible government-run digital life-certificate systems such as India’s Jeevan Pramaan.</w:t>
      </w:r>
    </w:p>
    <w:p>
      <w:pPr>
        <w:pStyle w:val="Heading1"/>
      </w:pPr>
      <w:r>
        <w:t>8. Cross River-Specific Framing Requirements</w:t>
      </w:r>
    </w:p>
    <w:p>
      <w:pPr/>
      <w:r>
        <w:t>The brief must demonstrate local understanding. Cross River is not a single-city operating environment. Administrative reach stretches from Calabar through central and northern LGAs, with significant variation in population density, travel burden, connectivity, and citizen support needs.</w:t>
      </w:r>
    </w:p>
    <w:p>
      <w:pPr>
        <w:pStyle w:val="ListBullet"/>
      </w:pPr>
      <w:r>
        <w:t>Acknowledge the 18-LGA structure and service-delivery spread.</w:t>
      </w:r>
    </w:p>
    <w:p>
      <w:pPr>
        <w:pStyle w:val="ListBullet"/>
      </w:pPr>
      <w:r>
        <w:t>Recognise Calabar as the administrative centre without writing as though all pensioners are near it.</w:t>
      </w:r>
    </w:p>
    <w:p>
      <w:pPr>
        <w:pStyle w:val="ListBullet"/>
      </w:pPr>
      <w:r>
        <w:t>Treat assisted verification as a necessity, not an optional add-on.</w:t>
      </w:r>
    </w:p>
    <w:p>
      <w:pPr>
        <w:pStyle w:val="ListBullet"/>
      </w:pPr>
      <w:r>
        <w:t>Use state-native but restrained language; the document should feel aligned with service delivery, not campaign messaging.</w:t>
      </w:r>
    </w:p>
    <w:p>
      <w:pPr>
        <w:pStyle w:val="Heading1"/>
      </w:pPr>
      <w:r>
        <w:t>9. Drafting Workflow</w:t>
      </w:r>
    </w:p>
    <w:p>
      <w:pPr>
        <w:pStyle w:val="ListBullet"/>
      </w:pPr>
      <w:r>
        <w:t>Lock title, subtitle, and purpose before drafting.</w:t>
      </w:r>
    </w:p>
    <w:p>
      <w:pPr>
        <w:pStyle w:val="ListBullet"/>
      </w:pPr>
      <w:r>
        <w:t>Assemble evidence notes under state context, national pension context, data governance, and comparative models.</w:t>
      </w:r>
    </w:p>
    <w:p>
      <w:pPr>
        <w:pStyle w:val="ListBullet"/>
      </w:pPr>
      <w:r>
        <w:t>Draft the body first; write the executive summary last.</w:t>
      </w:r>
    </w:p>
    <w:p>
      <w:pPr>
        <w:pStyle w:val="ListBullet"/>
      </w:pPr>
      <w:r>
        <w:t>Compress for page economy without sacrificing clarity.</w:t>
      </w:r>
    </w:p>
    <w:p>
      <w:pPr>
        <w:pStyle w:val="ListBullet"/>
      </w:pPr>
      <w:r>
        <w:t>Run a final institutional-readability pass before release.</w:t>
      </w:r>
    </w:p>
    <w:p>
      <w:pPr>
        <w:pStyle w:val="Heading1"/>
      </w:pPr>
      <w:r>
        <w:t>10. Expected Output Standard</w:t>
      </w:r>
    </w:p>
    <w:p>
      <w:pPr/>
      <w:r>
        <w:t>The finished executive brief should leave one impression: this proposal is thoughtful, disciplined, respectful, and worth a serious stakeholder conversation.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152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Cross River State Pensioners Digital Verification System (CRS-PDVS)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666"/>
        <w:sz w:val="16"/>
      </w:rPr>
      <w:t>Executive Brief Master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D2C8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35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35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D2C8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