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1224501"/>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9"/>
                    <a:stretch>
                      <a:fillRect/>
                    </a:stretch>
                  </pic:blipFill>
                  <pic:spPr>
                    <a:xfrm>
                      <a:off x="0" y="0"/>
                      <a:ext cx="1280160" cy="1224501"/>
                    </a:xfrm>
                    <a:prstGeom prst="rect"/>
                  </pic:spPr>
                </pic:pic>
              </a:graphicData>
            </a:graphic>
          </wp:inline>
        </w:drawing>
      </w:r>
    </w:p>
    <w:p>
      <w:pPr>
        <w:jc w:val="center"/>
      </w:pPr>
      <w:r>
        <w:rPr>
          <w:b/>
          <w:color w:val="0D2C8B"/>
          <w:sz w:val="48"/>
        </w:rPr>
        <w:t>CRS-PDVS Idea and Features</w:t>
      </w:r>
    </w:p>
    <w:p>
      <w:pPr>
        <w:jc w:val="center"/>
      </w:pPr>
      <w:r>
        <w:rPr>
          <w:color w:val="666666"/>
          <w:sz w:val="24"/>
        </w:rPr>
        <w:t>Internal product and engineering definition note</w:t>
      </w:r>
    </w:p>
    <w:tbl>
      <w:tblPr>
        <w:tblW w:type="auto" w:w="0"/>
        <w:jc w:val="center"/>
        <w:tblLook w:firstColumn="1" w:firstRow="1" w:lastColumn="0" w:lastRow="0" w:noHBand="0" w:noVBand="1" w:val="04A0"/>
      </w:tblPr>
      <w:tblGrid>
        <w:gridCol w:w="2160"/>
        <w:gridCol w:w="6912"/>
      </w:tblGrid>
      <w:tr>
        <w:tc>
          <w:tcPr>
            <w:tcW w:type="dxa" w:w="4968"/>
            <w:vAlign w:val="center"/>
            <w:shd w:fill="EAF0FF"/>
          </w:tcPr>
          <w:p>
            <w:pPr>
              <w:spacing w:before="40" w:after="40"/>
            </w:pPr>
            <w:r>
              <w:t>Status</w:t>
            </w:r>
          </w:p>
        </w:tc>
        <w:tc>
          <w:tcPr>
            <w:tcW w:type="dxa" w:w="4968"/>
            <w:vAlign w:val="center"/>
          </w:tcPr>
          <w:p>
            <w:pPr>
              <w:spacing w:before="40" w:after="40"/>
            </w:pPr>
            <w:r>
              <w:t>Confidential Internal Working Document</w:t>
            </w:r>
          </w:p>
        </w:tc>
      </w:tr>
      <w:tr>
        <w:tc>
          <w:tcPr>
            <w:tcW w:type="dxa" w:w="4968"/>
            <w:vAlign w:val="center"/>
            <w:shd w:fill="EAF0FF"/>
          </w:tcPr>
          <w:p>
            <w:pPr>
              <w:spacing w:before="40" w:after="40"/>
            </w:pPr>
            <w:r>
              <w:t>Prepared for</w:t>
            </w:r>
          </w:p>
        </w:tc>
        <w:tc>
          <w:tcPr>
            <w:tcW w:type="dxa" w:w="4968"/>
            <w:vAlign w:val="center"/>
          </w:tcPr>
          <w:p>
            <w:pPr>
              <w:spacing w:before="40" w:after="40"/>
            </w:pPr>
            <w:r>
              <w:t>Institutional review and controlled circulation</w:t>
            </w:r>
          </w:p>
        </w:tc>
      </w:tr>
      <w:tr>
        <w:tc>
          <w:tcPr>
            <w:tcW w:type="dxa" w:w="4968"/>
            <w:vAlign w:val="center"/>
            <w:shd w:fill="EAF0FF"/>
          </w:tcPr>
          <w:p>
            <w:pPr>
              <w:spacing w:before="40" w:after="40"/>
            </w:pPr>
            <w:r>
              <w:t>Prepared under</w:t>
            </w:r>
          </w:p>
        </w:tc>
        <w:tc>
          <w:tcPr>
            <w:tcW w:type="dxa" w:w="4968"/>
            <w:vAlign w:val="center"/>
          </w:tcPr>
          <w:p>
            <w:pPr>
              <w:spacing w:before="40" w:after="40"/>
            </w:pPr>
            <w:r>
              <w:t>CRS-PDVS programme documentation set</w:t>
            </w:r>
          </w:p>
        </w:tc>
      </w:tr>
    </w:tbl>
    <w:p/>
    <w:p>
      <w:pPr>
        <w:jc w:val="center"/>
      </w:pPr>
      <w:r>
        <w:rPr>
          <w:i/>
          <w:color w:val="666666"/>
          <w:sz w:val="20"/>
        </w:rPr>
        <w:t>Cross River State • Blue-White Service Design • Pensioner-Centred Modernisation</w:t>
      </w:r>
    </w:p>
    <w:p>
      <w:r>
        <w:br w:type="page"/>
      </w:r>
    </w:p>
    <w:p>
      <w:pPr>
        <w:pStyle w:val="Heading1"/>
      </w:pPr>
      <w:r>
        <w:t>1. Product Idea Summary</w:t>
      </w:r>
    </w:p>
    <w:p>
      <w:pPr/>
      <w:r>
        <w:t>CRS-PDVS is a digital proof-of-life and verification platform for pension administration in Cross River State. It is intended to reduce repeated physical verification burden on pensioners while improving visibility, auditability, and case management for the Pension Board.</w:t>
      </w:r>
    </w:p>
    <w:p>
      <w:pPr/>
      <w:r>
        <w:t>The service is conceived as a state service layer, not a personal product brand. Its public identity should sit naturally within Cross River State service delivery and support a dignified, low-friction user experience for elderly citizens.</w:t>
      </w:r>
    </w:p>
    <w:p>
      <w:pPr>
        <w:pStyle w:val="Heading1"/>
      </w:pPr>
      <w:r>
        <w:t>2. Problem the Product Solves</w:t>
      </w:r>
    </w:p>
    <w:p>
      <w:pPr>
        <w:pStyle w:val="ListBullet"/>
      </w:pPr>
      <w:r>
        <w:t>Elderly pensioners may face long travel, queues, weather exposure, and repeated dependence on intermediaries.</w:t>
      </w:r>
    </w:p>
    <w:p>
      <w:pPr>
        <w:pStyle w:val="ListBullet"/>
      </w:pPr>
      <w:r>
        <w:t>Verification exercises can be resource-heavy and event-based for government staff.</w:t>
      </w:r>
    </w:p>
    <w:p>
      <w:pPr>
        <w:pStyle w:val="ListBullet"/>
      </w:pPr>
      <w:r>
        <w:t>Manual reconciliation limits real-time status visibility and delays exception handling.</w:t>
      </w:r>
    </w:p>
    <w:p>
      <w:pPr>
        <w:pStyle w:val="ListBullet"/>
      </w:pPr>
      <w:r>
        <w:t>Fraud and record-quality concerns remain difficult to manage without better digital controls.</w:t>
      </w:r>
    </w:p>
    <w:p>
      <w:pPr>
        <w:pStyle w:val="Heading1"/>
      </w:pPr>
      <w:r>
        <w:t>3. Product Principles</w:t>
      </w:r>
    </w:p>
    <w:p>
      <w:pPr>
        <w:pStyle w:val="ListBullet"/>
      </w:pPr>
      <w:r>
        <w:t>Pensioner-first simplicity</w:t>
      </w:r>
    </w:p>
    <w:p>
      <w:pPr>
        <w:pStyle w:val="ListBullet"/>
      </w:pPr>
      <w:r>
        <w:t>Security by design</w:t>
      </w:r>
    </w:p>
    <w:p>
      <w:pPr>
        <w:pStyle w:val="ListBullet"/>
      </w:pPr>
      <w:r>
        <w:t>Assisted inclusion for users who need human support</w:t>
      </w:r>
    </w:p>
    <w:p>
      <w:pPr>
        <w:pStyle w:val="ListBullet"/>
      </w:pPr>
      <w:r>
        <w:t>Administrative clarity for verification officers and supervisors</w:t>
      </w:r>
    </w:p>
    <w:p>
      <w:pPr>
        <w:pStyle w:val="ListBullet"/>
      </w:pPr>
      <w:r>
        <w:t>Gradual integration with existing state workflows</w:t>
      </w:r>
    </w:p>
    <w:p>
      <w:pPr>
        <w:pStyle w:val="ListBullet"/>
      </w:pPr>
      <w:r>
        <w:t>Reliability under low-bandwidth and mixed-device conditions</w:t>
      </w:r>
    </w:p>
    <w:p>
      <w:pPr>
        <w:pStyle w:val="Heading1"/>
      </w:pPr>
      <w:r>
        <w:t>4. Core User Groups</w:t>
      </w:r>
    </w:p>
    <w:p>
      <w:pPr>
        <w:pStyle w:val="ListBullet"/>
      </w:pPr>
      <w:r>
        <w:t>Pensioners using smartphones or shared devices</w:t>
      </w:r>
    </w:p>
    <w:p>
      <w:pPr>
        <w:pStyle w:val="ListBullet"/>
      </w:pPr>
      <w:r>
        <w:t>Pensioners who require assisted verification at approved centres</w:t>
      </w:r>
    </w:p>
    <w:p>
      <w:pPr>
        <w:pStyle w:val="ListBullet"/>
      </w:pPr>
      <w:r>
        <w:t>Pension Board administrators and verification officers</w:t>
      </w:r>
    </w:p>
    <w:p>
      <w:pPr>
        <w:pStyle w:val="ListBullet"/>
      </w:pPr>
      <w:r>
        <w:t>Supervisors, auditors, ICT support staff, and approved field agents</w:t>
      </w:r>
    </w:p>
    <w:p>
      <w:pPr>
        <w:pStyle w:val="Heading1"/>
      </w:pPr>
      <w:r>
        <w:t>5. Pensioner Experience</w:t>
      </w:r>
    </w:p>
    <w:p>
      <w:pPr/>
      <w:r>
        <w:t>The pensioner side of the service must be calm, obvious, and forgiving. It should assume reduced digital confidence and varied physical capacity. Large type, high contrast, a short task path, and clear reassurance are essential.</w:t>
      </w:r>
    </w:p>
    <w:p>
      <w:pPr>
        <w:pStyle w:val="ListBullet"/>
      </w:pPr>
      <w:r>
        <w:t>First use: identity lookup, profile confirmation, secure access setup, camera permission, first verification session.</w:t>
      </w:r>
    </w:p>
    <w:p>
      <w:pPr>
        <w:pStyle w:val="ListBullet"/>
      </w:pPr>
      <w:r>
        <w:t>Repeat use: sign in, view current status, complete verification, receive confirmation reference.</w:t>
      </w:r>
    </w:p>
    <w:p>
      <w:pPr>
        <w:pStyle w:val="ListBullet"/>
      </w:pPr>
      <w:r>
        <w:t>Fallback: clear referral to an approved assistance centre or support pathway when self-service fails.</w:t>
      </w:r>
    </w:p>
    <w:p>
      <w:pPr>
        <w:pStyle w:val="Heading1"/>
      </w:pPr>
      <w:r>
        <w:t>6. Verification Method</w:t>
      </w:r>
    </w:p>
    <w:p>
      <w:pPr/>
      <w:r>
        <w:t>Verification should be layered. The system first confirms that the user matches an existing pension record, then controls access, then runs a face-capture and liveness step, and finally routes the outcome either to success, manual review, or assisted support.</w:t>
      </w:r>
    </w:p>
    <w:p>
      <w:pPr>
        <w:pStyle w:val="ListBullet"/>
      </w:pPr>
      <w:r>
        <w:t>Identity layer: Pension ID with approved secondary identifiers.</w:t>
      </w:r>
    </w:p>
    <w:p>
      <w:pPr>
        <w:pStyle w:val="ListBullet"/>
      </w:pPr>
      <w:r>
        <w:t>Access layer: OTP or other controlled access step.</w:t>
      </w:r>
    </w:p>
    <w:p>
      <w:pPr>
        <w:pStyle w:val="ListBullet"/>
      </w:pPr>
      <w:r>
        <w:t>Biometric layer: face capture with liveness prompts and quality checks.</w:t>
      </w:r>
    </w:p>
    <w:p>
      <w:pPr>
        <w:pStyle w:val="ListBullet"/>
      </w:pPr>
      <w:r>
        <w:t>Exception layer: route difficult cases to review rather than treating every failure as fraud.</w:t>
      </w:r>
    </w:p>
    <w:p>
      <w:pPr>
        <w:pStyle w:val="Heading1"/>
      </w:pPr>
      <w:r>
        <w:t>7. Administrative Portal</w:t>
      </w:r>
    </w:p>
    <w:p>
      <w:pPr/>
      <w:r>
        <w:t>The administrative portal is the operational heart of the system. It must feel like a working state service console rather than a dashboard for display.</w:t>
      </w:r>
    </w:p>
    <w:p>
      <w:pPr>
        <w:pStyle w:val="ListBullet"/>
      </w:pPr>
      <w:r>
        <w:t>Home dashboard with counts for verified, pending, failed, under review, assisted verification, and geographic spread.</w:t>
      </w:r>
    </w:p>
    <w:p>
      <w:pPr>
        <w:pStyle w:val="ListBullet"/>
      </w:pPr>
      <w:r>
        <w:t>Pensioner records module with search, profile view, history, and status notes.</w:t>
      </w:r>
    </w:p>
    <w:p>
      <w:pPr>
        <w:pStyle w:val="ListBullet"/>
      </w:pPr>
      <w:r>
        <w:t>Verification review queue with timestamps, reason tags, and action controls.</w:t>
      </w:r>
    </w:p>
    <w:p>
      <w:pPr>
        <w:pStyle w:val="ListBullet"/>
      </w:pPr>
      <w:r>
        <w:t>Reports and analytics for cycle completion, LGA performance, support burden, and anomaly signals.</w:t>
      </w:r>
    </w:p>
    <w:p>
      <w:pPr>
        <w:pStyle w:val="Heading1"/>
      </w:pPr>
      <w:r>
        <w:t>8. Architecture Direction</w:t>
      </w:r>
    </w:p>
    <w:p>
      <w:pPr/>
      <w:r>
        <w:t>The architecture should be modular, secure, and built for phased implementation. A practical stack is Next.js for the pensioner and admin surfaces, NestJS for the service layer, PostgreSQL as the primary system of record, and a controlled liveness-verification integration rather than a custom biometric model.</w:t>
      </w:r>
    </w:p>
    <w:p>
      <w:pPr>
        <w:pStyle w:val="Heading1"/>
      </w:pPr>
      <w:r>
        <w:t>9. Data and Backend Direction</w:t>
      </w:r>
    </w:p>
    <w:p>
      <w:pPr>
        <w:pStyle w:val="ListBullet"/>
      </w:pPr>
      <w:r>
        <w:t>Core entities: pensioners, identifiers, verification cycles, sessions, results, roles, audit logs, support cases, assisted verification records.</w:t>
      </w:r>
    </w:p>
    <w:p>
      <w:pPr>
        <w:pStyle w:val="ListBullet"/>
      </w:pPr>
      <w:r>
        <w:t>Backend modules: authentication, pensioner service, verification workflow, admin service, notification service, audit service, reporting service.</w:t>
      </w:r>
    </w:p>
    <w:p>
      <w:pPr>
        <w:pStyle w:val="ListBullet"/>
      </w:pPr>
      <w:r>
        <w:t>Data governance: store only what is necessary, classify sensitive data clearly, and define retention rules from the outset.</w:t>
      </w:r>
    </w:p>
    <w:p>
      <w:pPr>
        <w:pStyle w:val="Heading1"/>
      </w:pPr>
      <w:r>
        <w:t>10. Branding and State Presentation</w:t>
      </w:r>
    </w:p>
    <w:p>
      <w:pPr/>
      <w:r>
        <w:t>The product should feel recognisably Cross River State without becoming visually noisy or slogan-driven. Blue and white should carry most of the visual system. Official marks should be used sparingly and with breathing room.</w:t>
      </w:r>
    </w:p>
    <w:p>
      <w:pPr>
        <w:pStyle w:val="ListBullet"/>
      </w:pPr>
      <w:r>
        <w:t>“Think Cross River” may appear as a restrained service-value frame.</w:t>
      </w:r>
    </w:p>
    <w:p>
      <w:pPr>
        <w:pStyle w:val="ListBullet"/>
      </w:pPr>
      <w:r>
        <w:t>“Season of Sweetness” may be used only as a short ceremonial motion layer, never as persistent interface friction.</w:t>
      </w:r>
    </w:p>
    <w:p>
      <w:pPr>
        <w:pStyle w:val="ListBullet"/>
      </w:pPr>
      <w:r>
        <w:t>The service must read as a state platform first and a branded asset second.</w:t>
      </w:r>
    </w:p>
    <w:p>
      <w:pPr>
        <w:pStyle w:val="Heading1"/>
      </w:pPr>
      <w:r>
        <w:t>11. Success Standard</w:t>
      </w:r>
    </w:p>
    <w:p>
      <w:pPr/>
      <w:r>
        <w:t>CRS-PDVS becomes commendable only if it is clearly usable, secure in posture, administratively coherent, and realistic enough to support pilot-stage delivery.</w:t>
      </w:r>
    </w:p>
    <w:sectPr w:rsidR="00FC693F" w:rsidRPr="0006063C" w:rsidSect="00034616">
      <w:headerReference w:type="default" r:id="rId10"/>
      <w:footerReference w:type="default" r:id="rId11"/>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Cross River State Pensioners Digital Verification System (CRS-PDVS)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Idea and Features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D2C8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35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35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D2C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