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245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s_logo_white-087ea47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24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D2C8B"/>
          <w:sz w:val="48"/>
        </w:rPr>
        <w:t>CRS-PDVS Evidence Pack</w:t>
      </w:r>
    </w:p>
    <w:p>
      <w:pPr>
        <w:jc w:val="center"/>
      </w:pPr>
      <w:r>
        <w:rPr>
          <w:color w:val="666666"/>
          <w:sz w:val="24"/>
        </w:rPr>
        <w:t>Research note with sourced context, policy anchors, and comparative references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912"/>
      </w:tblGrid>
      <w:tr>
        <w:tc>
          <w:tcPr>
            <w:tcW w:type="dxa" w:w="4968"/>
            <w:vAlign w:val="center"/>
            <w:shd w:fill="EAF0FF"/>
          </w:tcPr>
          <w:p>
            <w:pPr>
              <w:spacing w:before="40" w:after="40"/>
            </w:pPr>
            <w:r>
              <w:t>Status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Confidential Internal Working Document</w:t>
            </w:r>
          </w:p>
        </w:tc>
      </w:tr>
      <w:tr>
        <w:tc>
          <w:tcPr>
            <w:tcW w:type="dxa" w:w="4968"/>
            <w:vAlign w:val="center"/>
            <w:shd w:fill="EAF0FF"/>
          </w:tcPr>
          <w:p>
            <w:pPr>
              <w:spacing w:before="40" w:after="40"/>
            </w:pPr>
            <w:r>
              <w:t>Prepared for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Institutional review and controlled circulation</w:t>
            </w:r>
          </w:p>
        </w:tc>
      </w:tr>
      <w:tr>
        <w:tc>
          <w:tcPr>
            <w:tcW w:type="dxa" w:w="4968"/>
            <w:vAlign w:val="center"/>
            <w:shd w:fill="EAF0FF"/>
          </w:tcPr>
          <w:p>
            <w:pPr>
              <w:spacing w:before="40" w:after="40"/>
            </w:pPr>
            <w:r>
              <w:t>Prepared under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CRS-PDVS programme documentation set</w:t>
            </w:r>
          </w:p>
        </w:tc>
      </w:tr>
    </w:tbl>
    <w:p/>
    <w:p>
      <w:pPr>
        <w:jc w:val="center"/>
      </w:pPr>
      <w:r>
        <w:rPr>
          <w:i/>
          <w:color w:val="666666"/>
          <w:sz w:val="20"/>
        </w:rPr>
        <w:t>Cross River State • Blue-White Service Design • Pensioner-Centred Modernisation</w:t>
      </w:r>
    </w:p>
    <w:p>
      <w:r>
        <w:br w:type="page"/>
      </w:r>
    </w:p>
    <w:p>
      <w:pPr>
        <w:pStyle w:val="Heading1"/>
      </w:pPr>
      <w:r>
        <w:t>1. Purpose of the Evidence Pack</w:t>
      </w:r>
    </w:p>
    <w:p>
      <w:pPr/>
      <w:r>
        <w:t>This document compiles the factual anchors used across the CRS-PDVS documentation set. It separates confirmed context from design assumptions and provides a disciplined base for government-facing writing.</w:t>
      </w:r>
    </w:p>
    <w:p>
      <w:pPr>
        <w:pStyle w:val="Heading2"/>
      </w:pPr>
      <w:r>
        <w:t>Cross River Context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CE6F8"/>
          </w:tcPr>
          <w:p>
            <w:r>
              <w:rPr>
                <w:b/>
              </w:rPr>
              <w:t>Reference point</w:t>
            </w:r>
          </w:p>
        </w:tc>
        <w:tc>
          <w:tcPr>
            <w:tcW w:type="dxa" w:w="4968"/>
            <w:shd w:fill="DCE6F8"/>
          </w:tcPr>
          <w:p>
            <w:r>
              <w:rPr>
                <w:b/>
              </w:rPr>
              <w:t>Implication for CRS-PDVS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18 local government areas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Service delivery must work beyond Calabar; assisted verification and decentralised support are essential.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State population above 3.8 million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The solution must be designed for scale even if the pilot begins in a single LGA.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Long distances from Calabar to northern LGAs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Travel burden is a real factor in manual verification and justifies remote channels.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2026 approved budget references verification of local government pensioners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Verification is not hypothetical; it is a recognised administrative and fiscal activity.</w:t>
            </w:r>
          </w:p>
        </w:tc>
      </w:tr>
    </w:tbl>
    <w:p/>
    <w:p>
      <w:pPr>
        <w:pStyle w:val="Heading1"/>
      </w:pPr>
      <w:r>
        <w:t>2. Cross River-Specific Evidence</w:t>
      </w:r>
    </w:p>
    <w:p>
      <w:pPr>
        <w:pStyle w:val="ListBullet"/>
      </w:pPr>
      <w:r>
        <w:t>Official state publications present Cross River as a state of 18 LGAs with wide service-delivery spread and a projected population above 3.8 million.</w:t>
      </w:r>
    </w:p>
    <w:p>
      <w:pPr>
        <w:pStyle w:val="ListBullet"/>
      </w:pPr>
      <w:r>
        <w:t>The state budget environment recognises pensioner verification as an ongoing line of administrative activity.</w:t>
      </w:r>
    </w:p>
    <w:p>
      <w:pPr>
        <w:pStyle w:val="ListBullet"/>
      </w:pPr>
      <w:r>
        <w:t>Public reporting and state communications show that pension administration, vouchers, gratuities, and verification remain politically and operationally sensitive.</w:t>
      </w:r>
    </w:p>
    <w:p>
      <w:pPr>
        <w:pStyle w:val="Heading1"/>
      </w:pPr>
      <w:r>
        <w:t>3. National Pension and Identity Context</w:t>
      </w:r>
    </w:p>
    <w:p>
      <w:pPr>
        <w:pStyle w:val="ListBullet"/>
      </w:pPr>
      <w:r>
        <w:t>PenCom materials confirm that verification, enrolment, and recapture are established functions within Nigeria’s pension environment.</w:t>
      </w:r>
    </w:p>
    <w:p>
      <w:pPr>
        <w:pStyle w:val="ListBullet"/>
      </w:pPr>
      <w:r>
        <w:t>NIMC states that the NIN is used for verification and authentication against biometric records in the National Identity Database.</w:t>
      </w:r>
    </w:p>
    <w:p>
      <w:pPr>
        <w:pStyle w:val="ListBullet"/>
      </w:pPr>
      <w:r>
        <w:t>The Nigerian banking system uses BVN as a biometric-linked identity rail for secure verification and fraud reduction.</w:t>
      </w:r>
    </w:p>
    <w:p>
      <w:pPr>
        <w:pStyle w:val="Heading1"/>
      </w:pPr>
      <w:r>
        <w:t>4. Data Protection and Security Evidence</w:t>
      </w:r>
    </w:p>
    <w:p>
      <w:pPr/>
      <w:r>
        <w:t>Any service handling facial verification and liveness must be designed under Nigeria’s data-protection reality. Biometric information is sensitive personal data. Security controls such as encryption, access restriction, audit logging, and data minimisation are not optional.</w:t>
      </w:r>
    </w:p>
    <w:p>
      <w:pPr>
        <w:pStyle w:val="Heading1"/>
      </w:pPr>
      <w:r>
        <w:t>5. Comparative Public-Sector Systems</w:t>
      </w:r>
    </w:p>
    <w:p>
      <w:pPr>
        <w:pStyle w:val="ListBullet"/>
      </w:pPr>
      <w:r>
        <w:t>India’s Jeevan Pramaan demonstrates that digital life certificates for pensioners can operate at government scale when institutional acceptance, digital records, and assisted channels are all present.</w:t>
      </w:r>
    </w:p>
    <w:p>
      <w:pPr>
        <w:pStyle w:val="ListBullet"/>
      </w:pPr>
      <w:r>
        <w:t>South Africa’s welfare-verification materials reinforce that biometrics in benefits administration are typically used to protect payment integrity as well as convenience.</w:t>
      </w:r>
    </w:p>
    <w:p>
      <w:pPr>
        <w:pStyle w:val="Heading1"/>
      </w:pPr>
      <w:r>
        <w:t>6. Design Implications Drawn from the Evidence</w:t>
      </w:r>
    </w:p>
    <w:p>
      <w:pPr>
        <w:pStyle w:val="ListBullet"/>
      </w:pPr>
      <w:r>
        <w:t>CRS-PDVS should begin as a verification service layer, not a payroll-engine replacement.</w:t>
      </w:r>
    </w:p>
    <w:p>
      <w:pPr>
        <w:pStyle w:val="ListBullet"/>
      </w:pPr>
      <w:r>
        <w:t>A hybrid service model is mandatory: self-service plus assisted verification.</w:t>
      </w:r>
    </w:p>
    <w:p>
      <w:pPr>
        <w:pStyle w:val="ListBullet"/>
      </w:pPr>
      <w:r>
        <w:t>Identity integrations such as NIN and BVN should be presented as phased pathways, not assumed dependencies from day one.</w:t>
      </w:r>
    </w:p>
    <w:p>
      <w:pPr>
        <w:pStyle w:val="ListBullet"/>
      </w:pPr>
      <w:r>
        <w:t>Branding should remain institutional, restrained, and service-first.</w:t>
      </w:r>
    </w:p>
    <w:p>
      <w:pPr>
        <w:pStyle w:val="Heading1"/>
      </w:pPr>
      <w:r>
        <w:t>7. Cautions and Research Limits</w:t>
      </w:r>
    </w:p>
    <w:p>
      <w:pPr>
        <w:pStyle w:val="ListBullet"/>
      </w:pPr>
      <w:r>
        <w:t>Publicly available documents do not replace workflow discovery with the Pension Board and related offices.</w:t>
      </w:r>
    </w:p>
    <w:p>
      <w:pPr>
        <w:pStyle w:val="ListBullet"/>
      </w:pPr>
      <w:r>
        <w:t>Budget references show activity, not detailed implementation mechanics.</w:t>
      </w:r>
    </w:p>
    <w:p>
      <w:pPr>
        <w:pStyle w:val="ListBullet"/>
      </w:pPr>
      <w:r>
        <w:t>Comparative systems are reference points, not templates for direct transplantation.</w:t>
      </w:r>
    </w:p>
    <w:p>
      <w:pPr>
        <w:pStyle w:val="ListBullet"/>
      </w:pPr>
      <w:r>
        <w:t>The legal and operational basis for biometric retention, review, and exception handling will require stakeholder validation.</w:t>
      </w:r>
    </w:p>
    <w:p>
      <w:pPr>
        <w:pStyle w:val="Heading1"/>
      </w:pPr>
      <w:r>
        <w:t>8. Selected Reference Sources</w:t>
      </w:r>
    </w:p>
    <w:p>
      <w:pPr>
        <w:pStyle w:val="ListBullet"/>
      </w:pPr>
      <w:r>
        <w:t>Cross River State Government: state profile, official budget publications, Bureau of Statistics publications.</w:t>
      </w:r>
    </w:p>
    <w:p>
      <w:pPr>
        <w:pStyle w:val="ListBullet"/>
      </w:pPr>
      <w:r>
        <w:t>National Pension Commission (PenCom): verification and enrolment guidance.</w:t>
      </w:r>
    </w:p>
    <w:p>
      <w:pPr>
        <w:pStyle w:val="ListBullet"/>
      </w:pPr>
      <w:r>
        <w:t>National Identity Management Commission (NIMC): NIN verification and authentication references.</w:t>
      </w:r>
    </w:p>
    <w:p>
      <w:pPr>
        <w:pStyle w:val="ListBullet"/>
      </w:pPr>
      <w:r>
        <w:t>Comparative government system: Jeevan Pramaan digital life certificate platform.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Cross River State Pensioners Digital Verification System (CRS-PDVS)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D2C8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335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354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D2C8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