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1224501"/>
            <wp:docPr id="1" name="Picture 1"/>
            <wp:cNvGraphicFramePr>
              <a:graphicFrameLocks noChangeAspect="1"/>
            </wp:cNvGraphicFramePr>
            <a:graphic>
              <a:graphicData uri="http://schemas.openxmlformats.org/drawingml/2006/picture">
                <pic:pic>
                  <pic:nvPicPr>
                    <pic:cNvPr id="0" name="crs_logo_white-087ea47b.png"/>
                    <pic:cNvPicPr/>
                  </pic:nvPicPr>
                  <pic:blipFill>
                    <a:blip r:embed="rId9"/>
                    <a:stretch>
                      <a:fillRect/>
                    </a:stretch>
                  </pic:blipFill>
                  <pic:spPr>
                    <a:xfrm>
                      <a:off x="0" y="0"/>
                      <a:ext cx="1280160" cy="1224501"/>
                    </a:xfrm>
                    <a:prstGeom prst="rect"/>
                  </pic:spPr>
                </pic:pic>
              </a:graphicData>
            </a:graphic>
          </wp:inline>
        </w:drawing>
      </w:r>
    </w:p>
    <w:p>
      <w:pPr>
        <w:jc w:val="center"/>
      </w:pPr>
      <w:r>
        <w:rPr>
          <w:b/>
          <w:color w:val="0D2C8B"/>
          <w:sz w:val="48"/>
        </w:rPr>
        <w:t>CRS-PDVS Prototype Blueprint</w:t>
      </w:r>
    </w:p>
    <w:p>
      <w:pPr>
        <w:jc w:val="center"/>
      </w:pPr>
      <w:r>
        <w:rPr>
          <w:color w:val="666666"/>
          <w:sz w:val="24"/>
        </w:rPr>
        <w:t>Internal blueprint for a realistic, state-worthy prototype</w:t>
      </w:r>
    </w:p>
    <w:tbl>
      <w:tblPr>
        <w:tblW w:type="auto" w:w="0"/>
        <w:jc w:val="center"/>
        <w:tblLook w:firstColumn="1" w:firstRow="1" w:lastColumn="0" w:lastRow="0" w:noHBand="0" w:noVBand="1" w:val="04A0"/>
      </w:tblPr>
      <w:tblGrid>
        <w:gridCol w:w="2160"/>
        <w:gridCol w:w="6912"/>
      </w:tblGrid>
      <w:tr>
        <w:tc>
          <w:tcPr>
            <w:tcW w:type="dxa" w:w="4968"/>
            <w:vAlign w:val="center"/>
            <w:shd w:fill="EAF0FF"/>
          </w:tcPr>
          <w:p>
            <w:pPr>
              <w:spacing w:before="40" w:after="40"/>
            </w:pPr>
            <w:r>
              <w:t>Status</w:t>
            </w:r>
          </w:p>
        </w:tc>
        <w:tc>
          <w:tcPr>
            <w:tcW w:type="dxa" w:w="4968"/>
            <w:vAlign w:val="center"/>
          </w:tcPr>
          <w:p>
            <w:pPr>
              <w:spacing w:before="40" w:after="40"/>
            </w:pPr>
            <w:r>
              <w:t>Confidential Internal Working Document</w:t>
            </w:r>
          </w:p>
        </w:tc>
      </w:tr>
      <w:tr>
        <w:tc>
          <w:tcPr>
            <w:tcW w:type="dxa" w:w="4968"/>
            <w:vAlign w:val="center"/>
            <w:shd w:fill="EAF0FF"/>
          </w:tcPr>
          <w:p>
            <w:pPr>
              <w:spacing w:before="40" w:after="40"/>
            </w:pPr>
            <w:r>
              <w:t>Prepared for</w:t>
            </w:r>
          </w:p>
        </w:tc>
        <w:tc>
          <w:tcPr>
            <w:tcW w:type="dxa" w:w="4968"/>
            <w:vAlign w:val="center"/>
          </w:tcPr>
          <w:p>
            <w:pPr>
              <w:spacing w:before="40" w:after="40"/>
            </w:pPr>
            <w:r>
              <w:t>Institutional review and controlled circulation</w:t>
            </w:r>
          </w:p>
        </w:tc>
      </w:tr>
      <w:tr>
        <w:tc>
          <w:tcPr>
            <w:tcW w:type="dxa" w:w="4968"/>
            <w:vAlign w:val="center"/>
            <w:shd w:fill="EAF0FF"/>
          </w:tcPr>
          <w:p>
            <w:pPr>
              <w:spacing w:before="40" w:after="40"/>
            </w:pPr>
            <w:r>
              <w:t>Prepared under</w:t>
            </w:r>
          </w:p>
        </w:tc>
        <w:tc>
          <w:tcPr>
            <w:tcW w:type="dxa" w:w="4968"/>
            <w:vAlign w:val="center"/>
          </w:tcPr>
          <w:p>
            <w:pPr>
              <w:spacing w:before="40" w:after="40"/>
            </w:pPr>
            <w:r>
              <w:t>CRS-PDVS programme documentation set</w:t>
            </w:r>
          </w:p>
        </w:tc>
      </w:tr>
    </w:tbl>
    <w:p/>
    <w:p>
      <w:pPr>
        <w:jc w:val="center"/>
      </w:pPr>
      <w:r>
        <w:rPr>
          <w:i/>
          <w:color w:val="666666"/>
          <w:sz w:val="20"/>
        </w:rPr>
        <w:t>Cross River State • Blue-White Service Design • Pensioner-Centred Modernisation</w:t>
      </w:r>
    </w:p>
    <w:p>
      <w:r>
        <w:br w:type="page"/>
      </w:r>
    </w:p>
    <w:p>
      <w:pPr>
        <w:pStyle w:val="Heading1"/>
      </w:pPr>
      <w:r>
        <w:t>1. Prototype Mission</w:t>
      </w:r>
    </w:p>
    <w:p>
      <w:pPr/>
      <w:r>
        <w:t>The prototype exists to answer a practical question: can this team design and deliver a usable, secure, state-worthy pension verification product for Cross River State? The prototype must therefore feel operationally credible, not merely visually attractive.</w:t>
      </w:r>
    </w:p>
    <w:p>
      <w:pPr>
        <w:pStyle w:val="Heading1"/>
      </w:pPr>
      <w:r>
        <w:t>2. What the Prototype Must Prove</w:t>
      </w:r>
    </w:p>
    <w:p>
      <w:pPr>
        <w:pStyle w:val="ListBullet"/>
      </w:pPr>
      <w:r>
        <w:t>Product credibility: it should read as a public-service platform, not a startup landing page.</w:t>
      </w:r>
    </w:p>
    <w:p>
      <w:pPr>
        <w:pStyle w:val="ListBullet"/>
      </w:pPr>
      <w:r>
        <w:t>Pensioner usability: an elderly user must understand what to do and what happened.</w:t>
      </w:r>
    </w:p>
    <w:p>
      <w:pPr>
        <w:pStyle w:val="ListBullet"/>
      </w:pPr>
      <w:r>
        <w:t>Administrative seriousness: the Pension Board interface must look operational.</w:t>
      </w:r>
    </w:p>
    <w:p>
      <w:pPr>
        <w:pStyle w:val="ListBullet"/>
      </w:pPr>
      <w:r>
        <w:t>Security maturity: even in prototype form, access control and audit thinking must be visible.</w:t>
      </w:r>
    </w:p>
    <w:p>
      <w:pPr>
        <w:pStyle w:val="ListBullet"/>
      </w:pPr>
      <w:r>
        <w:t>Implementation readiness: the structure should imply a credible path to pilot delivery.</w:t>
      </w:r>
    </w:p>
    <w:p>
      <w:pPr>
        <w:pStyle w:val="Heading1"/>
      </w:pPr>
      <w:r>
        <w:t>3. Design Direction</w:t>
      </w:r>
    </w:p>
    <w:p>
      <w:pPr/>
      <w:r>
        <w:t>The visual system should take disciplined inspiration from Cross River State’s blue-white identity while removing clutter, visual noise, and weak hierarchy. It should feel calm, modern, readable, and official.</w:t>
      </w:r>
    </w:p>
    <w:p>
      <w:pPr>
        <w:pStyle w:val="ListBullet"/>
      </w:pPr>
      <w:r>
        <w:t>Controlled blue as primary accent and white as the main working surface.</w:t>
      </w:r>
    </w:p>
    <w:p>
      <w:pPr>
        <w:pStyle w:val="ListBullet"/>
      </w:pPr>
      <w:r>
        <w:t>Strong typography and spacing hierarchy.</w:t>
      </w:r>
    </w:p>
    <w:p>
      <w:pPr>
        <w:pStyle w:val="ListBullet"/>
      </w:pPr>
      <w:r>
        <w:t>Light motion for transitions, confirmations, and short ceremonial moments only.</w:t>
      </w:r>
    </w:p>
    <w:p>
      <w:pPr>
        <w:pStyle w:val="ListBullet"/>
      </w:pPr>
      <w:r>
        <w:t>No heavy slogan repetition inside task flows.</w:t>
      </w:r>
    </w:p>
    <w:p>
      <w:pPr>
        <w:pStyle w:val="Heading1"/>
      </w:pPr>
      <w:r>
        <w:t>4. Branding Rules for the Prototype</w:t>
      </w:r>
    </w:p>
    <w:p>
      <w:pPr>
        <w:pStyle w:val="ListBullet"/>
      </w:pPr>
      <w:r>
        <w:t>Use the state logo primarily on the landing and sign-in surfaces; reduce repetition inside authenticated task flows.</w:t>
      </w:r>
    </w:p>
    <w:p>
      <w:pPr>
        <w:pStyle w:val="ListBullet"/>
      </w:pPr>
      <w:r>
        <w:t>Use “Think Cross River” as a restrained service-value statement, not a dominant page element.</w:t>
      </w:r>
    </w:p>
    <w:p>
      <w:pPr>
        <w:pStyle w:val="ListBullet"/>
      </w:pPr>
      <w:r>
        <w:t>If “Season of Sweetness” appears, keep it as a short, dismissible opening animation rather than a persistent obstacle.</w:t>
      </w:r>
    </w:p>
    <w:p>
      <w:pPr>
        <w:pStyle w:val="Heading1"/>
      </w:pPr>
      <w:r>
        <w:t>5. Product Scope for Prototype</w:t>
      </w:r>
    </w:p>
    <w:p>
      <w:pPr>
        <w:pStyle w:val="ListBullet"/>
      </w:pPr>
      <w:r>
        <w:t>Landing page and sign-in/start-verification page.</w:t>
      </w:r>
    </w:p>
    <w:p>
      <w:pPr>
        <w:pStyle w:val="ListBullet"/>
      </w:pPr>
      <w:r>
        <w:t>First-time onboarding flow.</w:t>
      </w:r>
    </w:p>
    <w:p>
      <w:pPr>
        <w:pStyle w:val="ListBullet"/>
      </w:pPr>
      <w:r>
        <w:t>Verification session flow with camera guidance and staged liveness prompts.</w:t>
      </w:r>
    </w:p>
    <w:p>
      <w:pPr>
        <w:pStyle w:val="ListBullet"/>
      </w:pPr>
      <w:r>
        <w:t>Result states: success, pending review, unable to complete, assisted-support referral.</w:t>
      </w:r>
    </w:p>
    <w:p>
      <w:pPr>
        <w:pStyle w:val="ListBullet"/>
      </w:pPr>
      <w:r>
        <w:t>Pensioner dashboard with history and support access.</w:t>
      </w:r>
    </w:p>
    <w:p>
      <w:pPr>
        <w:pStyle w:val="ListBullet"/>
      </w:pPr>
      <w:r>
        <w:t>Admin login, admin dashboard, review queue, pensioner profile, analytics, and assisted-verification console.</w:t>
      </w:r>
    </w:p>
    <w:p>
      <w:pPr>
        <w:pStyle w:val="Heading1"/>
      </w:pPr>
      <w:r>
        <w:t>6. Pensioner Flow</w:t>
      </w:r>
    </w:p>
    <w:p>
      <w:pPr/>
      <w:r>
        <w:t>The pensioner flow should be guided, calming, and low-friction. It must assume a wide range of digital confidence and device quality.</w:t>
      </w:r>
    </w:p>
    <w:p>
      <w:pPr>
        <w:pStyle w:val="ListBullet"/>
      </w:pPr>
      <w:r>
        <w:t>Start verification -&gt; identity lookup -&gt; profile confirmation -&gt; secure access -&gt; camera permission -&gt; face guidance -&gt; liveness step -&gt; result -&gt; dashboard.</w:t>
      </w:r>
    </w:p>
    <w:p>
      <w:pPr>
        <w:pStyle w:val="ListBullet"/>
      </w:pPr>
      <w:r>
        <w:t>Support and assisted-verification options should be visible throughout the journey.</w:t>
      </w:r>
    </w:p>
    <w:p>
      <w:pPr>
        <w:pStyle w:val="Heading1"/>
      </w:pPr>
      <w:r>
        <w:t>7. Administrative Flow</w:t>
      </w:r>
    </w:p>
    <w:p>
      <w:pPr/>
      <w:r>
        <w:t>The administrative side must feel like a working service console. Officials should be able to understand status, review cases, trace history, and monitor cycle performance.</w:t>
      </w:r>
    </w:p>
    <w:p>
      <w:pPr>
        <w:pStyle w:val="ListBullet"/>
      </w:pPr>
      <w:r>
        <w:t>Dashboard modules: verified, pending, failed, under review, assisted verification, LGA distribution, alerts.</w:t>
      </w:r>
    </w:p>
    <w:p>
      <w:pPr>
        <w:pStyle w:val="ListBullet"/>
      </w:pPr>
      <w:r>
        <w:t>Review queue: case list, timestamps, reason tags, actions, notes.</w:t>
      </w:r>
    </w:p>
    <w:p>
      <w:pPr>
        <w:pStyle w:val="ListBullet"/>
      </w:pPr>
      <w:r>
        <w:t>Profile view: pensioner record, history, review notes, support status, audit timeline.</w:t>
      </w:r>
    </w:p>
    <w:p>
      <w:pPr>
        <w:pStyle w:val="Heading1"/>
      </w:pPr>
      <w:r>
        <w:t>8. Prototype Technical Strategy</w:t>
      </w:r>
    </w:p>
    <w:p>
      <w:pPr>
        <w:pStyle w:val="ListBullet"/>
      </w:pPr>
      <w:r>
        <w:t>Frontend: Next.js, TypeScript, responsive component system, refined but restrained motion.</w:t>
      </w:r>
    </w:p>
    <w:p>
      <w:pPr>
        <w:pStyle w:val="ListBullet"/>
      </w:pPr>
      <w:r>
        <w:t>Backend: NestJS with mock or staged verification orchestration and role-aware admin endpoints.</w:t>
      </w:r>
    </w:p>
    <w:p>
      <w:pPr>
        <w:pStyle w:val="ListBullet"/>
      </w:pPr>
      <w:r>
        <w:t>Data: realistic sample records for pensioners, sessions, results, support cases, roles, and audit logs.</w:t>
      </w:r>
    </w:p>
    <w:p>
      <w:pPr>
        <w:pStyle w:val="ListBullet"/>
      </w:pPr>
      <w:r>
        <w:t>Prototype target: semi-real flow with camera capture and staged liveness behaviour rather than a static click-through alone.</w:t>
      </w:r>
    </w:p>
    <w:p>
      <w:pPr>
        <w:pStyle w:val="Heading1"/>
      </w:pPr>
      <w:r>
        <w:t>9. Delivery Phases</w:t>
      </w:r>
    </w:p>
    <w:p>
      <w:pPr>
        <w:pStyle w:val="ListBullet"/>
      </w:pPr>
      <w:r>
        <w:t>Phase 1: information architecture, scope lock, and screen inventory.</w:t>
      </w:r>
    </w:p>
    <w:p>
      <w:pPr>
        <w:pStyle w:val="ListBullet"/>
      </w:pPr>
      <w:r>
        <w:t>Phase 2: design system, branding treatment, motion rules.</w:t>
      </w:r>
    </w:p>
    <w:p>
      <w:pPr>
        <w:pStyle w:val="ListBullet"/>
      </w:pPr>
      <w:r>
        <w:t>Phase 3: pensioner-side build.</w:t>
      </w:r>
    </w:p>
    <w:p>
      <w:pPr>
        <w:pStyle w:val="ListBullet"/>
      </w:pPr>
      <w:r>
        <w:t>Phase 4: admin-side build.</w:t>
      </w:r>
    </w:p>
    <w:p>
      <w:pPr>
        <w:pStyle w:val="ListBullet"/>
      </w:pPr>
      <w:r>
        <w:t>Phase 5: polish, sample data, demo mode, and presentation readiness.</w:t>
      </w:r>
    </w:p>
    <w:p>
      <w:pPr>
        <w:pStyle w:val="Heading1"/>
      </w:pPr>
      <w:r>
        <w:t>10. Success Criteria</w:t>
      </w:r>
    </w:p>
    <w:p>
      <w:pPr/>
      <w:r>
        <w:t>The prototype succeeds only if reviewers conclude that the product has been seriously thought through, that pensioners can use it, that administrators can work with it, and that the team appears capable of carrying it into a pilot.</w:t>
      </w:r>
    </w:p>
    <w:sectPr w:rsidR="00FC693F" w:rsidRPr="0006063C" w:rsidSect="00034616">
      <w:headerReference w:type="default" r:id="rId10"/>
      <w:footerReference w:type="default" r:id="rId11"/>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Cross River State Pensioners Digital Verification System (CRS-PDVS)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Prototype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D2C8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335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335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D2C8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