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1224501"/>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9"/>
                    <a:stretch>
                      <a:fillRect/>
                    </a:stretch>
                  </pic:blipFill>
                  <pic:spPr>
                    <a:xfrm>
                      <a:off x="0" y="0"/>
                      <a:ext cx="1280160" cy="1224501"/>
                    </a:xfrm>
                    <a:prstGeom prst="rect"/>
                  </pic:spPr>
                </pic:pic>
              </a:graphicData>
            </a:graphic>
          </wp:inline>
        </w:drawing>
      </w:r>
    </w:p>
    <w:p>
      <w:pPr>
        <w:jc w:val="center"/>
      </w:pPr>
      <w:r>
        <w:rPr>
          <w:b/>
          <w:color w:val="0D2C8B"/>
          <w:sz w:val="48"/>
        </w:rPr>
        <w:t>CRS-PDVS Executive Brief v1</w:t>
      </w:r>
    </w:p>
    <w:p>
      <w:pPr>
        <w:jc w:val="center"/>
      </w:pPr>
      <w:r>
        <w:rPr>
          <w:color w:val="666666"/>
          <w:sz w:val="24"/>
        </w:rPr>
        <w:t>Cross River State Pensioners Digital Verification System</w:t>
      </w:r>
    </w:p>
    <w:tbl>
      <w:tblPr>
        <w:tblW w:type="auto" w:w="0"/>
        <w:jc w:val="center"/>
        <w:tblLook w:firstColumn="1" w:firstRow="1" w:lastColumn="0" w:lastRow="0" w:noHBand="0" w:noVBand="1" w:val="04A0"/>
      </w:tblPr>
      <w:tblGrid>
        <w:gridCol w:w="2160"/>
        <w:gridCol w:w="6912"/>
      </w:tblGrid>
      <w:tr>
        <w:tc>
          <w:tcPr>
            <w:tcW w:type="dxa" w:w="4968"/>
            <w:vAlign w:val="center"/>
            <w:shd w:fill="EAF0FF"/>
          </w:tcPr>
          <w:p>
            <w:pPr>
              <w:spacing w:before="40" w:after="40"/>
            </w:pPr>
            <w:r>
              <w:t>Status</w:t>
            </w:r>
          </w:p>
        </w:tc>
        <w:tc>
          <w:tcPr>
            <w:tcW w:type="dxa" w:w="4968"/>
            <w:vAlign w:val="center"/>
          </w:tcPr>
          <w:p>
            <w:pPr>
              <w:spacing w:before="40" w:after="40"/>
            </w:pPr>
            <w:r>
              <w:t>Confidential Internal Working Document</w:t>
            </w:r>
          </w:p>
        </w:tc>
      </w:tr>
      <w:tr>
        <w:tc>
          <w:tcPr>
            <w:tcW w:type="dxa" w:w="4968"/>
            <w:vAlign w:val="center"/>
            <w:shd w:fill="EAF0FF"/>
          </w:tcPr>
          <w:p>
            <w:pPr>
              <w:spacing w:before="40" w:after="40"/>
            </w:pPr>
            <w:r>
              <w:t>Prepared for</w:t>
            </w:r>
          </w:p>
        </w:tc>
        <w:tc>
          <w:tcPr>
            <w:tcW w:type="dxa" w:w="4968"/>
            <w:vAlign w:val="center"/>
          </w:tcPr>
          <w:p>
            <w:pPr>
              <w:spacing w:before="40" w:after="40"/>
            </w:pPr>
            <w:r>
              <w:t>Institutional review and controlled circulation</w:t>
            </w:r>
          </w:p>
        </w:tc>
      </w:tr>
      <w:tr>
        <w:tc>
          <w:tcPr>
            <w:tcW w:type="dxa" w:w="4968"/>
            <w:vAlign w:val="center"/>
            <w:shd w:fill="EAF0FF"/>
          </w:tcPr>
          <w:p>
            <w:pPr>
              <w:spacing w:before="40" w:after="40"/>
            </w:pPr>
            <w:r>
              <w:t>Prepared under</w:t>
            </w:r>
          </w:p>
        </w:tc>
        <w:tc>
          <w:tcPr>
            <w:tcW w:type="dxa" w:w="4968"/>
            <w:vAlign w:val="center"/>
          </w:tcPr>
          <w:p>
            <w:pPr>
              <w:spacing w:before="40" w:after="40"/>
            </w:pPr>
            <w:r>
              <w:t>CRS-PDVS programme documentation set</w:t>
            </w:r>
          </w:p>
        </w:tc>
      </w:tr>
    </w:tbl>
    <w:p/>
    <w:p>
      <w:pPr>
        <w:jc w:val="center"/>
      </w:pPr>
      <w:r>
        <w:rPr>
          <w:i/>
          <w:color w:val="666666"/>
          <w:sz w:val="20"/>
        </w:rPr>
        <w:t>Cross River State • Blue-White Service Design • Pensioner-Centred Modernisation</w:t>
      </w:r>
    </w:p>
    <w:p>
      <w:r>
        <w:br w:type="page"/>
      </w:r>
    </w:p>
    <w:p>
      <w:pPr>
        <w:pStyle w:val="Heading1"/>
      </w:pPr>
      <w:r>
        <w:t>Executive Summary</w:t>
      </w:r>
    </w:p>
    <w:p>
      <w:pPr/>
      <w:r>
        <w:t>This brief presents the case for the Cross River State Pensioners Digital Verification System (CRS-PDVS): a controlled digital service intended to reduce repeated physical verification burden on pensioners while improving administrative visibility and record integrity for the Pension Board.</w:t>
      </w:r>
    </w:p>
    <w:p>
      <w:pPr/>
      <w:r>
        <w:t>Cross River State’s service-delivery environment makes this relevant. The state is structured across 18 local government areas, with significant travel distances between Calabar and a number of central and northern LGAs. In that setting, any process that depends heavily on physical presence can create avoidable stress for elderly users and heavy coordination demands for government officers.</w:t>
      </w:r>
    </w:p>
    <w:p>
      <w:pPr/>
      <w:r>
        <w:t>CRS-PDVS is proposed as a phased service layer, not as an overnight replacement of the entire pension administration system. It focuses first on proof-of-life verification, assisted verification pathways, administrative review, and auditability.</w:t>
      </w:r>
    </w:p>
    <w:p>
      <w:pPr>
        <w:pStyle w:val="Heading2"/>
      </w:pPr>
      <w:r>
        <w:t>State Context at a Glance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8"/>
          </w:tcPr>
          <w:p>
            <w:r>
              <w:rPr>
                <w:b/>
              </w:rPr>
              <w:t>Reference point</w:t>
            </w:r>
          </w:p>
        </w:tc>
        <w:tc>
          <w:tcPr>
            <w:tcW w:type="dxa" w:w="4968"/>
            <w:shd w:fill="DCE6F8"/>
          </w:tcPr>
          <w:p>
            <w:r>
              <w:rPr>
                <w:b/>
              </w:rPr>
              <w:t>Implication for CRS-PDVS</w:t>
            </w:r>
          </w:p>
        </w:tc>
      </w:tr>
      <w:tr>
        <w:tc>
          <w:tcPr>
            <w:tcW w:type="dxa" w:w="4968"/>
            <w:vAlign w:val="center"/>
          </w:tcPr>
          <w:p>
            <w:pPr>
              <w:spacing w:before="40" w:after="40"/>
            </w:pPr>
            <w:r>
              <w:t>18 LGAs and broad geographic spread</w:t>
            </w:r>
          </w:p>
        </w:tc>
        <w:tc>
          <w:tcPr>
            <w:tcW w:type="dxa" w:w="4968"/>
            <w:vAlign w:val="center"/>
          </w:tcPr>
          <w:p>
            <w:pPr>
              <w:spacing w:before="40" w:after="40"/>
            </w:pPr>
            <w:r>
              <w:t>Verification design must assume decentralised service delivery and support outside Calabar.</w:t>
            </w:r>
          </w:p>
        </w:tc>
      </w:tr>
      <w:tr>
        <w:tc>
          <w:tcPr>
            <w:tcW w:type="dxa" w:w="4968"/>
            <w:vAlign w:val="center"/>
          </w:tcPr>
          <w:p>
            <w:pPr>
              <w:spacing w:before="40" w:after="40"/>
            </w:pPr>
            <w:r>
              <w:t>Population above 3.8 million</w:t>
            </w:r>
          </w:p>
        </w:tc>
        <w:tc>
          <w:tcPr>
            <w:tcW w:type="dxa" w:w="4968"/>
            <w:vAlign w:val="center"/>
          </w:tcPr>
          <w:p>
            <w:pPr>
              <w:spacing w:before="40" w:after="40"/>
            </w:pPr>
            <w:r>
              <w:t>Any eventual roll-out must be scalable and resilient even if pilot scope stays small.</w:t>
            </w:r>
          </w:p>
        </w:tc>
      </w:tr>
      <w:tr>
        <w:tc>
          <w:tcPr>
            <w:tcW w:type="dxa" w:w="4968"/>
            <w:vAlign w:val="center"/>
          </w:tcPr>
          <w:p>
            <w:pPr>
              <w:spacing w:before="40" w:after="40"/>
            </w:pPr>
            <w:r>
              <w:t>Budget-recognised pensioner verification activity</w:t>
            </w:r>
          </w:p>
        </w:tc>
        <w:tc>
          <w:tcPr>
            <w:tcW w:type="dxa" w:w="4968"/>
            <w:vAlign w:val="center"/>
          </w:tcPr>
          <w:p>
            <w:pPr>
              <w:spacing w:before="40" w:after="40"/>
            </w:pPr>
            <w:r>
              <w:t>The problem is operationally real and institutionally visible.</w:t>
            </w:r>
          </w:p>
        </w:tc>
      </w:tr>
      <w:tr>
        <w:tc>
          <w:tcPr>
            <w:tcW w:type="dxa" w:w="4968"/>
            <w:vAlign w:val="center"/>
          </w:tcPr>
          <w:p>
            <w:pPr>
              <w:spacing w:before="40" w:after="40"/>
            </w:pPr>
            <w:r>
              <w:t>Identity and pension verification already normal in Nigeria</w:t>
            </w:r>
          </w:p>
        </w:tc>
        <w:tc>
          <w:tcPr>
            <w:tcW w:type="dxa" w:w="4968"/>
            <w:vAlign w:val="center"/>
          </w:tcPr>
          <w:p>
            <w:pPr>
              <w:spacing w:before="40" w:after="40"/>
            </w:pPr>
            <w:r>
              <w:t>A digital approach is directionally aligned with current governance and regulatory reality.</w:t>
            </w:r>
          </w:p>
        </w:tc>
      </w:tr>
    </w:tbl>
    <w:p/>
    <w:p>
      <w:pPr>
        <w:pStyle w:val="Heading1"/>
      </w:pPr>
      <w:r>
        <w:t>1. The Current Administrative Challenge</w:t>
      </w:r>
    </w:p>
    <w:p>
      <w:pPr/>
      <w:r>
        <w:t>Physical verification remains familiar in pension administration because it helps confirm identity and protect the integrity of pension records. However, when physical appearance becomes the main pathway for routine verification, the burden is carried most heavily by elderly pensioners and frontline officers.</w:t>
      </w:r>
    </w:p>
    <w:p>
      <w:pPr/>
      <w:r>
        <w:t>For pensioners, the burden may include repeated travel, queues, weather exposure, reliance on family or intermediaries, and anxiety around missing a process tied to livelihood. For administrators, manual verification campaigns can be event-based, labour-intensive, and difficult to track in real time.</w:t>
      </w:r>
    </w:p>
    <w:p>
      <w:pPr>
        <w:pStyle w:val="Heading1"/>
      </w:pPr>
      <w:r>
        <w:t>2. Why a Digital Service is Timely</w:t>
      </w:r>
    </w:p>
    <w:p>
      <w:pPr/>
      <w:r>
        <w:t>The direction of public administration in Nigeria already points toward stronger digital identity, cleaner record controls, and better verification processes. PenCom’s current guidance, NIN-based verification services, and biometric identity rails such as BVN all demonstrate that controlled digital verification is no longer an abstract concept.</w:t>
      </w:r>
    </w:p>
    <w:p>
      <w:pPr/>
      <w:r>
        <w:t>For Cross River State, a pensioner-facing digital verification layer is especially relevant because geography matters. A state-wide service must work across coastal, central, and northern communities and must be designed for mixed connectivity, different device quality, and varied digital confidence.</w:t>
      </w:r>
    </w:p>
    <w:p>
      <w:pPr>
        <w:pStyle w:val="Heading1"/>
      </w:pPr>
      <w:r>
        <w:t>3. Proposed Solution: CRS-PDVS</w:t>
      </w:r>
    </w:p>
    <w:p>
      <w:pPr/>
      <w:r>
        <w:t>CRS-PDVS is proposed as a secure digital proof-of-life verification system for pension administration. It enables eligible pensioners to complete verification through a guided digital process while allowing the Pension Board to review status, manage exceptions, and maintain audit trails through an administrative portal.</w:t>
      </w:r>
    </w:p>
    <w:p>
      <w:pPr/>
      <w:r>
        <w:t>The first implementation focus should remain narrow and disciplined: identity-led onboarding, liveness-backed verification, support for manual review, assisted verification options, and clear reporting for officials.</w:t>
      </w:r>
    </w:p>
    <w:p>
      <w:pPr>
        <w:pStyle w:val="Heading1"/>
      </w:pPr>
      <w:r>
        <w:t>4. Core Service Components</w:t>
      </w:r>
    </w:p>
    <w:p>
      <w:pPr>
        <w:pStyle w:val="ListBullet"/>
      </w:pPr>
      <w:r>
        <w:t>Pensioner portal: sign-in, identity confirmation, camera-guided verification, result and history.</w:t>
      </w:r>
    </w:p>
    <w:p>
      <w:pPr>
        <w:pStyle w:val="ListBullet"/>
      </w:pPr>
      <w:r>
        <w:t>Assisted verification channel: approved centres or officers helping pensioners who cannot complete the digital flow independently.</w:t>
      </w:r>
    </w:p>
    <w:p>
      <w:pPr>
        <w:pStyle w:val="ListBullet"/>
      </w:pPr>
      <w:r>
        <w:t>Administrative portal: dashboard, review queue, pensioner record view, analytics, and exception handling.</w:t>
      </w:r>
    </w:p>
    <w:p>
      <w:pPr>
        <w:pStyle w:val="ListBullet"/>
      </w:pPr>
      <w:r>
        <w:t>Audit and governance layer: role-based access, event logging, support records, and verification-cycle reporting.</w:t>
      </w:r>
    </w:p>
    <w:p>
      <w:pPr>
        <w:pStyle w:val="Heading1"/>
      </w:pPr>
      <w:r>
        <w:t>5. Pensioner Experience Standard</w:t>
      </w:r>
    </w:p>
    <w:p>
      <w:pPr/>
      <w:r>
        <w:t>The system should be designed for dignity and simplicity. Large text, high contrast, short task paths, and direct language are essential. The goal is not to impress the user with complexity. The goal is to remove stress from a necessary administrative process.</w:t>
      </w:r>
    </w:p>
    <w:p>
      <w:pPr>
        <w:pStyle w:val="Heading1"/>
      </w:pPr>
      <w:r>
        <w:t>6. Administrative Value</w:t>
      </w:r>
    </w:p>
    <w:p>
      <w:pPr>
        <w:pStyle w:val="ListBullet"/>
      </w:pPr>
      <w:r>
        <w:t>Improved visibility into who has verified, who has not, and which cases need review.</w:t>
      </w:r>
    </w:p>
    <w:p>
      <w:pPr>
        <w:pStyle w:val="ListBullet"/>
      </w:pPr>
      <w:r>
        <w:t>More structured handling of exceptions and support requests.</w:t>
      </w:r>
    </w:p>
    <w:p>
      <w:pPr>
        <w:pStyle w:val="ListBullet"/>
      </w:pPr>
      <w:r>
        <w:t>Better audit trails for sensitive actions and status changes.</w:t>
      </w:r>
    </w:p>
    <w:p>
      <w:pPr>
        <w:pStyle w:val="ListBullet"/>
      </w:pPr>
      <w:r>
        <w:t>A practical basis for phased process improvement without requiring immediate full-system replacement.</w:t>
      </w:r>
    </w:p>
    <w:p>
      <w:pPr>
        <w:pStyle w:val="Heading1"/>
      </w:pPr>
      <w:r>
        <w:t>7. Security, Privacy, and Data Governance</w:t>
      </w:r>
    </w:p>
    <w:p>
      <w:pPr/>
      <w:r>
        <w:t>Because the service would touch identity data and biometric verification, security and data protection must be built into the design from the beginning. Sensitive data should be minimised, stored carefully, and accessed strictly through role-based controls. Encryption, audit logging, session controls, and clear exception procedures are foundational requirements, not later enhancements.</w:t>
      </w:r>
    </w:p>
    <w:p>
      <w:pPr>
        <w:pStyle w:val="Heading1"/>
      </w:pPr>
      <w:r>
        <w:t>8. Recommended Implementation Path</w:t>
      </w:r>
    </w:p>
    <w:p>
      <w:pPr>
        <w:pStyle w:val="ListBullet"/>
      </w:pPr>
      <w:r>
        <w:t>Discovery: map the current verification workflow, responsible offices, and record systems.</w:t>
      </w:r>
    </w:p>
    <w:p>
      <w:pPr>
        <w:pStyle w:val="ListBullet"/>
      </w:pPr>
      <w:r>
        <w:t>Prototype: demonstrate a realistic pensioner flow and admin review console.</w:t>
      </w:r>
    </w:p>
    <w:p>
      <w:pPr>
        <w:pStyle w:val="ListBullet"/>
      </w:pPr>
      <w:r>
        <w:t>Pilot: begin in one LGA or a tightly controlled user group with assisted support available.</w:t>
      </w:r>
    </w:p>
    <w:p>
      <w:pPr>
        <w:pStyle w:val="ListBullet"/>
      </w:pPr>
      <w:r>
        <w:t>Evaluation: measure completion rates, support burden, exception patterns, and administrative usability.</w:t>
      </w:r>
    </w:p>
    <w:p>
      <w:pPr>
        <w:pStyle w:val="ListBullet"/>
      </w:pPr>
      <w:r>
        <w:t>Scale-up: expand only after operational lessons and governance requirements are satisfied.</w:t>
      </w:r>
    </w:p>
    <w:p>
      <w:pPr>
        <w:pStyle w:val="Heading1"/>
      </w:pPr>
      <w:r>
        <w:t>9. Institutional Collaboration Requested</w:t>
      </w:r>
    </w:p>
    <w:p>
      <w:pPr/>
      <w:r>
        <w:t>This concept is presented as a practical contribution to pensioner welfare and public-service efficiency in Cross River State. It is not a criticism of existing officers or current structures. It is a proposal for collaboration.</w:t>
      </w:r>
    </w:p>
    <w:p>
      <w:pPr/>
      <w:r>
        <w:t>The immediate request is modest: an opportunity to engage with the Pension Board and relevant state stakeholders to validate workflow assumptions, discuss feasibility, and determine whether a controlled pilot pathway is appropriate.</w:t>
      </w:r>
    </w:p>
    <w:p>
      <w:pPr>
        <w:pStyle w:val="Heading1"/>
      </w:pPr>
      <w:r>
        <w:t>10. Closing Note</w:t>
      </w:r>
    </w:p>
    <w:p>
      <w:pPr/>
      <w:r>
        <w:t>CRS-PDVS should be judged neither as a slogan nor as a software promise in isolation. It should be judged as a disciplined public-service proposition: one that takes pensioner dignity seriously, respects administrative reality, and offers a phased route toward safer, clearer, and more accountable verification.</w:t>
      </w:r>
    </w:p>
    <w:p>
      <w:pPr>
        <w:pStyle w:val="Heading1"/>
      </w:pPr>
      <w:r>
        <w:t>Selected References Informing this Brief</w:t>
      </w:r>
    </w:p>
    <w:p>
      <w:pPr>
        <w:pStyle w:val="ListBullet"/>
      </w:pPr>
      <w:r>
        <w:t>Cross River State official profile and Bureau of Statistics publications.</w:t>
      </w:r>
    </w:p>
    <w:p>
      <w:pPr>
        <w:pStyle w:val="ListBullet"/>
      </w:pPr>
      <w:r>
        <w:t>Cross River State 2026 approved budget publications.</w:t>
      </w:r>
    </w:p>
    <w:p>
      <w:pPr>
        <w:pStyle w:val="ListBullet"/>
      </w:pPr>
      <w:r>
        <w:t>National Pension Commission verification and enrolment guidance.</w:t>
      </w:r>
    </w:p>
    <w:p>
      <w:pPr>
        <w:pStyle w:val="ListBullet"/>
      </w:pPr>
      <w:r>
        <w:t>NIMC verification and authentication references.</w:t>
      </w:r>
    </w:p>
    <w:p>
      <w:pPr>
        <w:pStyle w:val="ListBullet"/>
      </w:pPr>
      <w:r>
        <w:t>Comparative government digital life-certificate material.</w:t>
      </w:r>
    </w:p>
    <w:sectPr w:rsidR="00FC693F" w:rsidRPr="0006063C" w:rsidSect="00034616">
      <w:headerReference w:type="default" r:id="rId10"/>
      <w:footerReference w:type="default" r:id="rId11"/>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Cross River State Pensioners Digital Verification System (CRS-PDVS)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Executive Brief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D2C8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35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35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D2C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