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1180769"/>
            <wp:docPr id="1" name="Picture 1"/>
            <wp:cNvGraphicFramePr>
              <a:graphicFrameLocks noChangeAspect="1"/>
            </wp:cNvGraphicFramePr>
            <a:graphic>
              <a:graphicData uri="http://schemas.openxmlformats.org/drawingml/2006/picture">
                <pic:pic>
                  <pic:nvPicPr>
                    <pic:cNvPr id="0" name="crs_logo_white-087ea47b.png"/>
                    <pic:cNvPicPr/>
                  </pic:nvPicPr>
                  <pic:blipFill>
                    <a:blip r:embed="rId10"/>
                    <a:stretch>
                      <a:fillRect/>
                    </a:stretch>
                  </pic:blipFill>
                  <pic:spPr>
                    <a:xfrm>
                      <a:off x="0" y="0"/>
                      <a:ext cx="1234440" cy="1180769"/>
                    </a:xfrm>
                    <a:prstGeom prst="rect"/>
                  </pic:spPr>
                </pic:pic>
              </a:graphicData>
            </a:graphic>
          </wp:inline>
        </w:drawing>
      </w:r>
    </w:p>
    <w:p>
      <w:pPr>
        <w:jc w:val="center"/>
      </w:pPr>
      <w:r>
        <w:rPr>
          <w:rFonts w:ascii="Aptos" w:hAnsi="Aptos"/>
          <w:b/>
          <w:color w:val="666666"/>
          <w:sz w:val="22"/>
        </w:rPr>
        <w:t>CROSS RIVER STATE PENSIONERS DIGITAL VERIFICATION SYSTEM</w:t>
      </w:r>
    </w:p>
    <w:p>
      <w:pPr>
        <w:jc w:val="center"/>
      </w:pPr>
      <w:r>
        <w:rPr>
          <w:rFonts w:ascii="Aptos Display" w:hAnsi="Aptos Display"/>
          <w:b/>
          <w:color w:val="0B228C"/>
          <w:sz w:val="48"/>
        </w:rPr>
        <w:t>Technical Architecture Note</w:t>
      </w:r>
    </w:p>
    <w:p>
      <w:pPr>
        <w:jc w:val="center"/>
      </w:pPr>
      <w:r>
        <w:rPr>
          <w:rFonts w:ascii="Aptos" w:hAnsi="Aptos"/>
          <w:i w:val="0"/>
          <w:color w:val="222222"/>
          <w:sz w:val="22"/>
        </w:rPr>
        <w:t>Pilot-grade system structure, data model, and security architecture for CRS-PDVS</w:t>
      </w:r>
    </w:p>
    <w:tbl>
      <w:tblPr>
        <w:tblW w:type="auto" w:w="0"/>
        <w:jc w:val="center"/>
        <w:tblLayout w:type="fixed"/>
        <w:tblLook w:firstColumn="1" w:firstRow="1" w:lastColumn="0" w:lastRow="0" w:noHBand="0" w:noVBand="1" w:val="04A0"/>
      </w:tblPr>
      <w:tblGrid>
        <w:gridCol w:w="4968"/>
        <w:gridCol w:w="4968"/>
      </w:tblGrid>
      <w:tr>
        <w:tc>
          <w:tcPr>
            <w:tcW w:type="dxa" w:w="2376"/>
            <w:vAlign w:val="center"/>
            <w:shd w:fill="EAF0FF"/>
          </w:tcPr>
          <w:p>
            <w:pPr>
              <w:spacing w:after="40"/>
            </w:pPr>
            <w:r>
              <w:rPr>
                <w:rFonts w:ascii="Aptos" w:hAnsi="Aptos"/>
                <w:sz w:val="20"/>
              </w:rPr>
              <w:t>Document</w:t>
            </w:r>
          </w:p>
        </w:tc>
        <w:tc>
          <w:tcPr>
            <w:tcW w:type="dxa" w:w="5616"/>
            <w:vAlign w:val="center"/>
          </w:tcPr>
          <w:p>
            <w:pPr>
              <w:spacing w:after="40"/>
            </w:pPr>
            <w:r>
              <w:rPr>
                <w:rFonts w:ascii="Aptos" w:hAnsi="Aptos"/>
                <w:sz w:val="20"/>
              </w:rPr>
              <w:t>Document 06</w:t>
            </w:r>
          </w:p>
        </w:tc>
      </w:tr>
      <w:tr>
        <w:tc>
          <w:tcPr>
            <w:tcW w:type="dxa" w:w="2376"/>
            <w:vAlign w:val="center"/>
            <w:shd w:fill="EAF0FF"/>
          </w:tcPr>
          <w:p>
            <w:pPr>
              <w:spacing w:after="40"/>
            </w:pPr>
            <w:r>
              <w:rPr>
                <w:rFonts w:ascii="Aptos" w:hAnsi="Aptos"/>
                <w:sz w:val="20"/>
              </w:rPr>
              <w:t>Status</w:t>
            </w:r>
          </w:p>
        </w:tc>
        <w:tc>
          <w:tcPr>
            <w:tcW w:type="dxa" w:w="5616"/>
            <w:vAlign w:val="center"/>
          </w:tcPr>
          <w:p>
            <w:pPr>
              <w:spacing w:after="40"/>
            </w:pPr>
            <w:r>
              <w:rPr>
                <w:rFonts w:ascii="Aptos" w:hAnsi="Aptos"/>
                <w:sz w:val="20"/>
              </w:rPr>
              <w:t>Confidential Working Document</w:t>
            </w:r>
          </w:p>
        </w:tc>
      </w:tr>
      <w:tr>
        <w:tc>
          <w:tcPr>
            <w:tcW w:type="dxa" w:w="2376"/>
            <w:vAlign w:val="center"/>
            <w:shd w:fill="EAF0FF"/>
          </w:tcPr>
          <w:p>
            <w:pPr>
              <w:spacing w:after="40"/>
            </w:pPr>
            <w:r>
              <w:rPr>
                <w:rFonts w:ascii="Aptos" w:hAnsi="Aptos"/>
                <w:sz w:val="20"/>
              </w:rPr>
              <w:t>Use</w:t>
            </w:r>
          </w:p>
        </w:tc>
        <w:tc>
          <w:tcPr>
            <w:tcW w:type="dxa" w:w="5616"/>
            <w:vAlign w:val="center"/>
          </w:tcPr>
          <w:p>
            <w:pPr>
              <w:spacing w:after="40"/>
            </w:pPr>
            <w:r>
              <w:rPr>
                <w:rFonts w:ascii="Aptos" w:hAnsi="Aptos"/>
                <w:sz w:val="20"/>
              </w:rPr>
              <w:t>Internal planning and institutional review support</w:t>
            </w:r>
          </w:p>
        </w:tc>
      </w:tr>
    </w:tbl>
    <w:p/>
    <w:p>
      <w:pPr>
        <w:jc w:val="center"/>
      </w:pPr>
      <w:r>
        <w:rPr>
          <w:color w:val="666666"/>
          <w:sz w:val="20"/>
        </w:rPr>
        <w:t>Prepared for disciplined concept development, stakeholder engagement, and implementation planning.</w:t>
      </w:r>
    </w:p>
    <w:p>
      <w:r>
        <w:br w:type="page"/>
      </w:r>
    </w:p>
    <w:p>
      <w:pPr>
        <w:pStyle w:val="Heading1"/>
      </w:pPr>
      <w:r>
        <w:t>Purpose and scope</w:t>
      </w:r>
    </w:p>
    <w:p>
      <w:pPr/>
      <w:r>
        <w:t>This note defines the target technical architecture for CRS-PDVS at pilot and early production stage. It translates the concept, evidence base, and prototype direction into a disciplined system structure that can be built, reviewed, secured, and scaled without unnecessary redesign.</w:t>
      </w:r>
    </w:p>
    <w:p>
      <w:pPr/>
      <w:r>
        <w:t>The architecture assumes a state service operating across eighteen local government areas, with administrative concentration in Calabar but operational relevance to pensioners who may be located across the Southern, Central, and Northern parts of the state. The design therefore prioritises low-friction access, strong auditability, and controlled growth.</w:t>
      </w:r>
    </w:p>
    <w:p>
      <w:pPr>
        <w:pStyle w:val="Heading1"/>
      </w:pPr>
      <w:r>
        <w:t>Architecture principles</w:t>
      </w:r>
    </w:p>
    <w:p>
      <w:pPr>
        <w:pStyle w:val="ListBullet"/>
      </w:pPr>
      <w:r>
        <w:t>Verification workflow first, platform sprawl later.</w:t>
      </w:r>
    </w:p>
    <w:p>
      <w:pPr>
        <w:pStyle w:val="ListBullet"/>
      </w:pPr>
      <w:r>
        <w:t>Security and auditability designed in from inception.</w:t>
      </w:r>
    </w:p>
    <w:p>
      <w:pPr>
        <w:pStyle w:val="ListBullet"/>
      </w:pPr>
      <w:r>
        <w:t>Mobile-first delivery for pensioners, desktop-first delivery for administrators.</w:t>
      </w:r>
    </w:p>
    <w:p>
      <w:pPr>
        <w:pStyle w:val="ListBullet"/>
      </w:pPr>
      <w:r>
        <w:t>Assisted service pathways built alongside self-service pathways.</w:t>
      </w:r>
    </w:p>
    <w:p>
      <w:pPr>
        <w:pStyle w:val="ListBullet"/>
      </w:pPr>
      <w:r>
        <w:t>Modular services, clear interfaces, and reversible implementation decisions.</w:t>
      </w:r>
    </w:p>
    <w:p>
      <w:pPr>
        <w:pStyle w:val="ListBullet"/>
      </w:pPr>
      <w:r>
        <w:t>Data minimisation for sensitive identity and biometric material.</w:t>
      </w:r>
    </w:p>
    <w:p>
      <w:pPr>
        <w:pStyle w:val="Heading1"/>
      </w:pPr>
      <w:r>
        <w:t>Target system landscape</w:t>
      </w:r>
    </w:p>
    <w:p>
      <w:pPr>
        <w:pStyle w:val="Heading2"/>
      </w:pPr>
      <w:r>
        <w:t>Core channels</w:t>
      </w:r>
    </w:p>
    <w:p>
      <w:pPr>
        <w:pStyle w:val="ListBullet"/>
      </w:pPr>
      <w:r>
        <w:t>Pensioner web application for registration, verification, status checks, and support access.</w:t>
      </w:r>
    </w:p>
    <w:p>
      <w:pPr>
        <w:pStyle w:val="ListBullet"/>
      </w:pPr>
      <w:r>
        <w:t>Administrative portal for verification review, operations monitoring, and reporting.</w:t>
      </w:r>
    </w:p>
    <w:p>
      <w:pPr>
        <w:pStyle w:val="ListBullet"/>
      </w:pPr>
      <w:r>
        <w:t>Assisted-verification console for approved field or desk officers.</w:t>
      </w:r>
    </w:p>
    <w:p>
      <w:pPr>
        <w:pStyle w:val="ListBullet"/>
      </w:pPr>
      <w:r>
        <w:t>Notification layer for SMS, email, and campaign messages as approved.</w:t>
      </w:r>
    </w:p>
    <w:p>
      <w:pPr>
        <w:pStyle w:val="Heading2"/>
      </w:pPr>
      <w:r>
        <w:t>Core backend services</w:t>
      </w:r>
    </w:p>
    <w:p>
      <w:pPr>
        <w:pStyle w:val="ListBullet"/>
      </w:pPr>
      <w:r>
        <w:t>Identity and access service.</w:t>
      </w:r>
    </w:p>
    <w:p>
      <w:pPr>
        <w:pStyle w:val="ListBullet"/>
      </w:pPr>
      <w:r>
        <w:t>Pensioner record service.</w:t>
      </w:r>
    </w:p>
    <w:p>
      <w:pPr>
        <w:pStyle w:val="ListBullet"/>
      </w:pPr>
      <w:r>
        <w:t>Verification orchestration service.</w:t>
      </w:r>
    </w:p>
    <w:p>
      <w:pPr>
        <w:pStyle w:val="ListBullet"/>
      </w:pPr>
      <w:r>
        <w:t>Liveness and capture integration layer.</w:t>
      </w:r>
    </w:p>
    <w:p>
      <w:pPr>
        <w:pStyle w:val="ListBullet"/>
      </w:pPr>
      <w:r>
        <w:t>Case management and exception service.</w:t>
      </w:r>
    </w:p>
    <w:p>
      <w:pPr>
        <w:pStyle w:val="ListBullet"/>
      </w:pPr>
      <w:r>
        <w:t>Audit and reporting service.</w:t>
      </w:r>
    </w:p>
    <w:p>
      <w:pPr>
        <w:pStyle w:val="Heading1"/>
      </w:pPr>
      <w:r>
        <w:t>Logical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1800"/>
            <w:shd w:fill="DCE6FF"/>
          </w:tcPr>
          <w:p>
            <w:pPr>
              <w:jc w:val="center"/>
            </w:pPr>
            <w:r>
              <w:rPr>
                <w:b/>
                <w:color w:val="0B228C"/>
                <w:sz w:val="19"/>
              </w:rPr>
              <w:t>Layer</w:t>
            </w:r>
          </w:p>
        </w:tc>
        <w:tc>
          <w:tcPr>
            <w:tcW w:type="dxa" w:w="3600"/>
            <w:shd w:fill="DCE6FF"/>
          </w:tcPr>
          <w:p>
            <w:pPr>
              <w:jc w:val="center"/>
            </w:pPr>
            <w:r>
              <w:rPr>
                <w:b/>
                <w:color w:val="0B228C"/>
                <w:sz w:val="19"/>
              </w:rPr>
              <w:t>Primary responsibility</w:t>
            </w:r>
          </w:p>
        </w:tc>
        <w:tc>
          <w:tcPr>
            <w:tcW w:type="dxa" w:w="3384"/>
            <w:shd w:fill="DCE6FF"/>
          </w:tcPr>
          <w:p>
            <w:pPr>
              <w:jc w:val="center"/>
            </w:pPr>
            <w:r>
              <w:rPr>
                <w:b/>
                <w:color w:val="0B228C"/>
                <w:sz w:val="19"/>
              </w:rPr>
              <w:t>Design note</w:t>
            </w:r>
          </w:p>
        </w:tc>
      </w:tr>
      <w:tr>
        <w:tc>
          <w:tcPr>
            <w:tcW w:type="dxa" w:w="1800"/>
            <w:vAlign w:val="center"/>
          </w:tcPr>
          <w:p>
            <w:pPr>
              <w:spacing w:after="20"/>
              <w:jc w:val="center"/>
            </w:pPr>
            <w:r>
              <w:rPr>
                <w:sz w:val="19"/>
              </w:rPr>
              <w:t>Presentation</w:t>
            </w:r>
          </w:p>
        </w:tc>
        <w:tc>
          <w:tcPr>
            <w:tcW w:type="dxa" w:w="3600"/>
            <w:vAlign w:val="center"/>
          </w:tcPr>
          <w:p>
            <w:pPr>
              <w:spacing w:after="20"/>
            </w:pPr>
            <w:r>
              <w:rPr>
                <w:sz w:val="19"/>
              </w:rPr>
              <w:t>Pensioner portal, admin portal, agent console</w:t>
            </w:r>
          </w:p>
        </w:tc>
        <w:tc>
          <w:tcPr>
            <w:tcW w:type="dxa" w:w="3384"/>
            <w:vAlign w:val="center"/>
          </w:tcPr>
          <w:p>
            <w:pPr>
              <w:spacing w:after="20"/>
            </w:pPr>
            <w:r>
              <w:rPr>
                <w:sz w:val="19"/>
              </w:rPr>
              <w:t>Responsive, accessible, session-aware</w:t>
            </w:r>
          </w:p>
        </w:tc>
      </w:tr>
      <w:tr>
        <w:tc>
          <w:tcPr>
            <w:tcW w:type="dxa" w:w="1800"/>
            <w:vAlign w:val="center"/>
          </w:tcPr>
          <w:p>
            <w:pPr>
              <w:spacing w:after="20"/>
              <w:jc w:val="center"/>
            </w:pPr>
            <w:r>
              <w:rPr>
                <w:sz w:val="19"/>
              </w:rPr>
              <w:t>Application</w:t>
            </w:r>
          </w:p>
        </w:tc>
        <w:tc>
          <w:tcPr>
            <w:tcW w:type="dxa" w:w="3600"/>
            <w:vAlign w:val="center"/>
          </w:tcPr>
          <w:p>
            <w:pPr>
              <w:spacing w:after="20"/>
            </w:pPr>
            <w:r>
              <w:rPr>
                <w:sz w:val="19"/>
              </w:rPr>
              <w:t>Workflow logic, review rules, state transitions</w:t>
            </w:r>
          </w:p>
        </w:tc>
        <w:tc>
          <w:tcPr>
            <w:tcW w:type="dxa" w:w="3384"/>
            <w:vAlign w:val="center"/>
          </w:tcPr>
          <w:p>
            <w:pPr>
              <w:spacing w:after="20"/>
            </w:pPr>
            <w:r>
              <w:rPr>
                <w:sz w:val="19"/>
              </w:rPr>
              <w:t>Implemented as modular NestJS services</w:t>
            </w:r>
          </w:p>
        </w:tc>
      </w:tr>
      <w:tr>
        <w:tc>
          <w:tcPr>
            <w:tcW w:type="dxa" w:w="1800"/>
            <w:vAlign w:val="center"/>
          </w:tcPr>
          <w:p>
            <w:pPr>
              <w:spacing w:after="20"/>
              <w:jc w:val="center"/>
            </w:pPr>
            <w:r>
              <w:rPr>
                <w:sz w:val="19"/>
              </w:rPr>
              <w:t>Integration</w:t>
            </w:r>
          </w:p>
        </w:tc>
        <w:tc>
          <w:tcPr>
            <w:tcW w:type="dxa" w:w="3600"/>
            <w:vAlign w:val="center"/>
          </w:tcPr>
          <w:p>
            <w:pPr>
              <w:spacing w:after="20"/>
            </w:pPr>
            <w:r>
              <w:rPr>
                <w:sz w:val="19"/>
              </w:rPr>
              <w:t>Liveness provider, notifications, future NIN/BVN links</w:t>
            </w:r>
          </w:p>
        </w:tc>
        <w:tc>
          <w:tcPr>
            <w:tcW w:type="dxa" w:w="3384"/>
            <w:vAlign w:val="center"/>
          </w:tcPr>
          <w:p>
            <w:pPr>
              <w:spacing w:after="20"/>
            </w:pPr>
            <w:r>
              <w:rPr>
                <w:sz w:val="19"/>
              </w:rPr>
              <w:t>Loose coupling and controlled adapters</w:t>
            </w:r>
          </w:p>
        </w:tc>
      </w:tr>
      <w:tr>
        <w:tc>
          <w:tcPr>
            <w:tcW w:type="dxa" w:w="1800"/>
            <w:vAlign w:val="center"/>
          </w:tcPr>
          <w:p>
            <w:pPr>
              <w:spacing w:after="20"/>
              <w:jc w:val="center"/>
            </w:pPr>
            <w:r>
              <w:rPr>
                <w:sz w:val="19"/>
              </w:rPr>
              <w:t>Data</w:t>
            </w:r>
          </w:p>
        </w:tc>
        <w:tc>
          <w:tcPr>
            <w:tcW w:type="dxa" w:w="3600"/>
            <w:vAlign w:val="center"/>
          </w:tcPr>
          <w:p>
            <w:pPr>
              <w:spacing w:after="20"/>
            </w:pPr>
            <w:r>
              <w:rPr>
                <w:sz w:val="19"/>
              </w:rPr>
              <w:t>Pensioners, sessions, outcomes, users, logs</w:t>
            </w:r>
          </w:p>
        </w:tc>
        <w:tc>
          <w:tcPr>
            <w:tcW w:type="dxa" w:w="3384"/>
            <w:vAlign w:val="center"/>
          </w:tcPr>
          <w:p>
            <w:pPr>
              <w:spacing w:after="20"/>
            </w:pPr>
            <w:r>
              <w:rPr>
                <w:sz w:val="19"/>
              </w:rPr>
              <w:t>PostgreSQL as system of record</w:t>
            </w:r>
          </w:p>
        </w:tc>
      </w:tr>
      <w:tr>
        <w:tc>
          <w:tcPr>
            <w:tcW w:type="dxa" w:w="1800"/>
            <w:vAlign w:val="center"/>
          </w:tcPr>
          <w:p>
            <w:pPr>
              <w:spacing w:after="20"/>
              <w:jc w:val="center"/>
            </w:pPr>
            <w:r>
              <w:rPr>
                <w:sz w:val="19"/>
              </w:rPr>
              <w:t>Observability</w:t>
            </w:r>
          </w:p>
        </w:tc>
        <w:tc>
          <w:tcPr>
            <w:tcW w:type="dxa" w:w="3600"/>
            <w:vAlign w:val="center"/>
          </w:tcPr>
          <w:p>
            <w:pPr>
              <w:spacing w:after="20"/>
            </w:pPr>
            <w:r>
              <w:rPr>
                <w:sz w:val="19"/>
              </w:rPr>
              <w:t>Metrics, audit trails, health and alerting</w:t>
            </w:r>
          </w:p>
        </w:tc>
        <w:tc>
          <w:tcPr>
            <w:tcW w:type="dxa" w:w="3384"/>
            <w:vAlign w:val="center"/>
          </w:tcPr>
          <w:p>
            <w:pPr>
              <w:spacing w:after="20"/>
            </w:pPr>
            <w:r>
              <w:rPr>
                <w:sz w:val="19"/>
              </w:rPr>
              <w:t>Production operations and accountability</w:t>
            </w:r>
          </w:p>
        </w:tc>
      </w:tr>
    </w:tbl>
    <w:p/>
    <w:p>
      <w:pPr>
        <w:pStyle w:val="Heading1"/>
      </w:pPr>
      <w:r>
        <w:t>Data architecture</w:t>
      </w:r>
    </w:p>
    <w:p>
      <w:pPr/>
      <w:r>
        <w:t>The data model should preserve operational clarity. The system of record should separate pensioner master records, verification cycles, verification sessions, verification decisions, administrative roles, support cases, and audit events.</w:t>
      </w:r>
    </w:p>
    <w:tbl>
      <w:tblPr>
        <w:tblStyle w:val="TableGrid"/>
        <w:tblW w:type="auto" w:w="0"/>
        <w:jc w:val="center"/>
        <w:tblLook w:firstColumn="1" w:firstRow="1" w:lastColumn="0" w:lastRow="0" w:noHBand="0" w:noVBand="1" w:val="04A0"/>
      </w:tblPr>
      <w:tblGrid>
        <w:gridCol w:w="4968"/>
        <w:gridCol w:w="4968"/>
      </w:tblGrid>
      <w:tr>
        <w:tc>
          <w:tcPr>
            <w:tcW w:type="dxa" w:w="2880"/>
            <w:shd w:fill="DCE6FF"/>
          </w:tcPr>
          <w:p>
            <w:pPr>
              <w:jc w:val="center"/>
            </w:pPr>
            <w:r>
              <w:rPr>
                <w:b/>
                <w:color w:val="0B228C"/>
                <w:sz w:val="19"/>
              </w:rPr>
              <w:t>Entity</w:t>
            </w:r>
          </w:p>
        </w:tc>
        <w:tc>
          <w:tcPr>
            <w:tcW w:type="dxa" w:w="5904"/>
            <w:shd w:fill="DCE6FF"/>
          </w:tcPr>
          <w:p>
            <w:pPr>
              <w:jc w:val="center"/>
            </w:pPr>
            <w:r>
              <w:rPr>
                <w:b/>
                <w:color w:val="0B228C"/>
                <w:sz w:val="19"/>
              </w:rPr>
              <w:t>Purpose</w:t>
            </w:r>
          </w:p>
        </w:tc>
      </w:tr>
      <w:tr>
        <w:tc>
          <w:tcPr>
            <w:tcW w:type="dxa" w:w="2880"/>
            <w:vAlign w:val="center"/>
          </w:tcPr>
          <w:p>
            <w:pPr>
              <w:spacing w:after="20"/>
              <w:jc w:val="center"/>
            </w:pPr>
            <w:r>
              <w:rPr>
                <w:sz w:val="19"/>
              </w:rPr>
              <w:t>Pensioners</w:t>
            </w:r>
          </w:p>
        </w:tc>
        <w:tc>
          <w:tcPr>
            <w:tcW w:type="dxa" w:w="5904"/>
            <w:vAlign w:val="center"/>
          </w:tcPr>
          <w:p>
            <w:pPr>
              <w:spacing w:after="20"/>
            </w:pPr>
            <w:r>
              <w:rPr>
                <w:sz w:val="19"/>
              </w:rPr>
              <w:t>Core identity, service status, and contact record.</w:t>
            </w:r>
          </w:p>
        </w:tc>
      </w:tr>
      <w:tr>
        <w:tc>
          <w:tcPr>
            <w:tcW w:type="dxa" w:w="2880"/>
            <w:vAlign w:val="center"/>
          </w:tcPr>
          <w:p>
            <w:pPr>
              <w:spacing w:after="20"/>
              <w:jc w:val="center"/>
            </w:pPr>
            <w:r>
              <w:rPr>
                <w:sz w:val="19"/>
              </w:rPr>
              <w:t>Verification cycles</w:t>
            </w:r>
          </w:p>
        </w:tc>
        <w:tc>
          <w:tcPr>
            <w:tcW w:type="dxa" w:w="5904"/>
            <w:vAlign w:val="center"/>
          </w:tcPr>
          <w:p>
            <w:pPr>
              <w:spacing w:after="20"/>
            </w:pPr>
            <w:r>
              <w:rPr>
                <w:sz w:val="19"/>
              </w:rPr>
              <w:t>Defines each verification period and policy window.</w:t>
            </w:r>
          </w:p>
        </w:tc>
      </w:tr>
      <w:tr>
        <w:tc>
          <w:tcPr>
            <w:tcW w:type="dxa" w:w="2880"/>
            <w:vAlign w:val="center"/>
          </w:tcPr>
          <w:p>
            <w:pPr>
              <w:spacing w:after="20"/>
              <w:jc w:val="center"/>
            </w:pPr>
            <w:r>
              <w:rPr>
                <w:sz w:val="19"/>
              </w:rPr>
              <w:t>Verification sessions</w:t>
            </w:r>
          </w:p>
        </w:tc>
        <w:tc>
          <w:tcPr>
            <w:tcW w:type="dxa" w:w="5904"/>
            <w:vAlign w:val="center"/>
          </w:tcPr>
          <w:p>
            <w:pPr>
              <w:spacing w:after="20"/>
            </w:pPr>
            <w:r>
              <w:rPr>
                <w:sz w:val="19"/>
              </w:rPr>
              <w:t>Tracks each initiated verification event.</w:t>
            </w:r>
          </w:p>
        </w:tc>
      </w:tr>
      <w:tr>
        <w:tc>
          <w:tcPr>
            <w:tcW w:type="dxa" w:w="2880"/>
            <w:vAlign w:val="center"/>
          </w:tcPr>
          <w:p>
            <w:pPr>
              <w:spacing w:after="20"/>
              <w:jc w:val="center"/>
            </w:pPr>
            <w:r>
              <w:rPr>
                <w:sz w:val="19"/>
              </w:rPr>
              <w:t>Verification results</w:t>
            </w:r>
          </w:p>
        </w:tc>
        <w:tc>
          <w:tcPr>
            <w:tcW w:type="dxa" w:w="5904"/>
            <w:vAlign w:val="center"/>
          </w:tcPr>
          <w:p>
            <w:pPr>
              <w:spacing w:after="20"/>
            </w:pPr>
            <w:r>
              <w:rPr>
                <w:sz w:val="19"/>
              </w:rPr>
              <w:t>Stores system and reviewer outcomes.</w:t>
            </w:r>
          </w:p>
        </w:tc>
      </w:tr>
      <w:tr>
        <w:tc>
          <w:tcPr>
            <w:tcW w:type="dxa" w:w="2880"/>
            <w:vAlign w:val="center"/>
          </w:tcPr>
          <w:p>
            <w:pPr>
              <w:spacing w:after="20"/>
              <w:jc w:val="center"/>
            </w:pPr>
            <w:r>
              <w:rPr>
                <w:sz w:val="19"/>
              </w:rPr>
              <w:t>Admin users and roles</w:t>
            </w:r>
          </w:p>
        </w:tc>
        <w:tc>
          <w:tcPr>
            <w:tcW w:type="dxa" w:w="5904"/>
            <w:vAlign w:val="center"/>
          </w:tcPr>
          <w:p>
            <w:pPr>
              <w:spacing w:after="20"/>
            </w:pPr>
            <w:r>
              <w:rPr>
                <w:sz w:val="19"/>
              </w:rPr>
              <w:t>Access control and accountability model.</w:t>
            </w:r>
          </w:p>
        </w:tc>
      </w:tr>
      <w:tr>
        <w:tc>
          <w:tcPr>
            <w:tcW w:type="dxa" w:w="2880"/>
            <w:vAlign w:val="center"/>
          </w:tcPr>
          <w:p>
            <w:pPr>
              <w:spacing w:after="20"/>
              <w:jc w:val="center"/>
            </w:pPr>
            <w:r>
              <w:rPr>
                <w:sz w:val="19"/>
              </w:rPr>
              <w:t>Support cases</w:t>
            </w:r>
          </w:p>
        </w:tc>
        <w:tc>
          <w:tcPr>
            <w:tcW w:type="dxa" w:w="5904"/>
            <w:vAlign w:val="center"/>
          </w:tcPr>
          <w:p>
            <w:pPr>
              <w:spacing w:after="20"/>
            </w:pPr>
            <w:r>
              <w:rPr>
                <w:sz w:val="19"/>
              </w:rPr>
              <w:t>Captures assisted-service and exception handling.</w:t>
            </w:r>
          </w:p>
        </w:tc>
      </w:tr>
      <w:tr>
        <w:tc>
          <w:tcPr>
            <w:tcW w:type="dxa" w:w="2880"/>
            <w:vAlign w:val="center"/>
          </w:tcPr>
          <w:p>
            <w:pPr>
              <w:spacing w:after="20"/>
              <w:jc w:val="center"/>
            </w:pPr>
            <w:r>
              <w:rPr>
                <w:sz w:val="19"/>
              </w:rPr>
              <w:t>Audit logs</w:t>
            </w:r>
          </w:p>
        </w:tc>
        <w:tc>
          <w:tcPr>
            <w:tcW w:type="dxa" w:w="5904"/>
            <w:vAlign w:val="center"/>
          </w:tcPr>
          <w:p>
            <w:pPr>
              <w:spacing w:after="20"/>
            </w:pPr>
            <w:r>
              <w:rPr>
                <w:sz w:val="19"/>
              </w:rPr>
              <w:t>Immutable operational trail for sensitive actions.</w:t>
            </w:r>
          </w:p>
        </w:tc>
      </w:tr>
    </w:tbl>
    <w:p/>
    <w:p>
      <w:pPr>
        <w:pStyle w:val="Heading1"/>
      </w:pPr>
      <w:r>
        <w:t>Security architecture</w:t>
      </w:r>
    </w:p>
    <w:p>
      <w:pPr/>
      <w:r>
        <w:t>The architecture should comply with public-sector expectations for identity, access, privacy, and reviewability. All sensitive traffic should be encrypted in transit. Sensitive fields should be encrypted or otherwise protected at rest. Administrative actions should be attributable to named users and time-stamped.</w:t>
      </w:r>
    </w:p>
    <w:p>
      <w:pPr>
        <w:pStyle w:val="ListBullet"/>
      </w:pPr>
      <w:r>
        <w:t>Role-based access control with least-privilege defaults.</w:t>
      </w:r>
    </w:p>
    <w:p>
      <w:pPr>
        <w:pStyle w:val="ListBullet"/>
      </w:pPr>
      <w:r>
        <w:t>Separate privileges for review, override, and user administration.</w:t>
      </w:r>
    </w:p>
    <w:p>
      <w:pPr>
        <w:pStyle w:val="ListBullet"/>
      </w:pPr>
      <w:r>
        <w:t>OTP-backed account access for pensioners where appropriate.</w:t>
      </w:r>
    </w:p>
    <w:p>
      <w:pPr>
        <w:pStyle w:val="ListBullet"/>
      </w:pPr>
      <w:r>
        <w:t>Comprehensive audit logging for verification decisions and profile changes.</w:t>
      </w:r>
    </w:p>
    <w:p>
      <w:pPr>
        <w:pStyle w:val="ListBullet"/>
      </w:pPr>
      <w:r>
        <w:t>Rate limiting, session expiry, and suspicious-attempt controls.</w:t>
      </w:r>
    </w:p>
    <w:p>
      <w:pPr>
        <w:pStyle w:val="ListBullet"/>
      </w:pPr>
      <w:r>
        <w:t>No unnecessary retention of raw biometric artefacts.</w:t>
      </w:r>
    </w:p>
    <w:p>
      <w:pPr>
        <w:pStyle w:val="Heading1"/>
      </w:pPr>
      <w:r>
        <w:t>Deployment model</w:t>
      </w:r>
    </w:p>
    <w:p>
      <w:pPr/>
      <w:r>
        <w:t>At pilot stage, the deployment should remain straightforward: a web frontend, an API backend, a relational database, a queue or cache layer where needed, and centralised monitoring. Environments should be separated into development, staging, and pilot production. Backups, recovery procedures, and access control should be documented from the beginning.</w:t>
      </w:r>
    </w:p>
    <w:p>
      <w:pPr/>
      <w:r>
        <w:t>This architecture is sufficient for a controlled pilot and can be expanded later into more segmented infrastructure if institutional scale, traffic, or compliance requirements demand it.</w:t>
      </w:r>
    </w:p>
    <w:p>
      <w:pPr>
        <w:pStyle w:val="Heading1"/>
      </w:pPr>
      <w:r>
        <w:t>Implementation sequence</w:t>
      </w:r>
    </w:p>
    <w:p>
      <w:pPr>
        <w:pStyle w:val="ListBullet"/>
      </w:pPr>
      <w:r>
        <w:t>Build the master data structure and access model first.</w:t>
      </w:r>
    </w:p>
    <w:p>
      <w:pPr>
        <w:pStyle w:val="ListBullet"/>
      </w:pPr>
      <w:r>
        <w:t>Implement pensioner sign-in, onboarding, and verification session logic next.</w:t>
      </w:r>
    </w:p>
    <w:p>
      <w:pPr>
        <w:pStyle w:val="ListBullet"/>
      </w:pPr>
      <w:r>
        <w:t>Add admin review queues and decision logging before analytics depth.</w:t>
      </w:r>
    </w:p>
    <w:p>
      <w:pPr>
        <w:pStyle w:val="ListBullet"/>
      </w:pPr>
      <w:r>
        <w:t>Integrate notification flows and assisted-service case handling after core verification stability.</w:t>
      </w:r>
    </w:p>
    <w:p>
      <w:pPr>
        <w:pStyle w:val="ListBullet"/>
      </w:pPr>
      <w:r>
        <w:t>Expand reporting and external integrations only after pilot evidence supports it.</w:t>
      </w:r>
    </w:p>
    <w:p>
      <w:pPr>
        <w:pStyle w:val="Heading1"/>
      </w:pPr>
      <w:r>
        <w:t>Reference base</w:t>
      </w:r>
    </w:p>
    <w:p>
      <w:pPr/>
      <w:r>
        <w:t>The document was developed against the following current official and high-trust materials.</w:t>
      </w:r>
    </w:p>
    <w:p>
      <w:pPr>
        <w:pStyle w:val="ListBullet"/>
      </w:pPr>
      <w:r>
        <w:t>Cross River State Bureau of Statistics, Facts and Figures of Cross River State, 2024 Edition (published 2025).</w:t>
      </w:r>
    </w:p>
    <w:p>
      <w:pPr>
        <w:pStyle w:val="ListBullet"/>
      </w:pPr>
      <w:r>
        <w:t>Cross River State Government official website and institutional directory pages.</w:t>
      </w:r>
    </w:p>
    <w:p>
      <w:pPr>
        <w:pStyle w:val="ListBullet"/>
      </w:pPr>
      <w:r>
        <w:t>Cross River State 2025 Revised Budget and 2026 Approved Budget publications.</w:t>
      </w:r>
    </w:p>
    <w:p>
      <w:pPr>
        <w:pStyle w:val="ListBullet"/>
      </w:pPr>
      <w:r>
        <w:t>Cross River State Ministry of Finance, DSA-DMS Report 2024 and 2025.</w:t>
      </w:r>
    </w:p>
    <w:p>
      <w:pPr>
        <w:pStyle w:val="ListBullet"/>
      </w:pPr>
      <w:r>
        <w:t>National Pension Commission (PenCom) guidelines and verification materials.</w:t>
      </w:r>
    </w:p>
    <w:p>
      <w:pPr>
        <w:pStyle w:val="ListBullet"/>
      </w:pPr>
      <w:r>
        <w:t>National Identity Management Commission (NIMC) identity verification materials.</w:t>
      </w:r>
    </w:p>
    <w:p>
      <w:pPr>
        <w:pStyle w:val="ListBullet"/>
      </w:pPr>
      <w:r>
        <w:t>Nigeria Inter-Bank Settlement System (NIBSS) identity and BVN service materials.</w:t>
      </w:r>
    </w:p>
    <w:p>
      <w:pPr>
        <w:pStyle w:val="ListBullet"/>
      </w:pPr>
      <w:r>
        <w:t>Nigeria Data Protection Act 2023 and related implementation guidance.</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7"/>
      </w:rPr>
      <w:t>CRS-PDVS | Confidential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00"/>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0B228C"/>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ptos" w:hAnsi="Aptos"/>
      <w:b/>
      <w:bCs/>
      <w:color w:val="0B228C"/>
      <w:sz w:val="24"/>
      <w:szCs w:val="26"/>
    </w:rPr>
  </w:style>
  <w:style w:type="paragraph" w:styleId="Heading3">
    <w:name w:val="heading 3"/>
    <w:basedOn w:val="Normal"/>
    <w:next w:val="Normal"/>
    <w:link w:val="Heading3Char"/>
    <w:uiPriority w:val="9"/>
    <w:unhideWhenUsed/>
    <w:qFormat/>
    <w:rsid w:val="00FC693F"/>
    <w:pPr>
      <w:keepNext/>
      <w:keepLines/>
      <w:spacing w:before="80" w:after="0"/>
      <w:outlineLvl w:val="2"/>
    </w:pPr>
    <w:rPr>
      <w:rFonts w:asciiTheme="majorHAnsi" w:eastAsiaTheme="majorEastAsia" w:hAnsiTheme="majorHAnsi" w:cstheme="majorBidi" w:ascii="Aptos" w:hAnsi="Aptos"/>
      <w:b/>
      <w:bCs/>
      <w:color w:val="2222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B228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