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180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18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color w:val="666666"/>
          <w:sz w:val="22"/>
        </w:rPr>
        <w:t>CROSS RIVER STATE PENSIONERS DIGITAL VERIFICATION SYSTEM</w:t>
      </w:r>
    </w:p>
    <w:p>
      <w:pPr>
        <w:jc w:val="center"/>
      </w:pPr>
      <w:r>
        <w:rPr>
          <w:rFonts w:ascii="Aptos Display" w:hAnsi="Aptos Display"/>
          <w:b/>
          <w:color w:val="0B228C"/>
          <w:sz w:val="48"/>
        </w:rPr>
        <w:t>Pilot Implementation Plan</w:t>
      </w:r>
    </w:p>
    <w:p>
      <w:pPr>
        <w:jc w:val="center"/>
      </w:pPr>
      <w:r>
        <w:rPr>
          <w:rFonts w:ascii="Aptos" w:hAnsi="Aptos"/>
          <w:i w:val="0"/>
          <w:color w:val="222222"/>
          <w:sz w:val="22"/>
        </w:rPr>
        <w:t>Controlled pilot scope, phases, measures, and operating model for CRS-PDVS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Document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Document 07</w:t>
            </w:r>
          </w:p>
        </w:tc>
      </w:tr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Status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Confidential Working Document</w:t>
            </w:r>
          </w:p>
        </w:tc>
      </w:tr>
      <w:tr>
        <w:tc>
          <w:tcPr>
            <w:tcW w:type="dxa" w:w="2376"/>
            <w:vAlign w:val="center"/>
            <w:shd w:fill="EAF0FF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Use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Internal planning and institutional review support</w:t>
            </w:r>
          </w:p>
        </w:tc>
      </w:tr>
    </w:tbl>
    <w:p/>
    <w:p>
      <w:pPr>
        <w:jc w:val="center"/>
      </w:pPr>
      <w:r>
        <w:rPr>
          <w:color w:val="666666"/>
          <w:sz w:val="20"/>
        </w:rPr>
        <w:t>Prepared for disciplined concept development, stakeholder engagement, and implementation planning.</w:t>
      </w:r>
    </w:p>
    <w:p>
      <w:r>
        <w:br w:type="page"/>
      </w:r>
    </w:p>
    <w:p>
      <w:pPr>
        <w:pStyle w:val="Heading1"/>
      </w:pPr>
      <w:r>
        <w:t>Plan objective</w:t>
      </w:r>
    </w:p>
    <w:p>
      <w:pPr/>
      <w:r>
        <w:t>This document sets out the recommended pilot plan for CRS-PDVS. The objective is to validate usability, operational fit, administrative value, and security discipline in a controlled environment before any broader rollout is considered.</w:t>
      </w:r>
    </w:p>
    <w:p>
      <w:pPr/>
      <w:r>
        <w:t>The pilot should demonstrate that remote and assisted verification can function credibly within Cross River State’s administrative reality, rather than merely showing that the user interface looks modern.</w:t>
      </w:r>
    </w:p>
    <w:p>
      <w:pPr>
        <w:pStyle w:val="Heading1"/>
      </w:pPr>
      <w:r>
        <w:t>Pilot design basis</w:t>
      </w:r>
    </w:p>
    <w:p>
      <w:pPr/>
      <w:r>
        <w:t>Cross River State has eighteen local government areas and a spatial spread that makes travel burden uneven. A credible pilot should therefore test the service under conditions that reflect both urban access and non-urban administrative realities.</w:t>
      </w:r>
    </w:p>
    <w:p>
      <w:pPr>
        <w:pStyle w:val="ListBullet"/>
      </w:pPr>
      <w:r>
        <w:t>Administrative command remains in Calabar.</w:t>
      </w:r>
    </w:p>
    <w:p>
      <w:pPr>
        <w:pStyle w:val="ListBullet"/>
      </w:pPr>
      <w:r>
        <w:t>Service design must still account for users outside Calabar.</w:t>
      </w:r>
    </w:p>
    <w:p>
      <w:pPr>
        <w:pStyle w:val="ListBullet"/>
      </w:pPr>
      <w:r>
        <w:t>Assisted verification must be tested alongside self-service.</w:t>
      </w:r>
    </w:p>
    <w:p>
      <w:pPr>
        <w:pStyle w:val="ListBullet"/>
      </w:pPr>
      <w:r>
        <w:t>Exception handling is as important as successful digital completions.</w:t>
      </w:r>
    </w:p>
    <w:p>
      <w:pPr>
        <w:pStyle w:val="Heading1"/>
      </w:pPr>
      <w:r>
        <w:t>Recommended pilot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Pilot element</w:t>
            </w:r>
          </w:p>
        </w:tc>
        <w:tc>
          <w:tcPr>
            <w:tcW w:type="dxa" w:w="6336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Recommendation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Duration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sz w:val="19"/>
              </w:rPr>
              <w:t>8-12 weeks from controlled onboarding to close-out review.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User volume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sz w:val="19"/>
              </w:rPr>
              <w:t>Approximately 250-400 pensioners in a controlled cohort.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Coverage pattern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sz w:val="19"/>
              </w:rPr>
              <w:t>Calabar-based admin operations with one additional assisted-service area outside the capital corridor.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Operational model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sz w:val="19"/>
              </w:rPr>
              <w:t>Mixed self-service and assisted verification.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Support model</w:t>
            </w:r>
          </w:p>
        </w:tc>
        <w:tc>
          <w:tcPr>
            <w:tcW w:type="dxa" w:w="6336"/>
            <w:vAlign w:val="center"/>
          </w:tcPr>
          <w:p>
            <w:pPr>
              <w:spacing w:after="20"/>
            </w:pPr>
            <w:r>
              <w:rPr>
                <w:sz w:val="19"/>
              </w:rPr>
              <w:t>Dedicated help desk, escalation lead, and daily issue log.</w:t>
            </w:r>
          </w:p>
        </w:tc>
      </w:tr>
    </w:tbl>
    <w:p/>
    <w:p>
      <w:pPr>
        <w:pStyle w:val="Heading1"/>
      </w:pPr>
      <w:r>
        <w:t>Pilot phases</w:t>
      </w:r>
    </w:p>
    <w:p>
      <w:pPr>
        <w:pStyle w:val="Heading2"/>
      </w:pPr>
      <w:r>
        <w:t>Phase 1 - readiness</w:t>
      </w:r>
    </w:p>
    <w:p>
      <w:pPr>
        <w:pStyle w:val="ListBullet"/>
      </w:pPr>
      <w:r>
        <w:t>Confirm participating officials and decision owners.</w:t>
      </w:r>
    </w:p>
    <w:p>
      <w:pPr>
        <w:pStyle w:val="ListBullet"/>
      </w:pPr>
      <w:r>
        <w:t>Validate sample data and operational assumptions.</w:t>
      </w:r>
    </w:p>
    <w:p>
      <w:pPr>
        <w:pStyle w:val="ListBullet"/>
      </w:pPr>
      <w:r>
        <w:t>Configure roles, scripts, support materials, and test accounts.</w:t>
      </w:r>
    </w:p>
    <w:p>
      <w:pPr>
        <w:pStyle w:val="Heading2"/>
      </w:pPr>
      <w:r>
        <w:t>Phase 2 - controlled onboarding</w:t>
      </w:r>
    </w:p>
    <w:p>
      <w:pPr>
        <w:pStyle w:val="ListBullet"/>
      </w:pPr>
      <w:r>
        <w:t>Enroll the pilot pensioner cohort.</w:t>
      </w:r>
    </w:p>
    <w:p>
      <w:pPr>
        <w:pStyle w:val="ListBullet"/>
      </w:pPr>
      <w:r>
        <w:t>Issue onboarding guidance and support contacts.</w:t>
      </w:r>
    </w:p>
    <w:p>
      <w:pPr>
        <w:pStyle w:val="ListBullet"/>
      </w:pPr>
      <w:r>
        <w:t>Brief verification officers and support staff.</w:t>
      </w:r>
    </w:p>
    <w:p>
      <w:pPr>
        <w:pStyle w:val="Heading2"/>
      </w:pPr>
      <w:r>
        <w:t>Phase 3 - live verification window</w:t>
      </w:r>
    </w:p>
    <w:p>
      <w:pPr>
        <w:pStyle w:val="ListBullet"/>
      </w:pPr>
      <w:r>
        <w:t>Run real user verification attempts under monitoring.</w:t>
      </w:r>
    </w:p>
    <w:p>
      <w:pPr>
        <w:pStyle w:val="ListBullet"/>
      </w:pPr>
      <w:r>
        <w:t>Capture completion outcomes, drop-off reasons, and support interventions.</w:t>
      </w:r>
    </w:p>
    <w:p>
      <w:pPr>
        <w:pStyle w:val="ListBullet"/>
      </w:pPr>
      <w:r>
        <w:t>Escalate unresolved cases through a documented review path.</w:t>
      </w:r>
    </w:p>
    <w:p>
      <w:pPr>
        <w:pStyle w:val="Heading2"/>
      </w:pPr>
      <w:r>
        <w:t>Phase 4 - review and decision</w:t>
      </w:r>
    </w:p>
    <w:p>
      <w:pPr>
        <w:pStyle w:val="ListBullet"/>
      </w:pPr>
      <w:r>
        <w:t>Close the pilot with a measured operational assessment.</w:t>
      </w:r>
    </w:p>
    <w:p>
      <w:pPr>
        <w:pStyle w:val="ListBullet"/>
      </w:pPr>
      <w:r>
        <w:t>Identify what is ready for wider adoption, what needs redesign, and what should remain deferred.</w:t>
      </w:r>
    </w:p>
    <w:p>
      <w:pPr>
        <w:pStyle w:val="Heading1"/>
      </w:pPr>
      <w:r>
        <w:t>Success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Measure</w:t>
            </w:r>
          </w:p>
        </w:tc>
        <w:tc>
          <w:tcPr>
            <w:tcW w:type="dxa" w:w="6480"/>
            <w:shd w:fill="DCE6FF"/>
          </w:tcPr>
          <w:p>
            <w:pPr>
              <w:jc w:val="center"/>
            </w:pPr>
            <w:r>
              <w:rPr>
                <w:b/>
                <w:color w:val="0B228C"/>
                <w:sz w:val="19"/>
              </w:rPr>
              <w:t>What good looks like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Completion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>
              <w:rPr>
                <w:sz w:val="19"/>
              </w:rPr>
              <w:t>Most enrolled users can complete or validly route through the workflow.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Usability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>
              <w:rPr>
                <w:sz w:val="19"/>
              </w:rPr>
              <w:t>Users understand what to do without repeated confusion.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Admin value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>
              <w:rPr>
                <w:sz w:val="19"/>
              </w:rPr>
              <w:t>Officials can review, track, and resolve cases faster than in fragmented manual handling.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Security discipline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>
              <w:rPr>
                <w:sz w:val="19"/>
              </w:rPr>
              <w:t>No uncontrolled access paths or undocumented override actions.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  <w:jc w:val="center"/>
            </w:pPr>
            <w:r>
              <w:rPr>
                <w:sz w:val="19"/>
              </w:rPr>
              <w:t>Support burden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>
              <w:rPr>
                <w:sz w:val="19"/>
              </w:rPr>
              <w:t>Issues are classified, resolved, and learnings are fed back into product refinement.</w:t>
            </w:r>
          </w:p>
        </w:tc>
      </w:tr>
    </w:tbl>
    <w:p/>
    <w:p>
      <w:pPr>
        <w:pStyle w:val="Heading1"/>
      </w:pPr>
      <w:r>
        <w:t>Operational team model</w:t>
      </w:r>
    </w:p>
    <w:p>
      <w:pPr/>
      <w:r>
        <w:t>A small but disciplined pilot team is preferable to a broad but loose arrangement. The minimum structure should include a product lead, technical lead, support coordinator, administrative focal person from government, review officer, and a named decision-maker for sensitive exceptions.</w:t>
      </w:r>
    </w:p>
    <w:p>
      <w:pPr/>
      <w:r>
        <w:t>Daily stand-ups, issue registers, and short operational summaries should be maintained throughout the pilot period.</w:t>
      </w:r>
    </w:p>
    <w:p>
      <w:pPr>
        <w:pStyle w:val="Heading1"/>
      </w:pPr>
      <w:r>
        <w:t>Decision gates after pilot</w:t>
      </w:r>
    </w:p>
    <w:p>
      <w:pPr>
        <w:pStyle w:val="ListBullet"/>
      </w:pPr>
      <w:r>
        <w:t>Proceed to a wider pilot with limited refinements.</w:t>
      </w:r>
    </w:p>
    <w:p>
      <w:pPr>
        <w:pStyle w:val="ListBullet"/>
      </w:pPr>
      <w:r>
        <w:t>Proceed to hardening and institutional negotiation.</w:t>
      </w:r>
    </w:p>
    <w:p>
      <w:pPr>
        <w:pStyle w:val="ListBullet"/>
      </w:pPr>
      <w:r>
        <w:t>Rescope the product around assisted verification only.</w:t>
      </w:r>
    </w:p>
    <w:p>
      <w:pPr>
        <w:pStyle w:val="ListBullet"/>
      </w:pPr>
      <w:r>
        <w:t>Pause expansion until data, policy, or process gaps are resolved.</w:t>
      </w:r>
    </w:p>
    <w:p>
      <w:pPr>
        <w:pStyle w:val="Heading1"/>
      </w:pPr>
      <w:r>
        <w:t>Reference base</w:t>
      </w:r>
    </w:p>
    <w:p>
      <w:pPr/>
      <w:r>
        <w:t>The document was developed against the following current official and high-trust materials.</w:t>
      </w:r>
    </w:p>
    <w:p>
      <w:pPr>
        <w:pStyle w:val="ListBullet"/>
      </w:pPr>
      <w:r>
        <w:t>Cross River State Bureau of Statistics, Facts and Figures of Cross River State, 2024 Edition (published 2025).</w:t>
      </w:r>
    </w:p>
    <w:p>
      <w:pPr>
        <w:pStyle w:val="ListBullet"/>
      </w:pPr>
      <w:r>
        <w:t>Cross River State Government official website and institutional directory pages.</w:t>
      </w:r>
    </w:p>
    <w:p>
      <w:pPr>
        <w:pStyle w:val="ListBullet"/>
      </w:pPr>
      <w:r>
        <w:t>Cross River State 2025 Revised Budget and 2026 Approved Budget publications.</w:t>
      </w:r>
    </w:p>
    <w:p>
      <w:pPr>
        <w:pStyle w:val="ListBullet"/>
      </w:pPr>
      <w:r>
        <w:t>Cross River State Ministry of Finance, DSA-DMS Report 2024 and 2025.</w:t>
      </w:r>
    </w:p>
    <w:p>
      <w:pPr>
        <w:pStyle w:val="ListBullet"/>
      </w:pPr>
      <w:r>
        <w:t>National Pension Commission (PenCom) guidelines and verification materials.</w:t>
      </w:r>
    </w:p>
    <w:p>
      <w:pPr>
        <w:pStyle w:val="ListBullet"/>
      </w:pPr>
      <w:r>
        <w:t>National Identity Management Commission (NIMC) identity verification materials.</w:t>
      </w:r>
    </w:p>
    <w:p>
      <w:pPr>
        <w:pStyle w:val="ListBullet"/>
      </w:pPr>
      <w:r>
        <w:t>Nigeria Inter-Bank Settlement System (NIBSS) identity and BVN service materials.</w:t>
      </w:r>
    </w:p>
    <w:p>
      <w:pPr>
        <w:pStyle w:val="ListBullet"/>
      </w:pPr>
      <w:r>
        <w:t>Nigeria Data Protection Act 2023 and related implementation guidance.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7"/>
      </w:rPr>
      <w:t>CRS-PDVS | Confidential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00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B22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0B22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228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