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180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s_logo_white-087ea47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18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color w:val="666666"/>
          <w:sz w:val="22"/>
        </w:rPr>
        <w:t>CROSS RIVER STATE PENSIONERS DIGITAL VERIFICATION SYSTEM</w:t>
      </w:r>
    </w:p>
    <w:p>
      <w:pPr>
        <w:jc w:val="center"/>
      </w:pPr>
      <w:r>
        <w:rPr>
          <w:rFonts w:ascii="Aptos Display" w:hAnsi="Aptos Display"/>
          <w:b/>
          <w:color w:val="0B228C"/>
          <w:sz w:val="48"/>
        </w:rPr>
        <w:t>Compliance, Security and Data Governance Note</w:t>
      </w:r>
    </w:p>
    <w:p>
      <w:pPr>
        <w:jc w:val="center"/>
      </w:pPr>
      <w:r>
        <w:rPr>
          <w:rFonts w:ascii="Aptos" w:hAnsi="Aptos"/>
          <w:i w:val="0"/>
          <w:color w:val="222222"/>
          <w:sz w:val="22"/>
        </w:rPr>
        <w:t>Required privacy, access, audit, and control posture for CRS-PDVS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shd w:fill="EAF0FF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Document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Document 08</w:t>
            </w:r>
          </w:p>
        </w:tc>
      </w:tr>
      <w:tr>
        <w:tc>
          <w:tcPr>
            <w:tcW w:type="dxa" w:w="2376"/>
            <w:vAlign w:val="center"/>
            <w:shd w:fill="EAF0FF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Status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Confidential Working Document</w:t>
            </w:r>
          </w:p>
        </w:tc>
      </w:tr>
      <w:tr>
        <w:tc>
          <w:tcPr>
            <w:tcW w:type="dxa" w:w="2376"/>
            <w:vAlign w:val="center"/>
            <w:shd w:fill="EAF0FF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Use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Internal planning and institutional review support</w:t>
            </w:r>
          </w:p>
        </w:tc>
      </w:tr>
    </w:tbl>
    <w:p/>
    <w:p>
      <w:pPr>
        <w:jc w:val="center"/>
      </w:pPr>
      <w:r>
        <w:rPr>
          <w:color w:val="666666"/>
          <w:sz w:val="20"/>
        </w:rPr>
        <w:t>Prepared for disciplined concept development, stakeholder engagement, and implementation planning.</w:t>
      </w:r>
    </w:p>
    <w:p>
      <w:r>
        <w:br w:type="page"/>
      </w:r>
    </w:p>
    <w:p>
      <w:pPr>
        <w:pStyle w:val="Heading1"/>
      </w:pPr>
      <w:r>
        <w:t>Purpose</w:t>
      </w:r>
    </w:p>
    <w:p>
      <w:pPr/>
      <w:r>
        <w:t>This note establishes the compliance, security, and data-governance posture required for CRS-PDVS. It is intended to keep legal awareness, privacy discipline, and operational control in step with product design and technical delivery.</w:t>
      </w:r>
    </w:p>
    <w:p>
      <w:pPr/>
      <w:r>
        <w:t>Because the platform touches identity, biometrics, pension administration, and payment eligibility logic, compliance cannot be treated as a later-stage documentation task. It must be carried through design, implementation, and operations.</w:t>
      </w:r>
    </w:p>
    <w:p>
      <w:pPr>
        <w:pStyle w:val="Heading1"/>
      </w:pPr>
      <w:r>
        <w:t>Applicable control environment</w:t>
      </w:r>
    </w:p>
    <w:p>
      <w:pPr>
        <w:pStyle w:val="ListBullet"/>
      </w:pPr>
      <w:r>
        <w:t>Nigeria Data Protection Act 2023 and related implementation obligations.</w:t>
      </w:r>
    </w:p>
    <w:p>
      <w:pPr>
        <w:pStyle w:val="ListBullet"/>
      </w:pPr>
      <w:r>
        <w:t>PenCom guidance on verification, enrolment, and handling of personal data.</w:t>
      </w:r>
    </w:p>
    <w:p>
      <w:pPr>
        <w:pStyle w:val="ListBullet"/>
      </w:pPr>
      <w:r>
        <w:t>Institutional rules governing access to pension records and administrative decision-making.</w:t>
      </w:r>
    </w:p>
    <w:p>
      <w:pPr>
        <w:pStyle w:val="ListBullet"/>
      </w:pPr>
      <w:r>
        <w:t>Identity verification expectations arising from NIN and BVN-connected environments where integration is later approved.</w:t>
      </w:r>
    </w:p>
    <w:p>
      <w:pPr>
        <w:pStyle w:val="Heading1"/>
      </w:pPr>
      <w:r>
        <w:t>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Data class</w:t>
            </w:r>
          </w:p>
        </w:tc>
        <w:tc>
          <w:tcPr>
            <w:tcW w:type="dxa" w:w="3384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Examples</w:t>
            </w:r>
          </w:p>
        </w:tc>
        <w:tc>
          <w:tcPr>
            <w:tcW w:type="dxa" w:w="3312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Required posture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Public service metadata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sz w:val="19"/>
              </w:rPr>
              <w:t>Cycle dates, public guidance text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9"/>
              </w:rPr>
              <w:t>Low sensitivity, controlled integrity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Personal data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sz w:val="19"/>
              </w:rPr>
              <w:t>Names, identifiers, contact details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9"/>
              </w:rPr>
              <w:t>Protected access and retention control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Sensitive data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sz w:val="19"/>
              </w:rPr>
              <w:t>Face capture, biometric results, exception notes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9"/>
              </w:rPr>
              <w:t>Restricted access, encryption, minimisation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Administrative logs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sz w:val="19"/>
              </w:rPr>
              <w:t>Reviewer actions, overrides, user access trails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9"/>
              </w:rPr>
              <w:t>High integrity and durable audit protection</w:t>
            </w:r>
          </w:p>
        </w:tc>
      </w:tr>
    </w:tbl>
    <w:p/>
    <w:p>
      <w:pPr>
        <w:pStyle w:val="Heading1"/>
      </w:pPr>
      <w:r>
        <w:t>Core security controls</w:t>
      </w:r>
    </w:p>
    <w:p>
      <w:pPr>
        <w:pStyle w:val="ListBullet"/>
      </w:pPr>
      <w:r>
        <w:t>Least-privilege role assignment across all administrative users.</w:t>
      </w:r>
    </w:p>
    <w:p>
      <w:pPr>
        <w:pStyle w:val="ListBullet"/>
      </w:pPr>
      <w:r>
        <w:t>Encryption in transit and protection of sensitive fields at rest.</w:t>
      </w:r>
    </w:p>
    <w:p>
      <w:pPr>
        <w:pStyle w:val="ListBullet"/>
      </w:pPr>
      <w:r>
        <w:t>Multi-step access for privileged actions and override decisions.</w:t>
      </w:r>
    </w:p>
    <w:p>
      <w:pPr>
        <w:pStyle w:val="ListBullet"/>
      </w:pPr>
      <w:r>
        <w:t>Comprehensive audit logging for access, review, approval, and profile change events.</w:t>
      </w:r>
    </w:p>
    <w:p>
      <w:pPr>
        <w:pStyle w:val="ListBullet"/>
      </w:pPr>
      <w:r>
        <w:t>Session control, device hygiene expectations, and inactivity expiry.</w:t>
      </w:r>
    </w:p>
    <w:p>
      <w:pPr>
        <w:pStyle w:val="ListBullet"/>
      </w:pPr>
      <w:r>
        <w:t>Backup, restore, and incident response procedures documented in advance of pilot operations.</w:t>
      </w:r>
    </w:p>
    <w:p>
      <w:pPr>
        <w:pStyle w:val="Heading1"/>
      </w:pPr>
      <w:r>
        <w:t>Biometric handling posture</w:t>
      </w:r>
    </w:p>
    <w:p>
      <w:pPr/>
      <w:r>
        <w:t>The recommended posture is to avoid collecting or retaining more biometric material than is necessary to prove a verification outcome and support exception handling. Where capture artefacts are processed, retention should be justified, limited, and subject to tightly controlled access.</w:t>
      </w:r>
    </w:p>
    <w:p>
      <w:pPr/>
      <w:r>
        <w:t>Human review should remain available for low-confidence outcomes, poor camera conditions, and edge cases involving elderly users whose capture conditions may vary from ideal.</w:t>
      </w:r>
    </w:p>
    <w:p>
      <w:pPr>
        <w:pStyle w:val="Heading1"/>
      </w:pPr>
      <w:r>
        <w:t>Governance and accountability</w:t>
      </w:r>
    </w:p>
    <w:p>
      <w:pPr/>
      <w:r>
        <w:t>No verification system operating in a public pension context should allow silent overrides or undocumented manual interventions. Sensitive actions should require named users, reason codes, timestamps, and review visibility.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Governance area</w:t>
            </w:r>
          </w:p>
        </w:tc>
        <w:tc>
          <w:tcPr>
            <w:tcW w:type="dxa" w:w="6192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Required rule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User administration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sz w:val="19"/>
              </w:rPr>
              <w:t>No shared accounts. Named role assignment only.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Verification override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sz w:val="19"/>
              </w:rPr>
              <w:t>Reasoned action with approver visibility and audit trail.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Data export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sz w:val="19"/>
              </w:rPr>
              <w:t>Restricted to authorised roles with logging.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Support access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sz w:val="19"/>
              </w:rPr>
              <w:t>Scoped view of only necessary user information.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Incident handling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sz w:val="19"/>
              </w:rPr>
              <w:t>Documented escalation and resolution path.</w:t>
            </w:r>
          </w:p>
        </w:tc>
      </w:tr>
    </w:tbl>
    <w:p/>
    <w:p>
      <w:pPr>
        <w:pStyle w:val="Heading1"/>
      </w:pPr>
      <w:r>
        <w:t>Compliance workflow for project delivery</w:t>
      </w:r>
    </w:p>
    <w:p>
      <w:pPr>
        <w:pStyle w:val="ListBullet"/>
      </w:pPr>
      <w:r>
        <w:t>Complete a data-inventory and processing map before pilot go-live.</w:t>
      </w:r>
    </w:p>
    <w:p>
      <w:pPr>
        <w:pStyle w:val="ListBullet"/>
      </w:pPr>
      <w:r>
        <w:t>Define lawful basis and institutional approvals for each category of sensitive processing.</w:t>
      </w:r>
    </w:p>
    <w:p>
      <w:pPr>
        <w:pStyle w:val="ListBullet"/>
      </w:pPr>
      <w:r>
        <w:t>Prepare privacy notice and user-facing guidance in plain language.</w:t>
      </w:r>
    </w:p>
    <w:p>
      <w:pPr>
        <w:pStyle w:val="ListBullet"/>
      </w:pPr>
      <w:r>
        <w:t>Prepare admin operating procedures for access, review, retention, and support handling.</w:t>
      </w:r>
    </w:p>
    <w:p>
      <w:pPr>
        <w:pStyle w:val="ListBullet"/>
      </w:pPr>
      <w:r>
        <w:t>Run a focused security and privacy review before live testing with real users.</w:t>
      </w:r>
    </w:p>
    <w:p>
      <w:pPr>
        <w:pStyle w:val="Heading1"/>
      </w:pPr>
      <w:r>
        <w:t>Non-negotiable red lines</w:t>
      </w:r>
    </w:p>
    <w:p>
      <w:pPr>
        <w:pStyle w:val="ListBullet"/>
      </w:pPr>
      <w:r>
        <w:t>No production use of untracked administrative accounts.</w:t>
      </w:r>
    </w:p>
    <w:p>
      <w:pPr>
        <w:pStyle w:val="ListBullet"/>
      </w:pPr>
      <w:r>
        <w:t>No casual copying or export of sensitive records.</w:t>
      </w:r>
    </w:p>
    <w:p>
      <w:pPr>
        <w:pStyle w:val="ListBullet"/>
      </w:pPr>
      <w:r>
        <w:t>No retention of biometric material without a defined operational need.</w:t>
      </w:r>
    </w:p>
    <w:p>
      <w:pPr>
        <w:pStyle w:val="ListBullet"/>
      </w:pPr>
      <w:r>
        <w:t>No undocumented manual decisions affecting verification status.</w:t>
      </w:r>
    </w:p>
    <w:p>
      <w:pPr>
        <w:pStyle w:val="ListBullet"/>
      </w:pPr>
      <w:r>
        <w:t>No live rollout without recovery, logging, and access-control readiness.</w:t>
      </w:r>
    </w:p>
    <w:p>
      <w:pPr>
        <w:pStyle w:val="Heading1"/>
      </w:pPr>
      <w:r>
        <w:t>Reference base</w:t>
      </w:r>
    </w:p>
    <w:p>
      <w:pPr/>
      <w:r>
        <w:t>The document was developed against the following current official and high-trust materials.</w:t>
      </w:r>
    </w:p>
    <w:p>
      <w:pPr>
        <w:pStyle w:val="ListBullet"/>
      </w:pPr>
      <w:r>
        <w:t>Cross River State Bureau of Statistics, Facts and Figures of Cross River State, 2024 Edition (published 2025).</w:t>
      </w:r>
    </w:p>
    <w:p>
      <w:pPr>
        <w:pStyle w:val="ListBullet"/>
      </w:pPr>
      <w:r>
        <w:t>Cross River State Government official website and institutional directory pages.</w:t>
      </w:r>
    </w:p>
    <w:p>
      <w:pPr>
        <w:pStyle w:val="ListBullet"/>
      </w:pPr>
      <w:r>
        <w:t>Cross River State 2025 Revised Budget and 2026 Approved Budget publications.</w:t>
      </w:r>
    </w:p>
    <w:p>
      <w:pPr>
        <w:pStyle w:val="ListBullet"/>
      </w:pPr>
      <w:r>
        <w:t>Cross River State Ministry of Finance, DSA-DMS Report 2024 and 2025.</w:t>
      </w:r>
    </w:p>
    <w:p>
      <w:pPr>
        <w:pStyle w:val="ListBullet"/>
      </w:pPr>
      <w:r>
        <w:t>National Pension Commission (PenCom) guidelines and verification materials.</w:t>
      </w:r>
    </w:p>
    <w:p>
      <w:pPr>
        <w:pStyle w:val="ListBullet"/>
      </w:pPr>
      <w:r>
        <w:t>National Identity Management Commission (NIMC) identity verification materials.</w:t>
      </w:r>
    </w:p>
    <w:p>
      <w:pPr>
        <w:pStyle w:val="ListBullet"/>
      </w:pPr>
      <w:r>
        <w:t>Nigeria Inter-Bank Settlement System (NIBSS) identity and BVN service materials.</w:t>
      </w:r>
    </w:p>
    <w:p>
      <w:pPr>
        <w:pStyle w:val="ListBullet"/>
      </w:pPr>
      <w:r>
        <w:t>Nigeria Data Protection Act 2023 and related implementation guidance.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7"/>
      </w:rPr>
      <w:t>CRS-PDVS | Confidential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00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B22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0B22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B22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