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180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s_logo_white-087ea47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18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color w:val="666666"/>
          <w:sz w:val="22"/>
        </w:rPr>
        <w:t>CROSS RIVER STATE PENSIONERS DIGITAL VERIFICATION SYSTEM</w:t>
      </w:r>
    </w:p>
    <w:p>
      <w:pPr>
        <w:jc w:val="center"/>
      </w:pPr>
      <w:r>
        <w:rPr>
          <w:rFonts w:ascii="Aptos Display" w:hAnsi="Aptos Display"/>
          <w:b/>
          <w:color w:val="0B228C"/>
          <w:sz w:val="48"/>
        </w:rPr>
        <w:t>Prototype Product Requirements Document</w:t>
      </w:r>
    </w:p>
    <w:p>
      <w:pPr>
        <w:jc w:val="center"/>
      </w:pPr>
      <w:r>
        <w:rPr>
          <w:rFonts w:ascii="Aptos" w:hAnsi="Aptos"/>
          <w:i w:val="0"/>
          <w:color w:val="222222"/>
          <w:sz w:val="22"/>
        </w:rPr>
        <w:t>Screen-level and workflow-level requirements for the CRS-PDVS prototype build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  <w:shd w:fill="EAF0FF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Document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Document 09</w:t>
            </w:r>
          </w:p>
        </w:tc>
      </w:tr>
      <w:tr>
        <w:tc>
          <w:tcPr>
            <w:tcW w:type="dxa" w:w="2376"/>
            <w:vAlign w:val="center"/>
            <w:shd w:fill="EAF0FF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Status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Confidential Working Document</w:t>
            </w:r>
          </w:p>
        </w:tc>
      </w:tr>
      <w:tr>
        <w:tc>
          <w:tcPr>
            <w:tcW w:type="dxa" w:w="2376"/>
            <w:vAlign w:val="center"/>
            <w:shd w:fill="EAF0FF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Use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Internal planning and institutional review support</w:t>
            </w:r>
          </w:p>
        </w:tc>
      </w:tr>
    </w:tbl>
    <w:p/>
    <w:p>
      <w:pPr>
        <w:jc w:val="center"/>
      </w:pPr>
      <w:r>
        <w:rPr>
          <w:color w:val="666666"/>
          <w:sz w:val="20"/>
        </w:rPr>
        <w:t>Prepared for disciplined concept development, stakeholder engagement, and implementation planning.</w:t>
      </w:r>
    </w:p>
    <w:p>
      <w:r>
        <w:br w:type="page"/>
      </w:r>
    </w:p>
    <w:p>
      <w:pPr>
        <w:pStyle w:val="Heading1"/>
      </w:pPr>
      <w:r>
        <w:t>Product objective</w:t>
      </w:r>
    </w:p>
    <w:p>
      <w:pPr/>
      <w:r>
        <w:t>This product requirements document defines the prototype build for CRS-PDVS in screen-level and workflow-level terms. It is intended to guide design, engineering, content writing, and review so that the prototype remains coherent, persuasive, and operationally believable.</w:t>
      </w:r>
    </w:p>
    <w:p>
      <w:pPr>
        <w:pStyle w:val="Heading1"/>
      </w:pPr>
      <w:r>
        <w:t>Primary users</w:t>
      </w:r>
    </w:p>
    <w:p>
      <w:pPr>
        <w:pStyle w:val="ListBullet"/>
      </w:pPr>
      <w:r>
        <w:t>Pensioners completing digital verification.</w:t>
      </w:r>
    </w:p>
    <w:p>
      <w:pPr>
        <w:pStyle w:val="ListBullet"/>
      </w:pPr>
      <w:r>
        <w:t>Pension Board administrators monitoring cycle progress.</w:t>
      </w:r>
    </w:p>
    <w:p>
      <w:pPr>
        <w:pStyle w:val="ListBullet"/>
      </w:pPr>
      <w:r>
        <w:t>Verification reviewers resolving exceptions.</w:t>
      </w:r>
    </w:p>
    <w:p>
      <w:pPr>
        <w:pStyle w:val="ListBullet"/>
      </w:pPr>
      <w:r>
        <w:t>Assisted-service agents supporting users who need help.</w:t>
      </w:r>
    </w:p>
    <w:p>
      <w:pPr>
        <w:pStyle w:val="Heading1"/>
      </w:pPr>
      <w:r>
        <w:t>User journeys in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CE6FF"/>
          </w:tcPr>
          <w:p>
            <w:pPr>
              <w:jc w:val="center"/>
            </w:pPr>
            <w:r>
              <w:rPr>
                <w:b/>
                <w:color w:val="0B228C"/>
                <w:sz w:val="19"/>
              </w:rPr>
              <w:t>Journey</w:t>
            </w:r>
          </w:p>
        </w:tc>
        <w:tc>
          <w:tcPr>
            <w:tcW w:type="dxa" w:w="6192"/>
            <w:shd w:fill="DCE6FF"/>
          </w:tcPr>
          <w:p>
            <w:pPr>
              <w:jc w:val="center"/>
            </w:pPr>
            <w:r>
              <w:rPr>
                <w:b/>
                <w:color w:val="0B228C"/>
                <w:sz w:val="19"/>
              </w:rPr>
              <w:t>Prototype expectation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Pensioner entry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sz w:val="19"/>
              </w:rPr>
              <w:t>Clear landing page, start verification path, and support path.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First-time onboarding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sz w:val="19"/>
              </w:rPr>
              <w:t>Identity lookup, confirmation, camera permission, and first verification session.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Returning verification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sz w:val="19"/>
              </w:rPr>
              <w:t>Fast sign-in, repeat verification, and status result.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Admin monitoring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sz w:val="19"/>
              </w:rPr>
              <w:t>Dashboard, review queue, pensioner detail, and reporting summary.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Assisted service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sz w:val="19"/>
              </w:rPr>
              <w:t>Agent console for guided support and logged intervention.</w:t>
            </w:r>
          </w:p>
        </w:tc>
      </w:tr>
    </w:tbl>
    <w:p/>
    <w:p>
      <w:pPr>
        <w:pStyle w:val="Heading1"/>
      </w:pPr>
      <w:r>
        <w:t>Pensioner screens</w:t>
      </w:r>
    </w:p>
    <w:p>
      <w:pPr>
        <w:pStyle w:val="Heading2"/>
      </w:pPr>
      <w:r>
        <w:t>Landing page requirements</w:t>
      </w:r>
    </w:p>
    <w:p>
      <w:pPr>
        <w:pStyle w:val="ListBullet"/>
      </w:pPr>
      <w:r>
        <w:t>Must present the service as an official Cross River State pension verification platform.</w:t>
      </w:r>
    </w:p>
    <w:p>
      <w:pPr>
        <w:pStyle w:val="ListBullet"/>
      </w:pPr>
      <w:r>
        <w:t>Must clearly expose Start Verification and Get Help actions.</w:t>
      </w:r>
    </w:p>
    <w:p>
      <w:pPr>
        <w:pStyle w:val="ListBullet"/>
      </w:pPr>
      <w:r>
        <w:t>Must use restrained state branding, blue-white visual hierarchy, and concise trust language.</w:t>
      </w:r>
    </w:p>
    <w:p>
      <w:pPr>
        <w:pStyle w:val="Heading2"/>
      </w:pPr>
      <w:r>
        <w:t>Verification flow requirements</w:t>
      </w:r>
    </w:p>
    <w:p>
      <w:pPr>
        <w:pStyle w:val="ListBullet"/>
      </w:pPr>
      <w:r>
        <w:t>Must guide face positioning and liveness prompts clearly.</w:t>
      </w:r>
    </w:p>
    <w:p>
      <w:pPr>
        <w:pStyle w:val="ListBullet"/>
      </w:pPr>
      <w:r>
        <w:t>Must surface processing state without technical clutter.</w:t>
      </w:r>
    </w:p>
    <w:p>
      <w:pPr>
        <w:pStyle w:val="ListBullet"/>
      </w:pPr>
      <w:r>
        <w:t>Must present one of four result states: successful, pending review, not completed, or support referral.</w:t>
      </w:r>
    </w:p>
    <w:p>
      <w:pPr>
        <w:pStyle w:val="Heading2"/>
      </w:pPr>
      <w:r>
        <w:t>Pensioner dashboard requirements</w:t>
      </w:r>
    </w:p>
    <w:p>
      <w:pPr>
        <w:pStyle w:val="ListBullet"/>
      </w:pPr>
      <w:r>
        <w:t>Must show current verification status.</w:t>
      </w:r>
    </w:p>
    <w:p>
      <w:pPr>
        <w:pStyle w:val="ListBullet"/>
      </w:pPr>
      <w:r>
        <w:t>Must show recent verification history or cycle summary.</w:t>
      </w:r>
    </w:p>
    <w:p>
      <w:pPr>
        <w:pStyle w:val="ListBullet"/>
      </w:pPr>
      <w:r>
        <w:t>Must expose support pathways and confirmation reference details.</w:t>
      </w:r>
    </w:p>
    <w:p>
      <w:pPr>
        <w:pStyle w:val="Heading1"/>
      </w:pPr>
      <w:r>
        <w:t>Admin screens</w:t>
      </w:r>
    </w:p>
    <w:p>
      <w:pPr>
        <w:pStyle w:val="Heading2"/>
      </w:pPr>
      <w:r>
        <w:t>Dashboard requirements</w:t>
      </w:r>
    </w:p>
    <w:p>
      <w:pPr>
        <w:pStyle w:val="ListBullet"/>
      </w:pPr>
      <w:r>
        <w:t>Must show key counts, queue visibility, and geographic summary at a glance.</w:t>
      </w:r>
    </w:p>
    <w:p>
      <w:pPr>
        <w:pStyle w:val="ListBullet"/>
      </w:pPr>
      <w:r>
        <w:t>Must feel operational rather than promotional.</w:t>
      </w:r>
    </w:p>
    <w:p>
      <w:pPr>
        <w:pStyle w:val="Heading2"/>
      </w:pPr>
      <w:r>
        <w:t>Review queue requirements</w:t>
      </w:r>
    </w:p>
    <w:p>
      <w:pPr>
        <w:pStyle w:val="ListBullet"/>
      </w:pPr>
      <w:r>
        <w:t>Must surface timestamp, case status, and action path.</w:t>
      </w:r>
    </w:p>
    <w:p>
      <w:pPr>
        <w:pStyle w:val="ListBullet"/>
      </w:pPr>
      <w:r>
        <w:t>Must support review, referral, and escalation states.</w:t>
      </w:r>
    </w:p>
    <w:p>
      <w:pPr>
        <w:pStyle w:val="Heading2"/>
      </w:pPr>
      <w:r>
        <w:t>Pensioner detail requirements</w:t>
      </w:r>
    </w:p>
    <w:p>
      <w:pPr>
        <w:pStyle w:val="ListBullet"/>
      </w:pPr>
      <w:r>
        <w:t>Must show profile summary, verification history, case notes, and audit context.</w:t>
      </w:r>
    </w:p>
    <w:p>
      <w:pPr>
        <w:pStyle w:val="ListBullet"/>
      </w:pPr>
      <w:r>
        <w:t>Must not overload the reviewer with decorative noise.</w:t>
      </w:r>
    </w:p>
    <w:p>
      <w:pPr>
        <w:pStyle w:val="Heading1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656"/>
            <w:shd w:fill="DCE6FF"/>
          </w:tcPr>
          <w:p>
            <w:pPr>
              <w:jc w:val="center"/>
            </w:pPr>
            <w:r>
              <w:rPr>
                <w:b/>
                <w:color w:val="0B228C"/>
                <w:sz w:val="19"/>
              </w:rPr>
              <w:t>Requirement ID</w:t>
            </w:r>
          </w:p>
        </w:tc>
        <w:tc>
          <w:tcPr>
            <w:tcW w:type="dxa" w:w="7128"/>
            <w:shd w:fill="DCE6FF"/>
          </w:tcPr>
          <w:p>
            <w:pPr>
              <w:jc w:val="center"/>
            </w:pPr>
            <w:r>
              <w:rPr>
                <w:b/>
                <w:color w:val="0B228C"/>
                <w:sz w:val="19"/>
              </w:rPr>
              <w:t>Requirement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FR-01</w:t>
            </w:r>
          </w:p>
        </w:tc>
        <w:tc>
          <w:tcPr>
            <w:tcW w:type="dxa" w:w="7128"/>
            <w:vAlign w:val="center"/>
          </w:tcPr>
          <w:p>
            <w:pPr>
              <w:spacing w:after="20"/>
            </w:pPr>
            <w:r>
              <w:rPr>
                <w:sz w:val="19"/>
              </w:rPr>
              <w:t>The prototype shall provide a pensioner-facing landing page and secure start-verification path.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FR-02</w:t>
            </w:r>
          </w:p>
        </w:tc>
        <w:tc>
          <w:tcPr>
            <w:tcW w:type="dxa" w:w="7128"/>
            <w:vAlign w:val="center"/>
          </w:tcPr>
          <w:p>
            <w:pPr>
              <w:spacing w:after="20"/>
            </w:pPr>
            <w:r>
              <w:rPr>
                <w:sz w:val="19"/>
              </w:rPr>
              <w:t>The prototype shall support first-time onboarding and returning-user verification paths.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FR-03</w:t>
            </w:r>
          </w:p>
        </w:tc>
        <w:tc>
          <w:tcPr>
            <w:tcW w:type="dxa" w:w="7128"/>
            <w:vAlign w:val="center"/>
          </w:tcPr>
          <w:p>
            <w:pPr>
              <w:spacing w:after="20"/>
            </w:pPr>
            <w:r>
              <w:rPr>
                <w:sz w:val="19"/>
              </w:rPr>
              <w:t>The prototype shall simulate or demonstrate camera-guided liveness capture.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FR-04</w:t>
            </w:r>
          </w:p>
        </w:tc>
        <w:tc>
          <w:tcPr>
            <w:tcW w:type="dxa" w:w="7128"/>
            <w:vAlign w:val="center"/>
          </w:tcPr>
          <w:p>
            <w:pPr>
              <w:spacing w:after="20"/>
            </w:pPr>
            <w:r>
              <w:rPr>
                <w:sz w:val="19"/>
              </w:rPr>
              <w:t>The prototype shall provide admin dashboard, review queue, and pensioner detail views.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FR-05</w:t>
            </w:r>
          </w:p>
        </w:tc>
        <w:tc>
          <w:tcPr>
            <w:tcW w:type="dxa" w:w="7128"/>
            <w:vAlign w:val="center"/>
          </w:tcPr>
          <w:p>
            <w:pPr>
              <w:spacing w:after="20"/>
            </w:pPr>
            <w:r>
              <w:rPr>
                <w:sz w:val="19"/>
              </w:rPr>
              <w:t>The prototype shall include assisted-service workflow and visible status handling.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FR-06</w:t>
            </w:r>
          </w:p>
        </w:tc>
        <w:tc>
          <w:tcPr>
            <w:tcW w:type="dxa" w:w="7128"/>
            <w:vAlign w:val="center"/>
          </w:tcPr>
          <w:p>
            <w:pPr>
              <w:spacing w:after="20"/>
            </w:pPr>
            <w:r>
              <w:rPr>
                <w:sz w:val="19"/>
              </w:rPr>
              <w:t>The prototype shall reflect role-aware access and audit-minded language.</w:t>
            </w:r>
          </w:p>
        </w:tc>
      </w:tr>
    </w:tbl>
    <w:p/>
    <w:p>
      <w:pPr>
        <w:pStyle w:val="Heading1"/>
      </w:pPr>
      <w:r>
        <w:t>Non-functional requirements</w:t>
      </w:r>
    </w:p>
    <w:p>
      <w:pPr>
        <w:pStyle w:val="ListBullet"/>
      </w:pPr>
      <w:r>
        <w:t>Responsive layout for common phone and desktop widths.</w:t>
      </w:r>
    </w:p>
    <w:p>
      <w:pPr>
        <w:pStyle w:val="ListBullet"/>
      </w:pPr>
      <w:r>
        <w:t>High readability for older users, including large actionable controls.</w:t>
      </w:r>
    </w:p>
    <w:p>
      <w:pPr>
        <w:pStyle w:val="ListBullet"/>
      </w:pPr>
      <w:r>
        <w:t>Consistent branding, spacing, and component behaviour.</w:t>
      </w:r>
    </w:p>
    <w:p>
      <w:pPr>
        <w:pStyle w:val="ListBullet"/>
      </w:pPr>
      <w:r>
        <w:t>Plausible data states and realistic case examples for demonstrations.</w:t>
      </w:r>
    </w:p>
    <w:p>
      <w:pPr>
        <w:pStyle w:val="ListBullet"/>
      </w:pPr>
      <w:r>
        <w:t>Fast navigation and stable interactions during live presentation.</w:t>
      </w:r>
    </w:p>
    <w:p>
      <w:pPr>
        <w:pStyle w:val="Heading1"/>
      </w:pPr>
      <w:r>
        <w:t>Acceptance criteria for prototype completion</w:t>
      </w:r>
    </w:p>
    <w:p>
      <w:pPr>
        <w:pStyle w:val="ListBullet"/>
      </w:pPr>
      <w:r>
        <w:t>All major user flows can be demonstrated without dead ends.</w:t>
      </w:r>
    </w:p>
    <w:p>
      <w:pPr>
        <w:pStyle w:val="ListBullet"/>
      </w:pPr>
      <w:r>
        <w:t>All result states and review states are visually coherent.</w:t>
      </w:r>
    </w:p>
    <w:p>
      <w:pPr>
        <w:pStyle w:val="ListBullet"/>
      </w:pPr>
      <w:r>
        <w:t>The administrative side looks decision-ready rather than decorative.</w:t>
      </w:r>
    </w:p>
    <w:p>
      <w:pPr>
        <w:pStyle w:val="ListBullet"/>
      </w:pPr>
      <w:r>
        <w:t>The prototype can support a structured stakeholder walkthrough from entry to case review.</w:t>
      </w:r>
    </w:p>
    <w:p>
      <w:pPr>
        <w:pStyle w:val="Heading1"/>
      </w:pPr>
      <w:r>
        <w:t>Reference base</w:t>
      </w:r>
    </w:p>
    <w:p>
      <w:pPr/>
      <w:r>
        <w:t>The document was developed against the following current official and high-trust materials.</w:t>
      </w:r>
    </w:p>
    <w:p>
      <w:pPr>
        <w:pStyle w:val="ListBullet"/>
      </w:pPr>
      <w:r>
        <w:t>Cross River State Bureau of Statistics, Facts and Figures of Cross River State, 2024 Edition (published 2025).</w:t>
      </w:r>
    </w:p>
    <w:p>
      <w:pPr>
        <w:pStyle w:val="ListBullet"/>
      </w:pPr>
      <w:r>
        <w:t>Cross River State Government official website and institutional directory pages.</w:t>
      </w:r>
    </w:p>
    <w:p>
      <w:pPr>
        <w:pStyle w:val="ListBullet"/>
      </w:pPr>
      <w:r>
        <w:t>Cross River State 2025 Revised Budget and 2026 Approved Budget publications.</w:t>
      </w:r>
    </w:p>
    <w:p>
      <w:pPr>
        <w:pStyle w:val="ListBullet"/>
      </w:pPr>
      <w:r>
        <w:t>Cross River State Ministry of Finance, DSA-DMS Report 2024 and 2025.</w:t>
      </w:r>
    </w:p>
    <w:p>
      <w:pPr>
        <w:pStyle w:val="ListBullet"/>
      </w:pPr>
      <w:r>
        <w:t>National Pension Commission (PenCom) guidelines and verification materials.</w:t>
      </w:r>
    </w:p>
    <w:p>
      <w:pPr>
        <w:pStyle w:val="ListBullet"/>
      </w:pPr>
      <w:r>
        <w:t>National Identity Management Commission (NIMC) identity verification materials.</w:t>
      </w:r>
    </w:p>
    <w:p>
      <w:pPr>
        <w:pStyle w:val="ListBullet"/>
      </w:pPr>
      <w:r>
        <w:t>Nigeria Inter-Bank Settlement System (NIBSS) identity and BVN service materials.</w:t>
      </w:r>
    </w:p>
    <w:p>
      <w:pPr>
        <w:pStyle w:val="ListBullet"/>
      </w:pPr>
      <w:r>
        <w:t>Nigeria Data Protection Act 2023 and related implementation guidance.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7"/>
      </w:rPr>
      <w:t>CRS-PDVS | Confidential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00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B22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0B22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B228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