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18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8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color w:val="666666"/>
          <w:sz w:val="22"/>
        </w:rPr>
        <w:t>CROSS RIVER STATE PENSIONERS DIGITAL VERIFICATION SYSTEM</w:t>
      </w:r>
    </w:p>
    <w:p>
      <w:pPr>
        <w:jc w:val="center"/>
      </w:pPr>
      <w:r>
        <w:rPr>
          <w:rFonts w:ascii="Aptos Display" w:hAnsi="Aptos Display"/>
          <w:b/>
          <w:color w:val="0B228C"/>
          <w:sz w:val="48"/>
        </w:rPr>
        <w:t>Stakeholder Engagement and Decision Support Note</w:t>
      </w:r>
    </w:p>
    <w:p>
      <w:pPr>
        <w:jc w:val="center"/>
      </w:pPr>
      <w:r>
        <w:rPr>
          <w:rFonts w:ascii="Aptos" w:hAnsi="Aptos"/>
          <w:i w:val="0"/>
          <w:color w:val="222222"/>
          <w:sz w:val="22"/>
        </w:rPr>
        <w:t>Institutional review path, meeting sequence, and decision-support framework for CRS-PDVS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 10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Status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Confidential Working Document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Use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Internal planning and institutional review support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>Prepared for disciplined concept development, stakeholder engagement, and implementation planning.</w:t>
      </w:r>
    </w:p>
    <w:p>
      <w:r>
        <w:br w:type="page"/>
      </w:r>
    </w:p>
    <w:p>
      <w:pPr>
        <w:pStyle w:val="Heading1"/>
      </w:pPr>
      <w:r>
        <w:t>Purpose</w:t>
      </w:r>
    </w:p>
    <w:p>
      <w:pPr/>
      <w:r>
        <w:t>This document defines the stakeholder engagement and decision-support pathway for CRS-PDVS. It is intended to ensure that the project is introduced, discussed, and reviewed in a way that respects government process, avoids unnecessary friction, and improves the quality of institutional response.</w:t>
      </w:r>
    </w:p>
    <w:p>
      <w:pPr>
        <w:pStyle w:val="Heading1"/>
      </w:pPr>
      <w:r>
        <w:t>Engagement principles</w:t>
      </w:r>
    </w:p>
    <w:p>
      <w:pPr>
        <w:pStyle w:val="ListBullet"/>
      </w:pPr>
      <w:r>
        <w:t>Enter through institutional respect, not technical enthusiasm alone.</w:t>
      </w:r>
    </w:p>
    <w:p>
      <w:pPr>
        <w:pStyle w:val="ListBullet"/>
      </w:pPr>
      <w:r>
        <w:t>Lead with problem clarity, user welfare, and administrative practicality.</w:t>
      </w:r>
    </w:p>
    <w:p>
      <w:pPr>
        <w:pStyle w:val="ListBullet"/>
      </w:pPr>
      <w:r>
        <w:t>Present the prototype as evidence of seriousness, not as an attempt to bypass due process.</w:t>
      </w:r>
    </w:p>
    <w:p>
      <w:pPr>
        <w:pStyle w:val="ListBullet"/>
      </w:pPr>
      <w:r>
        <w:t>Invite workflow validation before pressing for adoption decisions.</w:t>
      </w:r>
    </w:p>
    <w:p>
      <w:pPr>
        <w:pStyle w:val="ListBullet"/>
      </w:pPr>
      <w:r>
        <w:t>Keep all materials calm, factual, and free of adversarial language.</w:t>
      </w:r>
    </w:p>
    <w:p>
      <w:pPr>
        <w:pStyle w:val="Heading1"/>
      </w:pPr>
      <w:r>
        <w:t>Stakeholder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Stakeholder</w:t>
            </w:r>
          </w:p>
        </w:tc>
        <w:tc>
          <w:tcPr>
            <w:tcW w:type="dxa" w:w="3168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Interest in CRS-PDVS</w:t>
            </w:r>
          </w:p>
        </w:tc>
        <w:tc>
          <w:tcPr>
            <w:tcW w:type="dxa" w:w="2880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Engagement objective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Pension Board leadership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9"/>
              </w:rPr>
              <w:t>Operational ownership and service value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9"/>
              </w:rPr>
              <w:t>Validate pain points, workflow fit, and review utility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Head of Service / Establishments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9"/>
              </w:rPr>
              <w:t>Policy and service process alignment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9"/>
              </w:rPr>
              <w:t>Establish institutional legitimacy and process fit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Ministry of Finance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9"/>
              </w:rPr>
              <w:t>Payment integrity and administrative oversight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9"/>
              </w:rPr>
              <w:t>Clarify impact on accountability and records quality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State ICT stakeholders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9"/>
              </w:rPr>
              <w:t>Technical feasibility and service governance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9"/>
              </w:rPr>
              <w:t>Review implementation posture and hosting direction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Senior executive advisers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sz w:val="19"/>
              </w:rPr>
              <w:t>Strategic support and issue escalation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sz w:val="19"/>
              </w:rPr>
              <w:t>Provide concise decision-ready framing</w:t>
            </w:r>
          </w:p>
        </w:tc>
      </w:tr>
    </w:tbl>
    <w:p/>
    <w:p>
      <w:pPr>
        <w:pStyle w:val="Heading1"/>
      </w:pPr>
      <w:r>
        <w:t>Recommended engagement sequence</w:t>
      </w:r>
    </w:p>
    <w:p>
      <w:pPr>
        <w:pStyle w:val="ListBullet"/>
      </w:pPr>
      <w:r>
        <w:t>Step 1: share the executive brief and supporting note in controlled circulation.</w:t>
      </w:r>
    </w:p>
    <w:p>
      <w:pPr>
        <w:pStyle w:val="ListBullet"/>
      </w:pPr>
      <w:r>
        <w:t>Step 2: hold a workflow-listening meeting before any full demo session.</w:t>
      </w:r>
    </w:p>
    <w:p>
      <w:pPr>
        <w:pStyle w:val="ListBullet"/>
      </w:pPr>
      <w:r>
        <w:t>Step 3: present the prototype against actual administrative pain points, not generic product claims.</w:t>
      </w:r>
    </w:p>
    <w:p>
      <w:pPr>
        <w:pStyle w:val="ListBullet"/>
      </w:pPr>
      <w:r>
        <w:t>Step 4: collect questions, objections, and data-dependency issues in a structured log.</w:t>
      </w:r>
    </w:p>
    <w:p>
      <w:pPr>
        <w:pStyle w:val="ListBullet"/>
      </w:pPr>
      <w:r>
        <w:t>Step 5: return with a refined pilot proposal rather than pressing prematurely for statewide rollout.</w:t>
      </w:r>
    </w:p>
    <w:p>
      <w:pPr>
        <w:pStyle w:val="Heading1"/>
      </w:pPr>
      <w:r>
        <w:t>Meeting architecture</w:t>
      </w:r>
    </w:p>
    <w:p>
      <w:pPr>
        <w:pStyle w:val="Heading2"/>
      </w:pPr>
      <w:r>
        <w:t>Briefing meeting</w:t>
      </w:r>
    </w:p>
    <w:p>
      <w:pPr/>
      <w:r>
        <w:t>Purpose: establish that the project understands the pensioner burden, the administrative workload, and the need for phased implementation.</w:t>
      </w:r>
    </w:p>
    <w:p>
      <w:pPr>
        <w:pStyle w:val="Heading2"/>
      </w:pPr>
      <w:r>
        <w:t>Workflow validation meeting</w:t>
      </w:r>
    </w:p>
    <w:p>
      <w:pPr/>
      <w:r>
        <w:t>Purpose: confirm current verification steps, record sources, exception handling, and decision owners.</w:t>
      </w:r>
    </w:p>
    <w:p>
      <w:pPr>
        <w:pStyle w:val="Heading2"/>
      </w:pPr>
      <w:r>
        <w:t>Prototype demonstration meeting</w:t>
      </w:r>
    </w:p>
    <w:p>
      <w:pPr/>
      <w:r>
        <w:t>Purpose: walk through the pensioner journey, admin oversight view, support pathway, and pilot concept in a disciplined order.</w:t>
      </w:r>
    </w:p>
    <w:p>
      <w:pPr>
        <w:pStyle w:val="Heading1"/>
      </w:pPr>
      <w:r>
        <w:t>Materials pack for engagement</w:t>
      </w:r>
    </w:p>
    <w:p>
      <w:pPr>
        <w:pStyle w:val="ListBullet"/>
      </w:pPr>
      <w:r>
        <w:t>10-page executive brief.</w:t>
      </w:r>
    </w:p>
    <w:p>
      <w:pPr>
        <w:pStyle w:val="ListBullet"/>
      </w:pPr>
      <w:r>
        <w:t>Idea and features document.</w:t>
      </w:r>
    </w:p>
    <w:p>
      <w:pPr>
        <w:pStyle w:val="ListBullet"/>
      </w:pPr>
      <w:r>
        <w:t>Evidence pack.</w:t>
      </w:r>
    </w:p>
    <w:p>
      <w:pPr>
        <w:pStyle w:val="ListBullet"/>
      </w:pPr>
      <w:r>
        <w:t>Prototype blueprint.</w:t>
      </w:r>
    </w:p>
    <w:p>
      <w:pPr>
        <w:pStyle w:val="ListBullet"/>
      </w:pPr>
      <w:r>
        <w:t>Technical architecture note.</w:t>
      </w:r>
    </w:p>
    <w:p>
      <w:pPr>
        <w:pStyle w:val="ListBullet"/>
      </w:pPr>
      <w:r>
        <w:t>Pilot implementation plan.</w:t>
      </w:r>
    </w:p>
    <w:p>
      <w:pPr>
        <w:pStyle w:val="ListBullet"/>
      </w:pPr>
      <w:r>
        <w:t>Compliance and security note.</w:t>
      </w:r>
    </w:p>
    <w:p>
      <w:pPr>
        <w:pStyle w:val="ListBullet"/>
      </w:pPr>
      <w:r>
        <w:t>Short meeting note template for capturing official feedback.</w:t>
      </w:r>
    </w:p>
    <w:p>
      <w:pPr>
        <w:pStyle w:val="Heading1"/>
      </w:pPr>
      <w:r>
        <w:t>What officials are likely to test</w:t>
      </w:r>
    </w:p>
    <w:p>
      <w:pPr>
        <w:pStyle w:val="ListBullet"/>
      </w:pPr>
      <w:r>
        <w:t>Whether the team understands the real workflow and not just the technology.</w:t>
      </w:r>
    </w:p>
    <w:p>
      <w:pPr>
        <w:pStyle w:val="ListBullet"/>
      </w:pPr>
      <w:r>
        <w:t>Whether elderly users can realistically complete the process.</w:t>
      </w:r>
    </w:p>
    <w:p>
      <w:pPr>
        <w:pStyle w:val="ListBullet"/>
      </w:pPr>
      <w:r>
        <w:t>Whether the platform is secure and reviewable.</w:t>
      </w:r>
    </w:p>
    <w:p>
      <w:pPr>
        <w:pStyle w:val="ListBullet"/>
      </w:pPr>
      <w:r>
        <w:t>Whether the rollout is modest and controllable.</w:t>
      </w:r>
    </w:p>
    <w:p>
      <w:pPr>
        <w:pStyle w:val="ListBullet"/>
      </w:pPr>
      <w:r>
        <w:t>Whether the proposal respects government structure.</w:t>
      </w:r>
    </w:p>
    <w:p>
      <w:pPr>
        <w:pStyle w:val="Heading1"/>
      </w:pPr>
      <w:r>
        <w:t>Decision-support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Output</w:t>
            </w:r>
          </w:p>
        </w:tc>
        <w:tc>
          <w:tcPr>
            <w:tcW w:type="dxa" w:w="6048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Purpose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Issue log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>
              <w:rPr>
                <w:sz w:val="19"/>
              </w:rPr>
              <w:t>Tracks objections, dependencies, and required clarifications.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Pilot decision note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>
              <w:rPr>
                <w:sz w:val="19"/>
              </w:rPr>
              <w:t>Summarises readiness, conditions, and next step options.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Revision memo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>
              <w:rPr>
                <w:sz w:val="19"/>
              </w:rPr>
              <w:t>Shows how stakeholder input was reflected in the refined plan.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Risk note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>
              <w:rPr>
                <w:sz w:val="19"/>
              </w:rPr>
              <w:t>Records legal, data, staffing, and integration concerns needing resolution.</w:t>
            </w:r>
          </w:p>
        </w:tc>
      </w:tr>
    </w:tbl>
    <w:p/>
    <w:p>
      <w:pPr>
        <w:pStyle w:val="Heading1"/>
      </w:pPr>
      <w:r>
        <w:t>Closing direction</w:t>
      </w:r>
    </w:p>
    <w:p>
      <w:pPr/>
      <w:r>
        <w:t>The measure of a sound stakeholder path is not speed alone. It is whether each meeting increases institutional confidence, sharpens the problem statement, and reduces ambiguity about what a pilot would actually require. The project should therefore move with clarity, discipline, and respect for process at every stage.</w:t>
      </w:r>
    </w:p>
    <w:p>
      <w:pPr>
        <w:pStyle w:val="Heading1"/>
      </w:pPr>
      <w:r>
        <w:t>Reference base</w:t>
      </w:r>
    </w:p>
    <w:p>
      <w:pPr/>
      <w:r>
        <w:t>The document was developed against the following current official and high-trust materials.</w:t>
      </w:r>
    </w:p>
    <w:p>
      <w:pPr>
        <w:pStyle w:val="ListBullet"/>
      </w:pPr>
      <w:r>
        <w:t>Cross River State Bureau of Statistics, Facts and Figures of Cross River State, 2024 Edition (published 2025).</w:t>
      </w:r>
    </w:p>
    <w:p>
      <w:pPr>
        <w:pStyle w:val="ListBullet"/>
      </w:pPr>
      <w:r>
        <w:t>Cross River State Government official website and institutional directory pages.</w:t>
      </w:r>
    </w:p>
    <w:p>
      <w:pPr>
        <w:pStyle w:val="ListBullet"/>
      </w:pPr>
      <w:r>
        <w:t>Cross River State 2025 Revised Budget and 2026 Approved Budget publications.</w:t>
      </w:r>
    </w:p>
    <w:p>
      <w:pPr>
        <w:pStyle w:val="ListBullet"/>
      </w:pPr>
      <w:r>
        <w:t>Cross River State Ministry of Finance, DSA-DMS Report 2024 and 2025.</w:t>
      </w:r>
    </w:p>
    <w:p>
      <w:pPr>
        <w:pStyle w:val="ListBullet"/>
      </w:pPr>
      <w:r>
        <w:t>National Pension Commission (PenCom) guidelines and verification materials.</w:t>
      </w:r>
    </w:p>
    <w:p>
      <w:pPr>
        <w:pStyle w:val="ListBullet"/>
      </w:pPr>
      <w:r>
        <w:t>National Identity Management Commission (NIMC) identity verification materials.</w:t>
      </w:r>
    </w:p>
    <w:p>
      <w:pPr>
        <w:pStyle w:val="ListBullet"/>
      </w:pPr>
      <w:r>
        <w:t>Nigeria Inter-Bank Settlement System (NIBSS) identity and BVN service materials.</w:t>
      </w:r>
    </w:p>
    <w:p>
      <w:pPr>
        <w:pStyle w:val="ListBullet"/>
      </w:pPr>
      <w:r>
        <w:t>Nigeria Data Protection Act 2023 and related implementation guidance.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>CRS-PDVS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00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B22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0B22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22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