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zero-trust-architecture"/>
    <w:p>
      <w:pPr>
        <w:pStyle w:val="Heading1"/>
      </w:pPr>
      <w:r>
        <w:t xml:space="preserve">Zero Trust Architecture</w:t>
      </w:r>
    </w:p>
    <w:p>
      <w:pPr>
        <w:pStyle w:val="FirstParagraph"/>
      </w:pPr>
      <w:r>
        <w:t xml:space="preserve">Zero trust abandons the assumption that anything inside the network perimeter is trusted. Every request is authenticated and authorized independently, regardless of its origin.</w:t>
      </w:r>
    </w:p>
    <w:p>
      <w:pPr>
        <w:pStyle w:val="BodyText"/>
      </w:pPr>
      <w:r>
        <w:t xml:space="preserve">Identity is the primary perimeter. Each principal carries a verifiable identity, and access decisions evaluate the request, the resource, and the context together.</w:t>
      </w:r>
    </w:p>
    <w:p>
      <w:pPr>
        <w:pStyle w:val="BodyText"/>
      </w:pPr>
      <w:r>
        <w:t xml:space="preserve">Network segmentation shrinks the blast radius of compromise. Lateral movement becomes harder when services cannot reach each other by default.</w:t>
      </w:r>
    </w:p>
    <w:p>
      <w:pPr>
        <w:pStyle w:val="BodyText"/>
      </w:pPr>
      <w:r>
        <w:t xml:space="preserve">Zero trust also applies to data. Encrypting data at rest and in transit reduces the value of a successful breach, and audit logs make unauthorized access observable.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2026-08-15T16:07:17Z</dcterms:created>
  <dcterms:modified xsi:type="dcterms:W3CDTF">2026-08-15T16:07:17Z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