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eckout-conversion"/>
    <w:p>
      <w:pPr>
        <w:pStyle w:val="Heading1"/>
      </w:pPr>
      <w:r>
        <w:t xml:space="preserve">Checkout Conversion</w:t>
      </w:r>
    </w:p>
    <w:p>
      <w:pPr>
        <w:pStyle w:val="FirstParagraph"/>
      </w:pPr>
      <w:r>
        <w:t xml:space="preserve">Checkout conversion measures how many sessions reach a completed purchase.</w:t>
      </w:r>
    </w:p>
    <w:p>
      <w:pPr>
        <w:pStyle w:val="BodyText"/>
      </w:pPr>
      <w:r>
        <w:t xml:space="preserve">Friction sources include forced account creation, unexpected shipping costs, and slow payment gateways. Each friction point is measured separately with a funnel event.</w:t>
      </w:r>
    </w:p>
    <w:p>
      <w:pPr>
        <w:pStyle w:val="BodyText"/>
      </w:pPr>
      <w:r>
        <w:t xml:space="preserve">Guest checkout removes the account wall. Address autofill shortens the form. The payment gateway is treated as an external dependency with its own availability budget.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2026-08-15T21:58:57Z</dcterms:created>
  <dcterms:modified xsi:type="dcterms:W3CDTF">2026-08-15T21:58:57Z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