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icroservice-contracts"/>
    <w:p>
      <w:pPr>
        <w:pStyle w:val="Heading1"/>
      </w:pPr>
      <w:r>
        <w:t xml:space="preserve">Microservice Contracts</w:t>
      </w:r>
    </w:p>
    <w:p>
      <w:pPr>
        <w:pStyle w:val="FirstParagraph"/>
      </w:pPr>
      <w:r>
        <w:t xml:space="preserve">A microservice owns one responsibility and exposes a versioned contract.</w:t>
      </w:r>
    </w:p>
    <w:p>
      <w:pPr>
        <w:pStyle w:val="BodyText"/>
      </w:pPr>
      <w:r>
        <w:t xml:space="preserve">Breaking changes require a new contract version. Both versions run in parallel while consumers migrate, and the old version is retired only when traffic drops to zero.</w:t>
      </w:r>
    </w:p>
    <w:p>
      <w:pPr>
        <w:pStyle w:val="BodyText"/>
      </w:pPr>
      <w:r>
        <w:t xml:space="preserve">Observability is part of the contract. Every request carries a trace id, and every failure carries an error code that the caller can act 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2026-08-15T21:58:57Z</dcterms:created>
  <dcterms:modified xsi:type="dcterms:W3CDTF">2026-08-15T21:58:57Z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