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97E9A" w:rsidRDefault="00B97E9A" w:rsidP="00B97E9A">
      <w:pPr>
        <w:adjustRightInd w:val="0"/>
        <w:snapToGrid w:val="0"/>
        <w:spacing w:line="300" w:lineRule="exact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《</w:t>
      </w:r>
      <w:r w:rsidRPr="00B97E9A">
        <w:rPr>
          <w:rFonts w:eastAsia="黑体" w:hint="eastAsia"/>
          <w:sz w:val="28"/>
        </w:rPr>
        <w:t>教育心理学</w:t>
      </w:r>
      <w:r>
        <w:rPr>
          <w:rFonts w:eastAsia="黑体" w:hint="eastAsia"/>
          <w:sz w:val="28"/>
        </w:rPr>
        <w:t>》课程提纲</w:t>
      </w:r>
    </w:p>
    <w:p w:rsidR="00B97E9A" w:rsidRDefault="00B97E9A" w:rsidP="00B97E9A">
      <w:pPr>
        <w:adjustRightInd w:val="0"/>
        <w:snapToGrid w:val="0"/>
        <w:spacing w:line="300" w:lineRule="exact"/>
        <w:jc w:val="center"/>
      </w:pPr>
      <w:r>
        <w:rPr>
          <w:rFonts w:hint="eastAsia"/>
        </w:rPr>
        <w:t>“Ed</w:t>
      </w:r>
      <w:r>
        <w:t>ucational Psychology</w:t>
      </w:r>
      <w:r>
        <w:rPr>
          <w:rFonts w:hint="eastAsia"/>
        </w:rPr>
        <w:t>”Syllabus</w:t>
      </w:r>
    </w:p>
    <w:p w:rsidR="00B97E9A" w:rsidRDefault="00B97E9A" w:rsidP="00B97E9A">
      <w:pPr>
        <w:adjustRightInd w:val="0"/>
        <w:snapToGrid w:val="0"/>
        <w:spacing w:line="300" w:lineRule="exact"/>
        <w:rPr>
          <w:rFonts w:ascii="黑体" w:eastAsia="黑体" w:hAnsi="MingLiU"/>
        </w:rPr>
      </w:pPr>
    </w:p>
    <w:p w:rsidR="00EB6908" w:rsidRDefault="00EB6908" w:rsidP="00B97E9A">
      <w:pPr>
        <w:adjustRightInd w:val="0"/>
        <w:snapToGrid w:val="0"/>
        <w:spacing w:line="300" w:lineRule="exact"/>
        <w:rPr>
          <w:rFonts w:ascii="黑体" w:eastAsia="黑体" w:hAnsi="MingLiU" w:hint="eastAsia"/>
        </w:rPr>
      </w:pPr>
    </w:p>
    <w:p w:rsidR="00B97E9A" w:rsidRPr="005F2781" w:rsidRDefault="00B97E9A" w:rsidP="00B97E9A">
      <w:pPr>
        <w:adjustRightInd w:val="0"/>
        <w:snapToGrid w:val="0"/>
        <w:spacing w:line="300" w:lineRule="exact"/>
        <w:rPr>
          <w:szCs w:val="21"/>
        </w:rPr>
      </w:pPr>
      <w:r w:rsidRPr="005F2781">
        <w:rPr>
          <w:rFonts w:hint="eastAsia"/>
          <w:szCs w:val="21"/>
        </w:rPr>
        <w:t>主讲：王莉</w:t>
      </w:r>
      <w:r w:rsidRPr="005F2781">
        <w:rPr>
          <w:rFonts w:hint="eastAsia"/>
          <w:szCs w:val="21"/>
        </w:rPr>
        <w:tab/>
      </w:r>
      <w:r w:rsidRPr="005F2781">
        <w:rPr>
          <w:rFonts w:hint="eastAsia"/>
          <w:szCs w:val="21"/>
        </w:rPr>
        <w:tab/>
      </w:r>
      <w:r w:rsidRPr="005F2781">
        <w:rPr>
          <w:rFonts w:hint="eastAsia"/>
          <w:szCs w:val="21"/>
        </w:rPr>
        <w:tab/>
      </w:r>
      <w:r w:rsidRPr="005F2781">
        <w:rPr>
          <w:rFonts w:hint="eastAsia"/>
          <w:szCs w:val="21"/>
        </w:rPr>
        <w:tab/>
        <w:t>联系方式：</w:t>
      </w:r>
      <w:r w:rsidRPr="005F2781">
        <w:rPr>
          <w:szCs w:val="21"/>
        </w:rPr>
        <w:t xml:space="preserve">E-mail: </w:t>
      </w:r>
      <w:hyperlink r:id="rId4" w:history="1">
        <w:r w:rsidRPr="005F2781">
          <w:rPr>
            <w:rStyle w:val="af0"/>
            <w:color w:val="auto"/>
            <w:szCs w:val="21"/>
          </w:rPr>
          <w:t>liwang@pku.edu.cn</w:t>
        </w:r>
      </w:hyperlink>
    </w:p>
    <w:p w:rsidR="00B97E9A" w:rsidRPr="001B0175" w:rsidRDefault="00B97E9A" w:rsidP="00B97E9A">
      <w:pPr>
        <w:adjustRightInd w:val="0"/>
        <w:snapToGrid w:val="0"/>
        <w:spacing w:line="300" w:lineRule="exact"/>
        <w:rPr>
          <w:rFonts w:ascii="宋体-简" w:eastAsia="宋体-简" w:hAnsi="宋体-简"/>
        </w:rPr>
      </w:pPr>
      <w:r w:rsidRPr="005F2781">
        <w:rPr>
          <w:rFonts w:hint="eastAsia"/>
          <w:szCs w:val="21"/>
        </w:rPr>
        <w:t>地点：</w:t>
      </w:r>
      <w:r>
        <w:rPr>
          <w:rFonts w:ascii="宋体-简" w:eastAsia="宋体-简" w:hAnsi="宋体-简" w:cs="PMC≥ò" w:hint="eastAsia"/>
        </w:rPr>
        <w:t>三</w:t>
      </w:r>
      <w:r w:rsidRPr="005141D6">
        <w:rPr>
          <w:rFonts w:ascii="宋体-简" w:eastAsia="宋体-简" w:hAnsi="宋体-简" w:cs="PMC≥ò"/>
        </w:rPr>
        <w:t>教2</w:t>
      </w:r>
      <w:r>
        <w:rPr>
          <w:rFonts w:ascii="宋体-简" w:eastAsia="宋体-简" w:hAnsi="宋体-简" w:cs="PMC≥ò" w:hint="eastAsia"/>
        </w:rPr>
        <w:t>05</w:t>
      </w:r>
      <w:r w:rsidRPr="00651B22">
        <w:rPr>
          <w:rFonts w:ascii="宋体-简" w:eastAsia="宋体-简" w:hAnsi="宋体-简" w:cs="PMC≥ò"/>
        </w:rPr>
        <w:t xml:space="preserve"> </w:t>
      </w:r>
      <w:r w:rsidRPr="001B0175">
        <w:rPr>
          <w:rFonts w:ascii="宋体-简" w:eastAsia="宋体-简" w:hAnsi="宋体-简" w:hint="eastAsia"/>
        </w:rPr>
        <w:t xml:space="preserve">       时间：周</w:t>
      </w:r>
      <w:r>
        <w:rPr>
          <w:rFonts w:ascii="宋体-简" w:eastAsia="宋体-简" w:hAnsi="宋体-简" w:hint="eastAsia"/>
        </w:rPr>
        <w:t>三下午10</w:t>
      </w:r>
      <w:r w:rsidRPr="001B0175">
        <w:rPr>
          <w:rFonts w:ascii="宋体-简" w:eastAsia="宋体-简" w:hAnsi="宋体-简" w:hint="eastAsia"/>
        </w:rPr>
        <w:t>-</w:t>
      </w:r>
      <w:r>
        <w:rPr>
          <w:rFonts w:ascii="宋体-简" w:eastAsia="宋体-简" w:hAnsi="宋体-简" w:hint="eastAsia"/>
        </w:rPr>
        <w:t>11</w:t>
      </w:r>
      <w:r w:rsidRPr="001B0175">
        <w:rPr>
          <w:rFonts w:ascii="宋体-简" w:eastAsia="宋体-简" w:hAnsi="宋体-简" w:hint="eastAsia"/>
        </w:rPr>
        <w:t xml:space="preserve">节 </w:t>
      </w:r>
      <w:r w:rsidR="00154623">
        <w:rPr>
          <w:rFonts w:ascii="宋体-简" w:eastAsia="宋体-简" w:hAnsi="宋体-简"/>
        </w:rPr>
        <w:t>18:40-20:30</w:t>
      </w:r>
    </w:p>
    <w:p w:rsidR="00B97E9A" w:rsidRPr="008E7599" w:rsidRDefault="00B97E9A" w:rsidP="00B97E9A">
      <w:pPr>
        <w:rPr>
          <w:szCs w:val="21"/>
        </w:rPr>
      </w:pPr>
      <w:r w:rsidRPr="001B0175">
        <w:rPr>
          <w:rFonts w:ascii="宋体-简" w:eastAsia="宋体-简" w:hAnsi="宋体-简" w:hint="eastAsia"/>
        </w:rPr>
        <w:t>助教：</w:t>
      </w:r>
      <w:r w:rsidR="005A6189" w:rsidRPr="00957257">
        <w:rPr>
          <w:rFonts w:ascii="Times New Roman" w:hAnsi="Times New Roman"/>
        </w:rPr>
        <w:t>韩海宁</w:t>
      </w:r>
      <w:r w:rsidR="005A6189" w:rsidRPr="00957257">
        <w:rPr>
          <w:rFonts w:ascii="Times New Roman" w:hAnsi="Times New Roman"/>
        </w:rPr>
        <w:t>(haining@stu.pku.edu.cn)</w:t>
      </w:r>
      <w:r w:rsidR="005A6189" w:rsidRPr="00957257">
        <w:rPr>
          <w:rFonts w:ascii="Times New Roman" w:hAnsi="Times New Roman"/>
          <w:szCs w:val="21"/>
        </w:rPr>
        <w:t xml:space="preserve"> </w:t>
      </w:r>
      <w:r w:rsidR="005A6189" w:rsidRPr="00957257">
        <w:rPr>
          <w:rFonts w:ascii="Times New Roman" w:hAnsi="Times New Roman"/>
          <w:szCs w:val="21"/>
        </w:rPr>
        <w:t>宿佳菁</w:t>
      </w:r>
      <w:r w:rsidR="005A6189" w:rsidRPr="00957257">
        <w:rPr>
          <w:rFonts w:ascii="Times New Roman" w:hAnsi="Times New Roman"/>
          <w:szCs w:val="21"/>
        </w:rPr>
        <w:t>(2401110732@stu.pku.edu.cn)</w:t>
      </w:r>
    </w:p>
    <w:p w:rsidR="001F1668" w:rsidRPr="00AF086F" w:rsidRDefault="00F95394" w:rsidP="001F1668">
      <w:pPr>
        <w:shd w:val="clear" w:color="auto" w:fill="FFFFFF"/>
        <w:rPr>
          <w:rFonts w:ascii="微软雅黑" w:eastAsia="微软雅黑" w:hAnsi="微软雅黑" w:cs="微软雅黑"/>
          <w:color w:val="333333"/>
          <w:sz w:val="21"/>
          <w:szCs w:val="21"/>
        </w:rPr>
      </w:pPr>
      <w:r w:rsidRPr="00AF086F">
        <w:rPr>
          <w:rFonts w:ascii="微软雅黑" w:eastAsia="微软雅黑" w:hAnsi="微软雅黑" w:cs="微软雅黑" w:hint="eastAsia"/>
          <w:color w:val="333333"/>
          <w:sz w:val="21"/>
          <w:szCs w:val="21"/>
        </w:rPr>
        <w:t>课程群：二维码见ppt</w:t>
      </w:r>
      <w:r w:rsidR="00AF086F" w:rsidRPr="00AF086F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，进群后改名，后期标注组别</w:t>
      </w:r>
    </w:p>
    <w:p w:rsidR="00F95394" w:rsidRDefault="00F95394" w:rsidP="001F1668">
      <w:pPr>
        <w:shd w:val="clear" w:color="auto" w:fill="FFFFFF"/>
        <w:rPr>
          <w:rFonts w:ascii="微软雅黑" w:eastAsia="微软雅黑" w:hAnsi="微软雅黑" w:cs="微软雅黑" w:hint="eastAsia"/>
          <w:b/>
          <w:bCs/>
          <w:color w:val="333333"/>
          <w:szCs w:val="21"/>
        </w:rPr>
      </w:pPr>
    </w:p>
    <w:p w:rsidR="001F1668" w:rsidRPr="001F1668" w:rsidRDefault="001F1668" w:rsidP="001F1668">
      <w:pPr>
        <w:shd w:val="clear" w:color="auto" w:fill="FFFFFF"/>
        <w:rPr>
          <w:rFonts w:ascii="黑体" w:eastAsia="黑体" w:hAnsi="黑体" w:cs="微软雅黑"/>
          <w:b/>
          <w:bCs/>
          <w:color w:val="333333"/>
          <w:szCs w:val="21"/>
        </w:rPr>
      </w:pPr>
      <w:r w:rsidRPr="001F1668">
        <w:rPr>
          <w:rFonts w:ascii="黑体" w:eastAsia="黑体" w:hAnsi="黑体" w:cs="微软雅黑" w:hint="eastAsia"/>
          <w:b/>
          <w:bCs/>
          <w:color w:val="333333"/>
          <w:szCs w:val="21"/>
        </w:rPr>
        <w:t>课程简介</w:t>
      </w:r>
    </w:p>
    <w:p w:rsidR="001F1668" w:rsidRDefault="001F1668" w:rsidP="00C85E9E">
      <w:pPr>
        <w:pStyle w:val="ae"/>
        <w:widowControl/>
        <w:spacing w:before="0" w:beforeAutospacing="0" w:after="376" w:afterAutospacing="0" w:line="165" w:lineRule="atLeast"/>
        <w:ind w:rightChars="-203" w:right="-487"/>
        <w:rPr>
          <w:rFonts w:ascii="宋体" w:hAnsi="宋体" w:cs="宋体"/>
          <w:color w:val="595959"/>
          <w:sz w:val="21"/>
          <w:szCs w:val="21"/>
          <w:shd w:val="clear" w:color="auto" w:fill="FFFFFF"/>
        </w:rPr>
      </w:pPr>
      <w:r>
        <w:rPr>
          <w:rFonts w:ascii="宋体" w:hAnsi="宋体" w:cs="宋体" w:hint="eastAsia"/>
          <w:color w:val="595959"/>
          <w:sz w:val="21"/>
          <w:szCs w:val="21"/>
          <w:shd w:val="clear" w:color="auto" w:fill="FFFFFF"/>
        </w:rPr>
        <w:t>《教育心理学》是研究教育教学过程中的心理现象与及其规律的科学，属于心理学的学科分支。《教育心理学》指导着教育教学实践活动的进行，具备了极其鲜明的实践性和应用性，是一门理论与应用兼顾专的业课程，本课程是为教育心理学本科项目开设的专业基础课程，也供其他学生作为选修课学习。通过对本课程的教学，使学生能充分把握教育心理学的基本概念、重要原理和理论，形成结构良好的教育心理学系统知识模块；指导学生掌握教育心理学的主要研究方法，培养学生对教育心理现象的理解、分析批判能力和对教育心理学问题开展研究的能力，把握当前国内外教育心理学研究的热点和趋势。注重理论原理探讨与实践活动探索的相互结合。</w:t>
      </w:r>
    </w:p>
    <w:p w:rsidR="001F1668" w:rsidRPr="001F1668" w:rsidRDefault="001F1668" w:rsidP="001F1668">
      <w:pPr>
        <w:shd w:val="clear" w:color="auto" w:fill="FFFFFF"/>
        <w:rPr>
          <w:rFonts w:ascii="黑体" w:eastAsia="黑体" w:hAnsi="黑体" w:cs="微软雅黑"/>
          <w:b/>
          <w:bCs/>
          <w:color w:val="333333"/>
          <w:szCs w:val="21"/>
        </w:rPr>
      </w:pPr>
      <w:r w:rsidRPr="001F1668">
        <w:rPr>
          <w:rFonts w:ascii="黑体" w:eastAsia="黑体" w:hAnsi="黑体" w:cs="微软雅黑" w:hint="eastAsia"/>
          <w:b/>
          <w:bCs/>
          <w:color w:val="333333"/>
          <w:szCs w:val="21"/>
        </w:rPr>
        <w:t>参考书目：</w:t>
      </w:r>
    </w:p>
    <w:p w:rsidR="004E317E" w:rsidRPr="00C85E9E" w:rsidRDefault="004E317E" w:rsidP="00F95394">
      <w:pPr>
        <w:pStyle w:val="ae"/>
        <w:widowControl/>
        <w:adjustRightInd w:val="0"/>
        <w:snapToGrid w:val="0"/>
        <w:spacing w:before="0" w:beforeAutospacing="0" w:after="0" w:afterAutospacing="0"/>
        <w:rPr>
          <w:rFonts w:ascii="宋体-简" w:eastAsia="宋体-简" w:hAnsi="宋体-简" w:cs="微软雅黑"/>
          <w:color w:val="000000"/>
          <w:sz w:val="21"/>
          <w:szCs w:val="21"/>
        </w:rPr>
      </w:pP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《当代教育心理学》陈琦，刘儒德，2019，北京师范大学出版社</w:t>
      </w:r>
    </w:p>
    <w:p w:rsidR="00FA4A0E" w:rsidRPr="00C85E9E" w:rsidRDefault="00FA4A0E" w:rsidP="00F95394">
      <w:pPr>
        <w:pStyle w:val="ae"/>
        <w:widowControl/>
        <w:adjustRightInd w:val="0"/>
        <w:snapToGrid w:val="0"/>
        <w:spacing w:before="0" w:beforeAutospacing="0" w:after="0" w:afterAutospacing="0"/>
        <w:rPr>
          <w:rFonts w:ascii="宋体-简" w:eastAsia="宋体-简" w:hAnsi="宋体-简" w:cs="微软雅黑"/>
          <w:color w:val="000000"/>
          <w:sz w:val="21"/>
          <w:szCs w:val="21"/>
        </w:rPr>
      </w:pP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《教育心理学》Ormrod, J., Anderman, E., &amp; Anderman, L., （龚少英 译）2023，人民邮电出版社</w:t>
      </w:r>
    </w:p>
    <w:p w:rsidR="004E317E" w:rsidRPr="00C85E9E" w:rsidRDefault="004E317E" w:rsidP="00F95394">
      <w:pPr>
        <w:pStyle w:val="ae"/>
        <w:widowControl/>
        <w:adjustRightInd w:val="0"/>
        <w:snapToGrid w:val="0"/>
        <w:spacing w:before="0" w:beforeAutospacing="0" w:after="0" w:afterAutospacing="0"/>
        <w:rPr>
          <w:rFonts w:ascii="宋体-简" w:eastAsia="宋体-简" w:hAnsi="宋体-简" w:cs="微软雅黑"/>
          <w:color w:val="000000"/>
          <w:sz w:val="21"/>
          <w:szCs w:val="21"/>
        </w:rPr>
      </w:pP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《教育心理学》Woolfolk</w:t>
      </w:r>
      <w:r w:rsidRPr="00C85E9E">
        <w:rPr>
          <w:rFonts w:ascii="宋体-简" w:eastAsia="宋体-简" w:hAnsi="宋体-简" w:cs="微软雅黑"/>
          <w:color w:val="000000"/>
          <w:sz w:val="21"/>
          <w:szCs w:val="21"/>
        </w:rPr>
        <w:t>, A.,</w:t>
      </w: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（陈红兵，张春莉译）2022，华东师范大学出版社</w:t>
      </w:r>
    </w:p>
    <w:p w:rsidR="00FA4A0E" w:rsidRPr="00C85E9E" w:rsidRDefault="00FA4A0E" w:rsidP="00F95394">
      <w:pPr>
        <w:pStyle w:val="ae"/>
        <w:widowControl/>
        <w:adjustRightInd w:val="0"/>
        <w:snapToGrid w:val="0"/>
        <w:spacing w:before="0" w:beforeAutospacing="0" w:after="0" w:afterAutospacing="0"/>
        <w:rPr>
          <w:rFonts w:ascii="宋体-简" w:eastAsia="宋体-简" w:hAnsi="宋体-简" w:cs="微软雅黑"/>
          <w:color w:val="000000"/>
          <w:sz w:val="21"/>
          <w:szCs w:val="21"/>
        </w:rPr>
      </w:pP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《教学中的心理学》Snowman, J &amp; McCown, R. （庞维国等译）2019，华东师范大学出版社</w:t>
      </w:r>
    </w:p>
    <w:p w:rsidR="00FA4A0E" w:rsidRPr="00C85E9E" w:rsidRDefault="002C6B44" w:rsidP="00F95394">
      <w:pPr>
        <w:pStyle w:val="ae"/>
        <w:adjustRightInd w:val="0"/>
        <w:snapToGrid w:val="0"/>
        <w:spacing w:after="376"/>
        <w:rPr>
          <w:rFonts w:ascii="宋体-简" w:eastAsia="宋体-简" w:hAnsi="宋体-简" w:cs="微软雅黑" w:hint="eastAsia"/>
          <w:color w:val="000000"/>
          <w:sz w:val="21"/>
          <w:szCs w:val="21"/>
        </w:rPr>
      </w:pP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教育心理学相关杂志：</w:t>
      </w:r>
      <w:r w:rsidR="008C6452">
        <w:rPr>
          <w:rFonts w:ascii="宋体-简" w:eastAsia="宋体-简" w:hAnsi="宋体-简" w:cs="微软雅黑" w:hint="eastAsia"/>
          <w:color w:val="000000"/>
          <w:sz w:val="21"/>
          <w:szCs w:val="21"/>
        </w:rPr>
        <w:t>Annual review of psychology；</w:t>
      </w:r>
      <w:r w:rsidRPr="00C85E9E">
        <w:rPr>
          <w:rFonts w:ascii="宋体-简" w:eastAsia="宋体-简" w:hAnsi="宋体-简" w:cs="微软雅黑"/>
          <w:color w:val="000000"/>
          <w:sz w:val="21"/>
          <w:szCs w:val="21"/>
        </w:rPr>
        <w:t>Journal of Educational Psychology</w:t>
      </w: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；</w:t>
      </w:r>
      <w:r w:rsidRPr="00C85E9E">
        <w:rPr>
          <w:rFonts w:ascii="宋体-简" w:eastAsia="宋体-简" w:hAnsi="宋体-简" w:cs="微软雅黑"/>
          <w:color w:val="000000"/>
          <w:sz w:val="21"/>
          <w:szCs w:val="21"/>
        </w:rPr>
        <w:t>Educational Psychologist</w:t>
      </w: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；</w:t>
      </w:r>
      <w:r w:rsidRPr="00C85E9E">
        <w:rPr>
          <w:rFonts w:ascii="宋体-简" w:eastAsia="宋体-简" w:hAnsi="宋体-简" w:cs="微软雅黑"/>
          <w:color w:val="000000"/>
          <w:sz w:val="21"/>
          <w:szCs w:val="21"/>
        </w:rPr>
        <w:t>Contemporary Educational Psychology</w:t>
      </w: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；</w:t>
      </w:r>
      <w:r w:rsidRPr="00C85E9E">
        <w:rPr>
          <w:rFonts w:ascii="宋体-简" w:eastAsia="宋体-简" w:hAnsi="宋体-简" w:cs="微软雅黑"/>
          <w:color w:val="000000"/>
          <w:sz w:val="21"/>
          <w:szCs w:val="21"/>
        </w:rPr>
        <w:t>Learning and Instruction</w:t>
      </w: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；</w:t>
      </w:r>
      <w:r w:rsidRPr="00C85E9E">
        <w:rPr>
          <w:rFonts w:ascii="宋体-简" w:eastAsia="宋体-简" w:hAnsi="宋体-简" w:cs="微软雅黑"/>
          <w:color w:val="000000"/>
          <w:sz w:val="21"/>
          <w:szCs w:val="21"/>
        </w:rPr>
        <w:t>Educational Psychology Review</w:t>
      </w: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；</w:t>
      </w:r>
      <w:r w:rsidRPr="00C85E9E">
        <w:rPr>
          <w:rFonts w:ascii="宋体-简" w:eastAsia="宋体-简" w:hAnsi="宋体-简" w:cs="微软雅黑"/>
          <w:color w:val="000000"/>
          <w:sz w:val="21"/>
          <w:szCs w:val="21"/>
        </w:rPr>
        <w:t>British Journal of Educational Psychology</w:t>
      </w: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；</w:t>
      </w:r>
      <w:r w:rsidRPr="00C85E9E">
        <w:rPr>
          <w:rFonts w:ascii="宋体-简" w:eastAsia="宋体-简" w:hAnsi="宋体-简" w:cs="微软雅黑"/>
          <w:color w:val="000000"/>
          <w:sz w:val="21"/>
          <w:szCs w:val="21"/>
        </w:rPr>
        <w:t>Journal of Experimental Education</w:t>
      </w: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；</w:t>
      </w:r>
      <w:r w:rsidRPr="00C85E9E">
        <w:rPr>
          <w:rFonts w:ascii="宋体-简" w:eastAsia="宋体-简" w:hAnsi="宋体-简" w:cs="微软雅黑"/>
          <w:color w:val="000000"/>
          <w:sz w:val="21"/>
          <w:szCs w:val="21"/>
        </w:rPr>
        <w:t>Educational Research Review</w:t>
      </w: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；</w:t>
      </w:r>
      <w:r w:rsidRPr="00C85E9E">
        <w:rPr>
          <w:rFonts w:ascii="宋体-简" w:eastAsia="宋体-简" w:hAnsi="宋体-简" w:cs="微软雅黑"/>
          <w:color w:val="000000"/>
          <w:sz w:val="21"/>
          <w:szCs w:val="21"/>
        </w:rPr>
        <w:t>Cognition and Instruction</w:t>
      </w:r>
      <w:r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；</w:t>
      </w:r>
      <w:r w:rsidRPr="00C85E9E">
        <w:rPr>
          <w:rFonts w:ascii="宋体-简" w:eastAsia="宋体-简" w:hAnsi="宋体-简" w:cs="微软雅黑"/>
          <w:color w:val="000000"/>
          <w:sz w:val="21"/>
          <w:szCs w:val="21"/>
        </w:rPr>
        <w:t>School Psychology Quarterly</w:t>
      </w:r>
      <w:r w:rsidR="00EC2E82" w:rsidRPr="00C85E9E">
        <w:rPr>
          <w:rFonts w:ascii="宋体-简" w:eastAsia="宋体-简" w:hAnsi="宋体-简" w:cs="微软雅黑" w:hint="eastAsia"/>
          <w:color w:val="000000"/>
          <w:sz w:val="21"/>
          <w:szCs w:val="21"/>
        </w:rPr>
        <w:t>；心理学报；心理发展与教育；心理科学。</w:t>
      </w:r>
    </w:p>
    <w:p w:rsidR="001F1668" w:rsidRPr="001F1668" w:rsidRDefault="001F1668" w:rsidP="001F1668">
      <w:pPr>
        <w:shd w:val="clear" w:color="auto" w:fill="FFFFFF"/>
        <w:rPr>
          <w:rFonts w:ascii="黑体" w:eastAsia="黑体" w:hAnsi="黑体" w:cs="微软雅黑"/>
          <w:b/>
          <w:bCs/>
          <w:color w:val="333333"/>
          <w:szCs w:val="21"/>
        </w:rPr>
      </w:pPr>
      <w:r w:rsidRPr="001F1668">
        <w:rPr>
          <w:rFonts w:ascii="黑体" w:eastAsia="黑体" w:hAnsi="黑体" w:cs="微软雅黑" w:hint="eastAsia"/>
          <w:b/>
          <w:bCs/>
          <w:color w:val="333333"/>
          <w:szCs w:val="21"/>
        </w:rPr>
        <w:t>课程考核</w:t>
      </w:r>
    </w:p>
    <w:p w:rsidR="00EB6908" w:rsidRDefault="00EB6908" w:rsidP="00EB6908">
      <w:pPr>
        <w:shd w:val="clear" w:color="auto" w:fill="FFFFFF"/>
        <w:rPr>
          <w:color w:val="666666"/>
          <w:sz w:val="21"/>
          <w:szCs w:val="21"/>
          <w:shd w:val="clear" w:color="auto" w:fill="FFFFFF"/>
        </w:rPr>
      </w:pPr>
      <w:r>
        <w:rPr>
          <w:rFonts w:hint="eastAsia"/>
          <w:color w:val="666666"/>
          <w:sz w:val="21"/>
          <w:szCs w:val="21"/>
          <w:shd w:val="clear" w:color="auto" w:fill="FFFFFF"/>
        </w:rPr>
        <w:t>1）</w:t>
      </w:r>
      <w:r w:rsidRPr="00EB6908">
        <w:rPr>
          <w:color w:val="666666"/>
          <w:sz w:val="21"/>
          <w:szCs w:val="21"/>
          <w:shd w:val="clear" w:color="auto" w:fill="FFFFFF"/>
        </w:rPr>
        <w:t>课堂参与和互动作业（30%）</w:t>
      </w:r>
      <w:r>
        <w:rPr>
          <w:rFonts w:hint="eastAsia"/>
          <w:color w:val="666666"/>
          <w:sz w:val="21"/>
          <w:szCs w:val="21"/>
          <w:shd w:val="clear" w:color="auto" w:fill="FFFFFF"/>
        </w:rPr>
        <w:t>；</w:t>
      </w:r>
    </w:p>
    <w:p w:rsidR="00EB6908" w:rsidRDefault="00EB6908" w:rsidP="00EB6908">
      <w:pPr>
        <w:shd w:val="clear" w:color="auto" w:fill="FFFFFF"/>
        <w:rPr>
          <w:color w:val="666666"/>
          <w:sz w:val="21"/>
          <w:szCs w:val="21"/>
          <w:shd w:val="clear" w:color="auto" w:fill="FFFFFF"/>
        </w:rPr>
      </w:pPr>
      <w:r>
        <w:rPr>
          <w:rFonts w:hint="eastAsia"/>
          <w:color w:val="666666"/>
          <w:sz w:val="21"/>
          <w:szCs w:val="21"/>
          <w:shd w:val="clear" w:color="auto" w:fill="FFFFFF"/>
        </w:rPr>
        <w:t>2）</w:t>
      </w:r>
      <w:r w:rsidRPr="00EB6908">
        <w:rPr>
          <w:color w:val="666666"/>
          <w:sz w:val="21"/>
          <w:szCs w:val="21"/>
          <w:shd w:val="clear" w:color="auto" w:fill="FFFFFF"/>
        </w:rPr>
        <w:t>小组汇报：4-5人一组，进行10分钟的</w:t>
      </w:r>
      <w:r>
        <w:rPr>
          <w:rFonts w:hint="eastAsia"/>
          <w:color w:val="666666"/>
          <w:sz w:val="21"/>
          <w:szCs w:val="21"/>
          <w:shd w:val="clear" w:color="auto" w:fill="FFFFFF"/>
        </w:rPr>
        <w:t>课堂报告</w:t>
      </w:r>
      <w:r w:rsidRPr="00EB6908">
        <w:rPr>
          <w:color w:val="666666"/>
          <w:sz w:val="21"/>
          <w:szCs w:val="21"/>
          <w:shd w:val="clear" w:color="auto" w:fill="FFFFFF"/>
        </w:rPr>
        <w:t>(30%)</w:t>
      </w:r>
      <w:r>
        <w:rPr>
          <w:rFonts w:hint="eastAsia"/>
          <w:color w:val="666666"/>
          <w:sz w:val="21"/>
          <w:szCs w:val="21"/>
          <w:shd w:val="clear" w:color="auto" w:fill="FFFFFF"/>
        </w:rPr>
        <w:t>，两种任务二则一（</w:t>
      </w:r>
      <w:r w:rsidRPr="00EB6908">
        <w:rPr>
          <w:color w:val="666666"/>
          <w:sz w:val="21"/>
          <w:szCs w:val="21"/>
          <w:shd w:val="clear" w:color="auto" w:fill="FFFFFF"/>
        </w:rPr>
        <w:t>实证研究文献分享：对2-3篇新近的实证研究的内容进行总结和评论</w:t>
      </w:r>
      <w:r>
        <w:rPr>
          <w:rFonts w:hint="eastAsia"/>
          <w:color w:val="666666"/>
          <w:sz w:val="21"/>
          <w:szCs w:val="21"/>
          <w:shd w:val="clear" w:color="auto" w:fill="FFFFFF"/>
        </w:rPr>
        <w:t>；</w:t>
      </w:r>
      <w:r w:rsidRPr="00EB6908">
        <w:rPr>
          <w:color w:val="666666"/>
          <w:sz w:val="21"/>
          <w:szCs w:val="21"/>
          <w:shd w:val="clear" w:color="auto" w:fill="FFFFFF"/>
        </w:rPr>
        <w:t>教学案例分析：根据教育心理学理论或经典研究发现</w:t>
      </w:r>
      <w:r>
        <w:rPr>
          <w:rFonts w:hint="eastAsia"/>
          <w:color w:val="666666"/>
          <w:sz w:val="21"/>
          <w:szCs w:val="21"/>
          <w:shd w:val="clear" w:color="auto" w:fill="FFFFFF"/>
        </w:rPr>
        <w:t>（引文）</w:t>
      </w:r>
      <w:r w:rsidRPr="00EB6908">
        <w:rPr>
          <w:color w:val="666666"/>
          <w:sz w:val="21"/>
          <w:szCs w:val="21"/>
          <w:shd w:val="clear" w:color="auto" w:fill="FFFFFF"/>
        </w:rPr>
        <w:t>分析自身的学习经历或身边的教育案例</w:t>
      </w:r>
      <w:r>
        <w:rPr>
          <w:rFonts w:hint="eastAsia"/>
          <w:color w:val="666666"/>
          <w:sz w:val="21"/>
          <w:szCs w:val="21"/>
          <w:shd w:val="clear" w:color="auto" w:fill="FFFFFF"/>
        </w:rPr>
        <w:t>）；</w:t>
      </w:r>
    </w:p>
    <w:p w:rsidR="00EB6908" w:rsidRDefault="00EB6908" w:rsidP="00EB6908">
      <w:pPr>
        <w:shd w:val="clear" w:color="auto" w:fill="FFFFFF"/>
        <w:rPr>
          <w:color w:val="666666"/>
          <w:sz w:val="21"/>
          <w:szCs w:val="21"/>
          <w:shd w:val="clear" w:color="auto" w:fill="FFFFFF"/>
        </w:rPr>
      </w:pPr>
      <w:r>
        <w:rPr>
          <w:rFonts w:hint="eastAsia"/>
          <w:color w:val="666666"/>
          <w:sz w:val="21"/>
          <w:szCs w:val="21"/>
          <w:shd w:val="clear" w:color="auto" w:fill="FFFFFF"/>
        </w:rPr>
        <w:t>3）</w:t>
      </w:r>
      <w:r w:rsidRPr="00EB6908">
        <w:rPr>
          <w:color w:val="666666"/>
          <w:sz w:val="21"/>
          <w:szCs w:val="21"/>
          <w:shd w:val="clear" w:color="auto" w:fill="FFFFFF"/>
        </w:rPr>
        <w:t>期末开卷考试（40%）理解教育心理学的基本原理和理论，并用于分析当前国内外教育心理学研究的热点问题和</w:t>
      </w:r>
      <w:r>
        <w:rPr>
          <w:rFonts w:hint="eastAsia"/>
          <w:color w:val="666666"/>
          <w:sz w:val="21"/>
          <w:szCs w:val="21"/>
          <w:shd w:val="clear" w:color="auto" w:fill="FFFFFF"/>
        </w:rPr>
        <w:t>发展</w:t>
      </w:r>
      <w:r w:rsidRPr="00EB6908">
        <w:rPr>
          <w:color w:val="666666"/>
          <w:sz w:val="21"/>
          <w:szCs w:val="21"/>
          <w:shd w:val="clear" w:color="auto" w:fill="FFFFFF"/>
        </w:rPr>
        <w:t>趋势</w:t>
      </w:r>
    </w:p>
    <w:p w:rsidR="001F1668" w:rsidRPr="00EB6908" w:rsidRDefault="001F1668" w:rsidP="00EB6908">
      <w:pPr>
        <w:shd w:val="clear" w:color="auto" w:fill="FFFFFF"/>
        <w:jc w:val="center"/>
        <w:rPr>
          <w:color w:val="666666"/>
          <w:sz w:val="21"/>
          <w:szCs w:val="21"/>
          <w:shd w:val="clear" w:color="auto" w:fill="FFFFFF"/>
        </w:rPr>
      </w:pPr>
      <w:r w:rsidRPr="001F1668">
        <w:rPr>
          <w:rFonts w:ascii="黑体" w:eastAsia="黑体" w:hAnsi="黑体" w:cs="微软雅黑" w:hint="eastAsia"/>
          <w:b/>
          <w:bCs/>
          <w:color w:val="333333"/>
          <w:szCs w:val="21"/>
        </w:rPr>
        <w:lastRenderedPageBreak/>
        <w:t>课程安排</w:t>
      </w:r>
    </w:p>
    <w:p w:rsidR="004E317E" w:rsidRDefault="004E317E" w:rsidP="001F1668">
      <w:pPr>
        <w:shd w:val="clear" w:color="auto" w:fill="FFFFFF"/>
        <w:rPr>
          <w:rFonts w:ascii="黑体" w:eastAsia="黑体" w:hAnsi="黑体" w:cs="微软雅黑"/>
          <w:b/>
          <w:bCs/>
          <w:color w:val="333333"/>
          <w:szCs w:val="21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4253"/>
        <w:gridCol w:w="2613"/>
      </w:tblGrid>
      <w:tr w:rsidR="00ED292A" w:rsidRPr="00383F32" w:rsidTr="002C1D95">
        <w:tc>
          <w:tcPr>
            <w:tcW w:w="562" w:type="dxa"/>
          </w:tcPr>
          <w:p w:rsidR="00ED292A" w:rsidRPr="00383F32" w:rsidRDefault="00ED292A" w:rsidP="000F088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bCs/>
                <w:color w:val="333333"/>
                <w:szCs w:val="21"/>
              </w:rPr>
            </w:pPr>
          </w:p>
        </w:tc>
        <w:tc>
          <w:tcPr>
            <w:tcW w:w="709" w:type="dxa"/>
          </w:tcPr>
          <w:p w:rsidR="00ED292A" w:rsidRPr="00383F32" w:rsidRDefault="00ED292A" w:rsidP="000F0883">
            <w:pPr>
              <w:adjustRightInd w:val="0"/>
              <w:snapToGrid w:val="0"/>
              <w:jc w:val="center"/>
              <w:rPr>
                <w:rFonts w:ascii="黑体" w:eastAsia="黑体" w:hAnsi="黑体"/>
                <w:b/>
                <w:bCs/>
                <w:color w:val="333333"/>
                <w:szCs w:val="21"/>
              </w:rPr>
            </w:pPr>
            <w:r w:rsidRPr="00383F32">
              <w:rPr>
                <w:rFonts w:ascii="黑体" w:eastAsia="黑体" w:hAnsi="黑体"/>
                <w:b/>
                <w:bCs/>
                <w:color w:val="333333"/>
                <w:szCs w:val="21"/>
              </w:rPr>
              <w:t>日期</w:t>
            </w:r>
          </w:p>
        </w:tc>
        <w:tc>
          <w:tcPr>
            <w:tcW w:w="4253" w:type="dxa"/>
          </w:tcPr>
          <w:p w:rsidR="00ED292A" w:rsidRPr="00383F32" w:rsidRDefault="00ED292A" w:rsidP="000F0883">
            <w:pPr>
              <w:jc w:val="center"/>
              <w:rPr>
                <w:rFonts w:ascii="黑体" w:eastAsia="黑体" w:hAnsi="黑体" w:cs="微软雅黑"/>
                <w:b/>
                <w:bCs/>
                <w:color w:val="333333"/>
                <w:szCs w:val="21"/>
              </w:rPr>
            </w:pPr>
            <w:r w:rsidRPr="00383F32">
              <w:rPr>
                <w:rFonts w:ascii="黑体" w:eastAsia="黑体" w:hAnsi="黑体" w:cs="微软雅黑" w:hint="eastAsia"/>
                <w:b/>
                <w:bCs/>
                <w:color w:val="333333"/>
                <w:szCs w:val="21"/>
              </w:rPr>
              <w:t>内容</w:t>
            </w:r>
          </w:p>
        </w:tc>
        <w:tc>
          <w:tcPr>
            <w:tcW w:w="2613" w:type="dxa"/>
          </w:tcPr>
          <w:p w:rsidR="00ED292A" w:rsidRPr="00383F32" w:rsidRDefault="000C2F9A" w:rsidP="000F0883">
            <w:pPr>
              <w:jc w:val="center"/>
              <w:rPr>
                <w:rFonts w:ascii="黑体" w:eastAsia="黑体" w:hAnsi="黑体" w:cs="微软雅黑"/>
                <w:b/>
                <w:bCs/>
                <w:color w:val="333333"/>
                <w:szCs w:val="21"/>
              </w:rPr>
            </w:pPr>
            <w:r>
              <w:rPr>
                <w:rFonts w:ascii="黑体" w:eastAsia="黑体" w:hAnsi="黑体" w:cs="微软雅黑" w:hint="eastAsia"/>
                <w:b/>
                <w:bCs/>
                <w:color w:val="333333"/>
                <w:szCs w:val="21"/>
              </w:rPr>
              <w:t>备注</w:t>
            </w:r>
          </w:p>
        </w:tc>
      </w:tr>
      <w:tr w:rsidR="00ED292A" w:rsidTr="002C1D95">
        <w:tc>
          <w:tcPr>
            <w:tcW w:w="562" w:type="dxa"/>
          </w:tcPr>
          <w:p w:rsidR="00ED292A" w:rsidRPr="00056E0C" w:rsidRDefault="00ED292A" w:rsidP="00383F32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1</w:t>
            </w:r>
          </w:p>
        </w:tc>
        <w:tc>
          <w:tcPr>
            <w:tcW w:w="709" w:type="dxa"/>
          </w:tcPr>
          <w:p w:rsidR="00ED292A" w:rsidRPr="00056E0C" w:rsidRDefault="00ED292A" w:rsidP="00383F32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2.19</w:t>
            </w:r>
          </w:p>
        </w:tc>
        <w:tc>
          <w:tcPr>
            <w:tcW w:w="4253" w:type="dxa"/>
          </w:tcPr>
          <w:p w:rsidR="00ED292A" w:rsidRPr="00056E0C" w:rsidRDefault="00ED292A" w:rsidP="00383F32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056E0C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导论</w:t>
            </w:r>
            <w:r w:rsidR="008A03C5" w:rsidRPr="00056E0C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（</w:t>
            </w:r>
            <w:r w:rsidR="003D03C1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内容</w:t>
            </w:r>
            <w:r w:rsidR="008A03C5" w:rsidRPr="00056E0C">
              <w:rPr>
                <w:rFonts w:ascii="宋体-简" w:eastAsia="宋体-简" w:hAnsi="宋体-简" w:cs="微软雅黑" w:hint="eastAsia"/>
                <w:color w:val="333333"/>
                <w:szCs w:val="21"/>
              </w:rPr>
              <w:t>，考核</w:t>
            </w:r>
            <w:r w:rsidR="000F0883">
              <w:rPr>
                <w:rFonts w:ascii="宋体-简" w:eastAsia="宋体-简" w:hAnsi="宋体-简" w:cs="微软雅黑" w:hint="eastAsia"/>
                <w:color w:val="333333"/>
                <w:szCs w:val="21"/>
              </w:rPr>
              <w:t>方式</w:t>
            </w:r>
            <w:r w:rsidR="00325ADB">
              <w:rPr>
                <w:rFonts w:ascii="宋体-简" w:eastAsia="宋体-简" w:hAnsi="宋体-简" w:cs="微软雅黑" w:hint="eastAsia"/>
                <w:color w:val="333333"/>
                <w:szCs w:val="21"/>
              </w:rPr>
              <w:t>，部分历史</w:t>
            </w:r>
            <w:r w:rsidR="008A03C5" w:rsidRPr="00056E0C">
              <w:rPr>
                <w:rFonts w:ascii="宋体-简" w:eastAsia="宋体-简" w:hAnsi="宋体-简" w:cs="微软雅黑" w:hint="eastAsia"/>
                <w:color w:val="333333"/>
                <w:szCs w:val="21"/>
              </w:rPr>
              <w:t>）</w:t>
            </w:r>
          </w:p>
        </w:tc>
        <w:tc>
          <w:tcPr>
            <w:tcW w:w="2613" w:type="dxa"/>
          </w:tcPr>
          <w:p w:rsidR="00ED292A" w:rsidRPr="006625B1" w:rsidRDefault="006625B1" w:rsidP="00ED292A">
            <w:pPr>
              <w:rPr>
                <w:rFonts w:ascii="黑体" w:eastAsia="黑体" w:hAnsi="黑体" w:cs="微软雅黑"/>
                <w:color w:val="333333"/>
                <w:sz w:val="18"/>
                <w:szCs w:val="18"/>
              </w:rPr>
            </w:pPr>
            <w:r w:rsidRPr="006625B1">
              <w:rPr>
                <w:rFonts w:ascii="黑体" w:eastAsia="黑体" w:hAnsi="黑体" w:cs="微软雅黑" w:hint="eastAsia"/>
                <w:color w:val="333333"/>
                <w:sz w:val="18"/>
                <w:szCs w:val="18"/>
              </w:rPr>
              <w:t>分组</w:t>
            </w:r>
          </w:p>
        </w:tc>
      </w:tr>
      <w:tr w:rsidR="00ED292A" w:rsidTr="002C1D95">
        <w:tc>
          <w:tcPr>
            <w:tcW w:w="562" w:type="dxa"/>
          </w:tcPr>
          <w:p w:rsidR="00ED292A" w:rsidRPr="00056E0C" w:rsidRDefault="00ED292A" w:rsidP="00383F32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2</w:t>
            </w:r>
          </w:p>
        </w:tc>
        <w:tc>
          <w:tcPr>
            <w:tcW w:w="709" w:type="dxa"/>
          </w:tcPr>
          <w:p w:rsidR="00ED292A" w:rsidRPr="00056E0C" w:rsidRDefault="00ED292A" w:rsidP="00383F32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2.26</w:t>
            </w:r>
          </w:p>
        </w:tc>
        <w:tc>
          <w:tcPr>
            <w:tcW w:w="4253" w:type="dxa"/>
          </w:tcPr>
          <w:p w:rsidR="00ED292A" w:rsidRPr="00056E0C" w:rsidRDefault="008A03C5" w:rsidP="00383F32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056E0C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研究历史及趋势/研究方法</w:t>
            </w:r>
          </w:p>
        </w:tc>
        <w:tc>
          <w:tcPr>
            <w:tcW w:w="2613" w:type="dxa"/>
          </w:tcPr>
          <w:p w:rsidR="00ED292A" w:rsidRPr="00A10113" w:rsidRDefault="006625B1" w:rsidP="00ED292A">
            <w:pPr>
              <w:rPr>
                <w:rFonts w:ascii="宋体-简" w:eastAsia="宋体-简" w:hAnsi="宋体-简" w:cs="微软雅黑"/>
                <w:color w:val="333333"/>
                <w:sz w:val="18"/>
                <w:szCs w:val="18"/>
              </w:rPr>
            </w:pP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完成分组</w:t>
            </w:r>
          </w:p>
        </w:tc>
      </w:tr>
      <w:tr w:rsidR="00ED292A" w:rsidTr="002C1D95">
        <w:tc>
          <w:tcPr>
            <w:tcW w:w="562" w:type="dxa"/>
          </w:tcPr>
          <w:p w:rsidR="00ED292A" w:rsidRPr="00056E0C" w:rsidRDefault="00ED292A" w:rsidP="00383F32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3</w:t>
            </w:r>
          </w:p>
        </w:tc>
        <w:tc>
          <w:tcPr>
            <w:tcW w:w="709" w:type="dxa"/>
          </w:tcPr>
          <w:p w:rsidR="00ED292A" w:rsidRPr="00056E0C" w:rsidRDefault="00ED292A" w:rsidP="00383F32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3.05</w:t>
            </w:r>
          </w:p>
        </w:tc>
        <w:tc>
          <w:tcPr>
            <w:tcW w:w="4253" w:type="dxa"/>
          </w:tcPr>
          <w:p w:rsidR="00ED292A" w:rsidRPr="00056E0C" w:rsidRDefault="008A03C5" w:rsidP="00383F32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056E0C">
              <w:rPr>
                <w:rFonts w:ascii="宋体-简" w:eastAsia="宋体-简" w:hAnsi="宋体-简"/>
                <w:b/>
                <w:bCs/>
              </w:rPr>
              <w:t>学生心理</w:t>
            </w:r>
            <w:r w:rsidRPr="00056E0C">
              <w:rPr>
                <w:rFonts w:ascii="宋体-简" w:eastAsia="宋体-简" w:hAnsi="宋体-简" w:hint="eastAsia"/>
                <w:b/>
                <w:bCs/>
              </w:rPr>
              <w:t>：</w:t>
            </w:r>
            <w:r w:rsidRPr="00056E0C">
              <w:rPr>
                <w:rFonts w:ascii="宋体-简" w:eastAsia="宋体-简" w:hAnsi="宋体-简" w:hint="eastAsia"/>
              </w:rPr>
              <w:t>认知与社会性发展</w:t>
            </w:r>
          </w:p>
        </w:tc>
        <w:tc>
          <w:tcPr>
            <w:tcW w:w="2613" w:type="dxa"/>
          </w:tcPr>
          <w:p w:rsidR="00ED292A" w:rsidRPr="00A10113" w:rsidRDefault="000C2F9A" w:rsidP="00ED292A">
            <w:pPr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</w:pP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脑发育</w:t>
            </w:r>
            <w:r w:rsidR="002C1D95"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部分</w:t>
            </w:r>
            <w:r w:rsidR="005A6189"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讲座</w:t>
            </w:r>
          </w:p>
        </w:tc>
      </w:tr>
      <w:tr w:rsidR="00ED292A" w:rsidTr="002C1D95">
        <w:tc>
          <w:tcPr>
            <w:tcW w:w="562" w:type="dxa"/>
          </w:tcPr>
          <w:p w:rsidR="00ED292A" w:rsidRPr="00056E0C" w:rsidRDefault="00ED292A" w:rsidP="00383F32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4</w:t>
            </w:r>
          </w:p>
        </w:tc>
        <w:tc>
          <w:tcPr>
            <w:tcW w:w="709" w:type="dxa"/>
          </w:tcPr>
          <w:p w:rsidR="00ED292A" w:rsidRPr="00056E0C" w:rsidRDefault="00ED292A" w:rsidP="00383F32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3.12</w:t>
            </w:r>
          </w:p>
        </w:tc>
        <w:tc>
          <w:tcPr>
            <w:tcW w:w="4253" w:type="dxa"/>
          </w:tcPr>
          <w:p w:rsidR="00ED292A" w:rsidRPr="00056E0C" w:rsidRDefault="008A03C5" w:rsidP="00383F32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056E0C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学生心理</w:t>
            </w:r>
            <w:r w:rsidR="006625B1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：个体差异</w:t>
            </w:r>
            <w:r w:rsidR="009B5F99" w:rsidRPr="00056E0C">
              <w:rPr>
                <w:rFonts w:ascii="宋体-简" w:eastAsia="宋体-简" w:hAnsi="宋体-简" w:hint="eastAsia"/>
              </w:rPr>
              <w:t>/多元智力/</w:t>
            </w:r>
            <w:r w:rsidRPr="00056E0C">
              <w:rPr>
                <w:rFonts w:ascii="宋体-简" w:eastAsia="宋体-简" w:hAnsi="宋体-简" w:cs="微软雅黑" w:hint="eastAsia"/>
                <w:color w:val="333333"/>
                <w:szCs w:val="21"/>
              </w:rPr>
              <w:t>学习风格/特殊教育</w:t>
            </w:r>
          </w:p>
        </w:tc>
        <w:tc>
          <w:tcPr>
            <w:tcW w:w="2613" w:type="dxa"/>
          </w:tcPr>
          <w:p w:rsidR="00ED292A" w:rsidRPr="00A10113" w:rsidRDefault="00ED292A" w:rsidP="00ED292A">
            <w:pPr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</w:p>
        </w:tc>
      </w:tr>
      <w:tr w:rsidR="00ED292A" w:rsidTr="002C1D95">
        <w:tc>
          <w:tcPr>
            <w:tcW w:w="562" w:type="dxa"/>
          </w:tcPr>
          <w:p w:rsidR="00ED292A" w:rsidRPr="00056E0C" w:rsidRDefault="00ED292A" w:rsidP="00383F32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5</w:t>
            </w:r>
          </w:p>
        </w:tc>
        <w:tc>
          <w:tcPr>
            <w:tcW w:w="709" w:type="dxa"/>
          </w:tcPr>
          <w:p w:rsidR="00ED292A" w:rsidRPr="00056E0C" w:rsidRDefault="00ED292A" w:rsidP="00383F32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3.19</w:t>
            </w:r>
          </w:p>
        </w:tc>
        <w:tc>
          <w:tcPr>
            <w:tcW w:w="4253" w:type="dxa"/>
          </w:tcPr>
          <w:p w:rsidR="00ED292A" w:rsidRPr="00056E0C" w:rsidRDefault="000C2F9A" w:rsidP="00383F32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056E0C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教师心理</w:t>
            </w:r>
          </w:p>
        </w:tc>
        <w:tc>
          <w:tcPr>
            <w:tcW w:w="2613" w:type="dxa"/>
          </w:tcPr>
          <w:p w:rsidR="00ED292A" w:rsidRPr="00A10113" w:rsidRDefault="00ED292A" w:rsidP="00ED292A">
            <w:pPr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</w:p>
        </w:tc>
      </w:tr>
      <w:tr w:rsidR="000C2F9A" w:rsidTr="002C1D95">
        <w:tc>
          <w:tcPr>
            <w:tcW w:w="562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6</w:t>
            </w:r>
          </w:p>
        </w:tc>
        <w:tc>
          <w:tcPr>
            <w:tcW w:w="709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3.26</w:t>
            </w:r>
          </w:p>
        </w:tc>
        <w:tc>
          <w:tcPr>
            <w:tcW w:w="4253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056E0C">
              <w:rPr>
                <w:rFonts w:ascii="宋体-简" w:eastAsia="宋体-简" w:hAnsi="宋体-简"/>
                <w:b/>
                <w:bCs/>
              </w:rPr>
              <w:t>一般学习心理</w:t>
            </w:r>
            <w:r w:rsidRPr="00056E0C">
              <w:rPr>
                <w:rFonts w:ascii="宋体-简" w:eastAsia="宋体-简" w:hAnsi="宋体-简" w:hint="eastAsia"/>
                <w:b/>
                <w:bCs/>
              </w:rPr>
              <w:t>：</w:t>
            </w:r>
            <w:r w:rsidRPr="00056E0C">
              <w:rPr>
                <w:rFonts w:ascii="宋体-简" w:eastAsia="宋体-简" w:hAnsi="宋体-简" w:hint="eastAsia"/>
              </w:rPr>
              <w:t>行为/认知/建构理论</w:t>
            </w:r>
          </w:p>
        </w:tc>
        <w:tc>
          <w:tcPr>
            <w:tcW w:w="2613" w:type="dxa"/>
          </w:tcPr>
          <w:p w:rsidR="000C2F9A" w:rsidRPr="00A10113" w:rsidRDefault="000C2F9A" w:rsidP="000C2F9A">
            <w:pPr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</w:p>
        </w:tc>
      </w:tr>
      <w:tr w:rsidR="000C2F9A" w:rsidTr="002C1D95">
        <w:tc>
          <w:tcPr>
            <w:tcW w:w="562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7</w:t>
            </w:r>
          </w:p>
        </w:tc>
        <w:tc>
          <w:tcPr>
            <w:tcW w:w="709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4.02</w:t>
            </w:r>
          </w:p>
        </w:tc>
        <w:tc>
          <w:tcPr>
            <w:tcW w:w="4253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056E0C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一般学习心理：学习动机</w:t>
            </w:r>
          </w:p>
        </w:tc>
        <w:tc>
          <w:tcPr>
            <w:tcW w:w="2613" w:type="dxa"/>
          </w:tcPr>
          <w:p w:rsidR="000C2F9A" w:rsidRPr="00A10113" w:rsidRDefault="00117C32" w:rsidP="000C2F9A">
            <w:pPr>
              <w:rPr>
                <w:rFonts w:ascii="宋体-简" w:eastAsia="宋体-简" w:hAnsi="宋体-简" w:cs="微软雅黑"/>
                <w:color w:val="333333"/>
                <w:sz w:val="18"/>
                <w:szCs w:val="18"/>
              </w:rPr>
            </w:pP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学习动机与记忆讲座</w:t>
            </w:r>
          </w:p>
        </w:tc>
      </w:tr>
      <w:tr w:rsidR="000C2F9A" w:rsidTr="002C1D95">
        <w:tc>
          <w:tcPr>
            <w:tcW w:w="562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8</w:t>
            </w:r>
          </w:p>
        </w:tc>
        <w:tc>
          <w:tcPr>
            <w:tcW w:w="709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4.09</w:t>
            </w:r>
          </w:p>
        </w:tc>
        <w:tc>
          <w:tcPr>
            <w:tcW w:w="4253" w:type="dxa"/>
          </w:tcPr>
          <w:p w:rsidR="000C2F9A" w:rsidRPr="00C95D14" w:rsidRDefault="000C2F9A" w:rsidP="000C2F9A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FF0000"/>
                <w:szCs w:val="21"/>
              </w:rPr>
            </w:pPr>
            <w:r w:rsidRPr="00C95D14">
              <w:rPr>
                <w:rFonts w:ascii="宋体-简" w:eastAsia="宋体-简" w:hAnsi="宋体-简" w:hint="eastAsia"/>
                <w:b/>
                <w:bCs/>
                <w:color w:val="FF0000"/>
              </w:rPr>
              <w:t>知识建构/知识分类</w:t>
            </w:r>
          </w:p>
        </w:tc>
        <w:tc>
          <w:tcPr>
            <w:tcW w:w="2613" w:type="dxa"/>
          </w:tcPr>
          <w:p w:rsidR="000C2F9A" w:rsidRPr="00A10113" w:rsidRDefault="00F211B6" w:rsidP="000C2F9A">
            <w:pPr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</w:pP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+</w:t>
            </w:r>
            <w:r w:rsidR="006625B1"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小组报告</w:t>
            </w:r>
          </w:p>
        </w:tc>
      </w:tr>
      <w:tr w:rsidR="000C2F9A" w:rsidTr="002C1D95">
        <w:tc>
          <w:tcPr>
            <w:tcW w:w="562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9</w:t>
            </w:r>
          </w:p>
        </w:tc>
        <w:tc>
          <w:tcPr>
            <w:tcW w:w="709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4.16</w:t>
            </w:r>
          </w:p>
        </w:tc>
        <w:tc>
          <w:tcPr>
            <w:tcW w:w="4253" w:type="dxa"/>
          </w:tcPr>
          <w:p w:rsidR="000C2F9A" w:rsidRPr="00C95D14" w:rsidRDefault="000C2F9A" w:rsidP="000C2F9A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FF0000"/>
                <w:szCs w:val="21"/>
              </w:rPr>
            </w:pPr>
            <w:r w:rsidRPr="00C95D14">
              <w:rPr>
                <w:rFonts w:ascii="宋体-简" w:eastAsia="宋体-简" w:hAnsi="宋体-简" w:cs="微软雅黑" w:hint="eastAsia"/>
                <w:b/>
                <w:bCs/>
                <w:color w:val="FF0000"/>
                <w:szCs w:val="21"/>
              </w:rPr>
              <w:t>学习迁移/学习策略</w:t>
            </w:r>
          </w:p>
        </w:tc>
        <w:tc>
          <w:tcPr>
            <w:tcW w:w="2613" w:type="dxa"/>
          </w:tcPr>
          <w:p w:rsidR="000C2F9A" w:rsidRPr="00A10113" w:rsidRDefault="00F211B6" w:rsidP="000C2F9A">
            <w:pPr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+</w:t>
            </w:r>
            <w:r w:rsidR="006625B1"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小组报告</w:t>
            </w:r>
          </w:p>
        </w:tc>
      </w:tr>
      <w:tr w:rsidR="000C2F9A" w:rsidTr="002C1D95">
        <w:tc>
          <w:tcPr>
            <w:tcW w:w="562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10</w:t>
            </w:r>
          </w:p>
        </w:tc>
        <w:tc>
          <w:tcPr>
            <w:tcW w:w="709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4.23</w:t>
            </w:r>
          </w:p>
        </w:tc>
        <w:tc>
          <w:tcPr>
            <w:tcW w:w="4253" w:type="dxa"/>
          </w:tcPr>
          <w:p w:rsidR="000C2F9A" w:rsidRPr="00C95D14" w:rsidRDefault="000C2F9A" w:rsidP="000C2F9A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FF0000"/>
                <w:szCs w:val="21"/>
              </w:rPr>
            </w:pPr>
            <w:r w:rsidRPr="00C95D14">
              <w:rPr>
                <w:rFonts w:ascii="宋体-简" w:eastAsia="宋体-简" w:hAnsi="宋体-简" w:cs="微软雅黑" w:hint="eastAsia"/>
                <w:b/>
                <w:bCs/>
                <w:color w:val="FF0000"/>
                <w:szCs w:val="21"/>
              </w:rPr>
              <w:t>问题解决/创造性</w:t>
            </w:r>
          </w:p>
        </w:tc>
        <w:tc>
          <w:tcPr>
            <w:tcW w:w="2613" w:type="dxa"/>
          </w:tcPr>
          <w:p w:rsidR="000C2F9A" w:rsidRPr="00A10113" w:rsidRDefault="00F211B6" w:rsidP="000C2F9A">
            <w:pPr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+</w:t>
            </w:r>
            <w:r w:rsidR="006625B1"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小组报告</w:t>
            </w:r>
          </w:p>
        </w:tc>
      </w:tr>
      <w:tr w:rsidR="000C2F9A" w:rsidTr="002C1D95">
        <w:tc>
          <w:tcPr>
            <w:tcW w:w="562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11</w:t>
            </w:r>
          </w:p>
        </w:tc>
        <w:tc>
          <w:tcPr>
            <w:tcW w:w="709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4.30</w:t>
            </w:r>
          </w:p>
        </w:tc>
        <w:tc>
          <w:tcPr>
            <w:tcW w:w="4253" w:type="dxa"/>
          </w:tcPr>
          <w:p w:rsidR="000C2F9A" w:rsidRPr="00C95D14" w:rsidRDefault="000C2F9A" w:rsidP="000C2F9A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FF0000"/>
                <w:szCs w:val="21"/>
              </w:rPr>
            </w:pPr>
            <w:r w:rsidRPr="00C95D14">
              <w:rPr>
                <w:rFonts w:ascii="宋体-简" w:eastAsia="宋体-简" w:hAnsi="宋体-简" w:cs="微软雅黑" w:hint="eastAsia"/>
                <w:b/>
                <w:bCs/>
                <w:color w:val="FF0000"/>
                <w:szCs w:val="21"/>
              </w:rPr>
              <w:t>操作技能/社会规范学习</w:t>
            </w:r>
          </w:p>
        </w:tc>
        <w:tc>
          <w:tcPr>
            <w:tcW w:w="2613" w:type="dxa"/>
          </w:tcPr>
          <w:p w:rsidR="000C2F9A" w:rsidRPr="00A10113" w:rsidRDefault="00F211B6" w:rsidP="000C2F9A">
            <w:pPr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</w:pP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+</w:t>
            </w:r>
            <w:r w:rsidR="006625B1"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小组报告</w:t>
            </w:r>
          </w:p>
        </w:tc>
      </w:tr>
      <w:tr w:rsidR="000C2F9A" w:rsidTr="002C1D95">
        <w:tc>
          <w:tcPr>
            <w:tcW w:w="562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12</w:t>
            </w:r>
          </w:p>
        </w:tc>
        <w:tc>
          <w:tcPr>
            <w:tcW w:w="709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5.07</w:t>
            </w:r>
          </w:p>
        </w:tc>
        <w:tc>
          <w:tcPr>
            <w:tcW w:w="4253" w:type="dxa"/>
          </w:tcPr>
          <w:p w:rsidR="000C2F9A" w:rsidRPr="00C95D14" w:rsidRDefault="000C2F9A" w:rsidP="000C2F9A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FF0000"/>
                <w:szCs w:val="21"/>
              </w:rPr>
            </w:pPr>
            <w:r w:rsidRPr="00804420">
              <w:rPr>
                <w:rFonts w:ascii="宋体-简" w:eastAsia="宋体-简" w:hAnsi="宋体-简" w:cs="微软雅黑" w:hint="eastAsia"/>
                <w:b/>
                <w:bCs/>
                <w:color w:val="000000" w:themeColor="text1"/>
                <w:szCs w:val="21"/>
              </w:rPr>
              <w:t>放假</w:t>
            </w:r>
          </w:p>
        </w:tc>
        <w:tc>
          <w:tcPr>
            <w:tcW w:w="2613" w:type="dxa"/>
          </w:tcPr>
          <w:p w:rsidR="000C2F9A" w:rsidRPr="00A10113" w:rsidRDefault="000C2F9A" w:rsidP="000C2F9A">
            <w:pPr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</w:p>
        </w:tc>
      </w:tr>
      <w:tr w:rsidR="000C2F9A" w:rsidTr="002C1D95">
        <w:tc>
          <w:tcPr>
            <w:tcW w:w="562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13</w:t>
            </w:r>
          </w:p>
        </w:tc>
        <w:tc>
          <w:tcPr>
            <w:tcW w:w="709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5.14</w:t>
            </w:r>
          </w:p>
        </w:tc>
        <w:tc>
          <w:tcPr>
            <w:tcW w:w="4253" w:type="dxa"/>
          </w:tcPr>
          <w:p w:rsidR="000C2F9A" w:rsidRPr="00C95D14" w:rsidRDefault="000C2F9A" w:rsidP="000C2F9A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FF0000"/>
                <w:szCs w:val="21"/>
              </w:rPr>
            </w:pPr>
            <w:r w:rsidRPr="00C95D14">
              <w:rPr>
                <w:rFonts w:ascii="宋体-简" w:eastAsia="宋体-简" w:hAnsi="宋体-简" w:cs="微软雅黑" w:hint="eastAsia"/>
                <w:b/>
                <w:bCs/>
                <w:color w:val="FF0000"/>
                <w:szCs w:val="21"/>
              </w:rPr>
              <w:t>教学设计/课堂管理</w:t>
            </w:r>
          </w:p>
        </w:tc>
        <w:tc>
          <w:tcPr>
            <w:tcW w:w="2613" w:type="dxa"/>
          </w:tcPr>
          <w:p w:rsidR="000C2F9A" w:rsidRPr="00A10113" w:rsidRDefault="00F211B6" w:rsidP="000C2F9A">
            <w:pPr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+</w:t>
            </w:r>
            <w:r w:rsidR="006625B1"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小组报告</w:t>
            </w:r>
          </w:p>
        </w:tc>
      </w:tr>
      <w:tr w:rsidR="000C2F9A" w:rsidTr="002C1D95">
        <w:trPr>
          <w:trHeight w:val="615"/>
        </w:trPr>
        <w:tc>
          <w:tcPr>
            <w:tcW w:w="562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14</w:t>
            </w:r>
          </w:p>
        </w:tc>
        <w:tc>
          <w:tcPr>
            <w:tcW w:w="709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5.21</w:t>
            </w:r>
          </w:p>
        </w:tc>
        <w:tc>
          <w:tcPr>
            <w:tcW w:w="4253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056E0C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教学测评</w:t>
            </w:r>
          </w:p>
        </w:tc>
        <w:tc>
          <w:tcPr>
            <w:tcW w:w="2613" w:type="dxa"/>
          </w:tcPr>
          <w:p w:rsidR="000C2F9A" w:rsidRPr="00A10113" w:rsidRDefault="002E1776" w:rsidP="002E1776">
            <w:pPr>
              <w:adjustRightInd w:val="0"/>
              <w:snapToGrid w:val="0"/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</w:pP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教育监测讲座（时间机动</w:t>
            </w:r>
            <w:r w:rsidR="00804420"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：暂定3月26日，日程按照实际安排调整</w:t>
            </w: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）</w:t>
            </w:r>
          </w:p>
        </w:tc>
      </w:tr>
      <w:tr w:rsidR="000C2F9A" w:rsidTr="002C1D95">
        <w:tc>
          <w:tcPr>
            <w:tcW w:w="562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15</w:t>
            </w:r>
          </w:p>
        </w:tc>
        <w:tc>
          <w:tcPr>
            <w:tcW w:w="709" w:type="dxa"/>
          </w:tcPr>
          <w:p w:rsidR="000C2F9A" w:rsidRPr="00056E0C" w:rsidRDefault="000C2F9A" w:rsidP="000C2F9A">
            <w:pPr>
              <w:shd w:val="clear" w:color="auto" w:fill="FFFFFF"/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5.28</w:t>
            </w:r>
          </w:p>
        </w:tc>
        <w:tc>
          <w:tcPr>
            <w:tcW w:w="4253" w:type="dxa"/>
          </w:tcPr>
          <w:p w:rsidR="000C2F9A" w:rsidRPr="00056E0C" w:rsidRDefault="0040721A" w:rsidP="000C2F9A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教育环境/</w:t>
            </w:r>
            <w:r w:rsidR="000C2F9A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人工智能</w:t>
            </w:r>
            <w:r w:rsidR="000C2F9A" w:rsidRPr="00056E0C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与教育</w:t>
            </w:r>
          </w:p>
        </w:tc>
        <w:tc>
          <w:tcPr>
            <w:tcW w:w="2613" w:type="dxa"/>
          </w:tcPr>
          <w:p w:rsidR="000C2F9A" w:rsidRPr="00A10113" w:rsidRDefault="002E1776" w:rsidP="002E1776">
            <w:pPr>
              <w:adjustRightInd w:val="0"/>
              <w:snapToGrid w:val="0"/>
              <w:rPr>
                <w:rFonts w:ascii="宋体-简" w:eastAsia="宋体-简" w:hAnsi="宋体-简" w:cs="微软雅黑"/>
                <w:color w:val="333333"/>
                <w:sz w:val="18"/>
                <w:szCs w:val="18"/>
              </w:rPr>
            </w:pP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教育智库讲座</w:t>
            </w:r>
            <w:r w:rsidRPr="00A10113">
              <w:rPr>
                <w:rFonts w:ascii="宋体-简" w:eastAsia="宋体-简" w:hAnsi="宋体-简" w:cs="微软雅黑" w:hint="eastAsia"/>
                <w:color w:val="333333"/>
                <w:sz w:val="18"/>
                <w:szCs w:val="18"/>
              </w:rPr>
              <w:t>（时间机动）</w:t>
            </w:r>
          </w:p>
        </w:tc>
      </w:tr>
      <w:tr w:rsidR="000C2F9A" w:rsidTr="002C1D95">
        <w:tc>
          <w:tcPr>
            <w:tcW w:w="562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16</w:t>
            </w:r>
          </w:p>
        </w:tc>
        <w:tc>
          <w:tcPr>
            <w:tcW w:w="709" w:type="dxa"/>
          </w:tcPr>
          <w:p w:rsidR="000C2F9A" w:rsidRPr="00056E0C" w:rsidRDefault="000C2F9A" w:rsidP="000C2F9A">
            <w:pPr>
              <w:shd w:val="clear" w:color="auto" w:fill="FFFFFF"/>
              <w:adjustRightInd w:val="0"/>
              <w:snapToGrid w:val="0"/>
              <w:rPr>
                <w:rFonts w:ascii="Times New Roman" w:eastAsia="黑体" w:hAnsi="Times New Roman"/>
                <w:color w:val="333333"/>
                <w:szCs w:val="21"/>
              </w:rPr>
            </w:pPr>
            <w:r w:rsidRPr="00056E0C">
              <w:rPr>
                <w:rFonts w:ascii="Times New Roman" w:eastAsia="黑体" w:hAnsi="Times New Roman"/>
                <w:color w:val="333333"/>
                <w:szCs w:val="21"/>
              </w:rPr>
              <w:t>6.04</w:t>
            </w:r>
          </w:p>
        </w:tc>
        <w:tc>
          <w:tcPr>
            <w:tcW w:w="4253" w:type="dxa"/>
          </w:tcPr>
          <w:p w:rsidR="000C2F9A" w:rsidRPr="00056E0C" w:rsidRDefault="000C2F9A" w:rsidP="000C2F9A">
            <w:pPr>
              <w:adjustRightInd w:val="0"/>
              <w:snapToGrid w:val="0"/>
              <w:rPr>
                <w:rFonts w:ascii="宋体-简" w:eastAsia="宋体-简" w:hAnsi="宋体-简" w:cs="微软雅黑"/>
                <w:b/>
                <w:bCs/>
                <w:color w:val="333333"/>
                <w:szCs w:val="21"/>
              </w:rPr>
            </w:pPr>
            <w:r w:rsidRPr="00056E0C">
              <w:rPr>
                <w:rFonts w:ascii="宋体-简" w:eastAsia="宋体-简" w:hAnsi="宋体-简" w:cs="微软雅黑" w:hint="eastAsia"/>
                <w:b/>
                <w:bCs/>
                <w:color w:val="333333"/>
                <w:szCs w:val="21"/>
              </w:rPr>
              <w:t>考试</w:t>
            </w:r>
          </w:p>
        </w:tc>
        <w:tc>
          <w:tcPr>
            <w:tcW w:w="2613" w:type="dxa"/>
          </w:tcPr>
          <w:p w:rsidR="000C2F9A" w:rsidRDefault="000C2F9A" w:rsidP="000C2F9A">
            <w:pPr>
              <w:rPr>
                <w:rFonts w:ascii="黑体" w:eastAsia="黑体" w:hAnsi="黑体" w:cs="微软雅黑"/>
                <w:b/>
                <w:bCs/>
                <w:color w:val="333333"/>
                <w:szCs w:val="21"/>
              </w:rPr>
            </w:pPr>
          </w:p>
        </w:tc>
      </w:tr>
    </w:tbl>
    <w:p w:rsidR="0081214C" w:rsidRPr="001F1668" w:rsidRDefault="0081214C" w:rsidP="001F1668">
      <w:pPr>
        <w:shd w:val="clear" w:color="auto" w:fill="FFFFFF"/>
        <w:rPr>
          <w:rFonts w:ascii="黑体" w:eastAsia="黑体" w:hAnsi="黑体" w:cs="微软雅黑"/>
          <w:b/>
          <w:bCs/>
          <w:color w:val="333333"/>
          <w:szCs w:val="21"/>
        </w:rPr>
      </w:pPr>
    </w:p>
    <w:sectPr w:rsidR="0081214C" w:rsidRPr="001F1668" w:rsidSect="007A2C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-简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C≥ò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68"/>
    <w:rsid w:val="000170A4"/>
    <w:rsid w:val="0002009C"/>
    <w:rsid w:val="0003233C"/>
    <w:rsid w:val="00054FC1"/>
    <w:rsid w:val="00056E0C"/>
    <w:rsid w:val="000B1D41"/>
    <w:rsid w:val="000C0369"/>
    <w:rsid w:val="000C2F9A"/>
    <w:rsid w:val="000D21AB"/>
    <w:rsid w:val="000E1F85"/>
    <w:rsid w:val="000E43DC"/>
    <w:rsid w:val="000F0883"/>
    <w:rsid w:val="000F3555"/>
    <w:rsid w:val="001143D8"/>
    <w:rsid w:val="00117C32"/>
    <w:rsid w:val="00141B0A"/>
    <w:rsid w:val="0014576E"/>
    <w:rsid w:val="00154623"/>
    <w:rsid w:val="00162459"/>
    <w:rsid w:val="0016539F"/>
    <w:rsid w:val="00170EED"/>
    <w:rsid w:val="00174BB3"/>
    <w:rsid w:val="00176AB3"/>
    <w:rsid w:val="00185F8C"/>
    <w:rsid w:val="001A4366"/>
    <w:rsid w:val="001A6E27"/>
    <w:rsid w:val="001C0818"/>
    <w:rsid w:val="001C2E85"/>
    <w:rsid w:val="001C7A72"/>
    <w:rsid w:val="001F1668"/>
    <w:rsid w:val="00201357"/>
    <w:rsid w:val="00203838"/>
    <w:rsid w:val="00217593"/>
    <w:rsid w:val="002209FA"/>
    <w:rsid w:val="00221016"/>
    <w:rsid w:val="0022238B"/>
    <w:rsid w:val="00230641"/>
    <w:rsid w:val="00232A75"/>
    <w:rsid w:val="00287586"/>
    <w:rsid w:val="002A6058"/>
    <w:rsid w:val="002C1D95"/>
    <w:rsid w:val="002C6B44"/>
    <w:rsid w:val="002D6F1C"/>
    <w:rsid w:val="002E1776"/>
    <w:rsid w:val="00325ADB"/>
    <w:rsid w:val="00352EA6"/>
    <w:rsid w:val="00380DB5"/>
    <w:rsid w:val="00381688"/>
    <w:rsid w:val="00383F32"/>
    <w:rsid w:val="003B70CD"/>
    <w:rsid w:val="003D03C1"/>
    <w:rsid w:val="003E0822"/>
    <w:rsid w:val="003E571D"/>
    <w:rsid w:val="003F3065"/>
    <w:rsid w:val="003F786A"/>
    <w:rsid w:val="0040721A"/>
    <w:rsid w:val="004166FE"/>
    <w:rsid w:val="00421AB7"/>
    <w:rsid w:val="00453AB3"/>
    <w:rsid w:val="00470060"/>
    <w:rsid w:val="004826E7"/>
    <w:rsid w:val="00495141"/>
    <w:rsid w:val="004A2B41"/>
    <w:rsid w:val="004B4A0E"/>
    <w:rsid w:val="004E317E"/>
    <w:rsid w:val="004F6B4A"/>
    <w:rsid w:val="004F7B3F"/>
    <w:rsid w:val="00512562"/>
    <w:rsid w:val="00520530"/>
    <w:rsid w:val="00544F65"/>
    <w:rsid w:val="005451D3"/>
    <w:rsid w:val="005471B5"/>
    <w:rsid w:val="00550499"/>
    <w:rsid w:val="0059768A"/>
    <w:rsid w:val="005A6189"/>
    <w:rsid w:val="005B0F09"/>
    <w:rsid w:val="005E7A61"/>
    <w:rsid w:val="005F2678"/>
    <w:rsid w:val="00620650"/>
    <w:rsid w:val="006625B1"/>
    <w:rsid w:val="00671A10"/>
    <w:rsid w:val="00685F04"/>
    <w:rsid w:val="006D731B"/>
    <w:rsid w:val="006F3C47"/>
    <w:rsid w:val="006F52CC"/>
    <w:rsid w:val="00710A22"/>
    <w:rsid w:val="00767E8E"/>
    <w:rsid w:val="00780652"/>
    <w:rsid w:val="007829B5"/>
    <w:rsid w:val="0079594F"/>
    <w:rsid w:val="007A2CC3"/>
    <w:rsid w:val="007C72CD"/>
    <w:rsid w:val="007D5D16"/>
    <w:rsid w:val="00804420"/>
    <w:rsid w:val="008106AE"/>
    <w:rsid w:val="0081214C"/>
    <w:rsid w:val="00813195"/>
    <w:rsid w:val="00821828"/>
    <w:rsid w:val="0082573E"/>
    <w:rsid w:val="00833C58"/>
    <w:rsid w:val="00862C5C"/>
    <w:rsid w:val="008A03C5"/>
    <w:rsid w:val="008B1112"/>
    <w:rsid w:val="008B1363"/>
    <w:rsid w:val="008B2AAF"/>
    <w:rsid w:val="008B56FF"/>
    <w:rsid w:val="008C6452"/>
    <w:rsid w:val="008D32F6"/>
    <w:rsid w:val="0090541B"/>
    <w:rsid w:val="00925F01"/>
    <w:rsid w:val="00932673"/>
    <w:rsid w:val="00934DBC"/>
    <w:rsid w:val="00946272"/>
    <w:rsid w:val="00946476"/>
    <w:rsid w:val="00956699"/>
    <w:rsid w:val="00957D62"/>
    <w:rsid w:val="009838B2"/>
    <w:rsid w:val="00983E57"/>
    <w:rsid w:val="00991981"/>
    <w:rsid w:val="00994D2B"/>
    <w:rsid w:val="009B0155"/>
    <w:rsid w:val="009B5F99"/>
    <w:rsid w:val="009C5C08"/>
    <w:rsid w:val="009C7D78"/>
    <w:rsid w:val="009E3E30"/>
    <w:rsid w:val="009F055B"/>
    <w:rsid w:val="009F2965"/>
    <w:rsid w:val="009F60A1"/>
    <w:rsid w:val="00A02A79"/>
    <w:rsid w:val="00A10113"/>
    <w:rsid w:val="00A51BAF"/>
    <w:rsid w:val="00A549F9"/>
    <w:rsid w:val="00A8324D"/>
    <w:rsid w:val="00A943E2"/>
    <w:rsid w:val="00AC61B2"/>
    <w:rsid w:val="00AE1539"/>
    <w:rsid w:val="00AF086F"/>
    <w:rsid w:val="00B155B3"/>
    <w:rsid w:val="00B15E3C"/>
    <w:rsid w:val="00B213AF"/>
    <w:rsid w:val="00B35F71"/>
    <w:rsid w:val="00B627AB"/>
    <w:rsid w:val="00B6771A"/>
    <w:rsid w:val="00B702A3"/>
    <w:rsid w:val="00B97E9A"/>
    <w:rsid w:val="00BB3DAE"/>
    <w:rsid w:val="00BC2799"/>
    <w:rsid w:val="00BC2FE2"/>
    <w:rsid w:val="00BD43AD"/>
    <w:rsid w:val="00BF4961"/>
    <w:rsid w:val="00C05D94"/>
    <w:rsid w:val="00C0622D"/>
    <w:rsid w:val="00C41DFC"/>
    <w:rsid w:val="00C53EB2"/>
    <w:rsid w:val="00C77316"/>
    <w:rsid w:val="00C83B44"/>
    <w:rsid w:val="00C85E9E"/>
    <w:rsid w:val="00C95D14"/>
    <w:rsid w:val="00C97C71"/>
    <w:rsid w:val="00CA37A5"/>
    <w:rsid w:val="00CB151C"/>
    <w:rsid w:val="00CD266B"/>
    <w:rsid w:val="00CD2F01"/>
    <w:rsid w:val="00D12288"/>
    <w:rsid w:val="00D22A90"/>
    <w:rsid w:val="00D34824"/>
    <w:rsid w:val="00D85785"/>
    <w:rsid w:val="00D90CE0"/>
    <w:rsid w:val="00DB36D8"/>
    <w:rsid w:val="00DB3A62"/>
    <w:rsid w:val="00DC6FEA"/>
    <w:rsid w:val="00DF33CB"/>
    <w:rsid w:val="00E33014"/>
    <w:rsid w:val="00E37B4B"/>
    <w:rsid w:val="00E54F03"/>
    <w:rsid w:val="00E56566"/>
    <w:rsid w:val="00E8050A"/>
    <w:rsid w:val="00EA7693"/>
    <w:rsid w:val="00EB6908"/>
    <w:rsid w:val="00EC2D10"/>
    <w:rsid w:val="00EC2E82"/>
    <w:rsid w:val="00ED24C3"/>
    <w:rsid w:val="00ED292A"/>
    <w:rsid w:val="00EF598F"/>
    <w:rsid w:val="00F04C26"/>
    <w:rsid w:val="00F06AD1"/>
    <w:rsid w:val="00F12EDE"/>
    <w:rsid w:val="00F211B6"/>
    <w:rsid w:val="00F305B6"/>
    <w:rsid w:val="00F410B3"/>
    <w:rsid w:val="00F42C0B"/>
    <w:rsid w:val="00F4488C"/>
    <w:rsid w:val="00F5159E"/>
    <w:rsid w:val="00F815F3"/>
    <w:rsid w:val="00F851FA"/>
    <w:rsid w:val="00F86C89"/>
    <w:rsid w:val="00F95394"/>
    <w:rsid w:val="00FA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6603"/>
  <w15:chartTrackingRefBased/>
  <w15:docId w15:val="{FD32A3C4-ED74-DF46-9038-BF7C0736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B4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1F1668"/>
    <w:pPr>
      <w:keepNext/>
      <w:keepLines/>
      <w:widowControl w:val="0"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1668"/>
    <w:pPr>
      <w:keepNext/>
      <w:keepLines/>
      <w:widowControl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668"/>
    <w:pPr>
      <w:keepNext/>
      <w:keepLines/>
      <w:widowControl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668"/>
    <w:pPr>
      <w:keepNext/>
      <w:keepLines/>
      <w:widowControl w:val="0"/>
      <w:spacing w:before="80" w:after="40"/>
      <w:jc w:val="both"/>
      <w:outlineLvl w:val="3"/>
    </w:pPr>
    <w:rPr>
      <w:rFonts w:asciiTheme="minorHAnsi" w:eastAsiaTheme="min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668"/>
    <w:pPr>
      <w:keepNext/>
      <w:keepLines/>
      <w:widowControl w:val="0"/>
      <w:spacing w:before="80" w:after="40"/>
      <w:jc w:val="both"/>
      <w:outlineLvl w:val="4"/>
    </w:pPr>
    <w:rPr>
      <w:rFonts w:asciiTheme="minorHAnsi" w:eastAsiaTheme="minorEastAsia" w:hAnsiTheme="minorHAnsi" w:cstheme="majorBidi"/>
      <w:color w:val="0F4761" w:themeColor="accent1" w:themeShade="BF"/>
      <w:kern w:val="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1668"/>
    <w:pPr>
      <w:keepNext/>
      <w:keepLines/>
      <w:widowControl w:val="0"/>
      <w:spacing w:before="40"/>
      <w:jc w:val="both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kern w:val="2"/>
      <w:sz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1668"/>
    <w:pPr>
      <w:keepNext/>
      <w:keepLines/>
      <w:widowControl w:val="0"/>
      <w:spacing w:before="40"/>
      <w:jc w:val="both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kern w:val="2"/>
      <w:sz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1668"/>
    <w:pPr>
      <w:keepNext/>
      <w:keepLines/>
      <w:widowControl w:val="0"/>
      <w:jc w:val="both"/>
      <w:outlineLvl w:val="7"/>
    </w:pPr>
    <w:rPr>
      <w:rFonts w:asciiTheme="minorHAnsi" w:eastAsiaTheme="minorEastAsia" w:hAnsiTheme="minorHAnsi" w:cstheme="majorBidi"/>
      <w:color w:val="595959" w:themeColor="text1" w:themeTint="A6"/>
      <w:kern w:val="2"/>
      <w:sz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1668"/>
    <w:pPr>
      <w:keepNext/>
      <w:keepLines/>
      <w:widowControl w:val="0"/>
      <w:jc w:val="both"/>
      <w:outlineLvl w:val="8"/>
    </w:pPr>
    <w:rPr>
      <w:rFonts w:asciiTheme="minorHAnsi" w:eastAsiaTheme="majorEastAsia" w:hAnsiTheme="minorHAnsi" w:cstheme="majorBidi"/>
      <w:color w:val="595959" w:themeColor="text1" w:themeTint="A6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166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1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1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166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166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166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16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16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16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1668"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1668"/>
    <w:pPr>
      <w:widowControl w:val="0"/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16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1668"/>
    <w:pPr>
      <w:widowControl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</w:rPr>
  </w:style>
  <w:style w:type="character" w:customStyle="1" w:styleId="a8">
    <w:name w:val="引用 字符"/>
    <w:basedOn w:val="a0"/>
    <w:link w:val="a7"/>
    <w:uiPriority w:val="29"/>
    <w:rsid w:val="001F16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1668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a">
    <w:name w:val="Intense Emphasis"/>
    <w:basedOn w:val="a0"/>
    <w:uiPriority w:val="21"/>
    <w:qFormat/>
    <w:rsid w:val="001F16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1668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1"/>
    </w:rPr>
  </w:style>
  <w:style w:type="character" w:customStyle="1" w:styleId="ac">
    <w:name w:val="明显引用 字符"/>
    <w:basedOn w:val="a0"/>
    <w:link w:val="ab"/>
    <w:uiPriority w:val="30"/>
    <w:rsid w:val="001F16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F166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rsid w:val="001F1668"/>
    <w:pPr>
      <w:widowControl w:val="0"/>
      <w:spacing w:before="100" w:beforeAutospacing="1" w:after="100" w:afterAutospacing="1"/>
    </w:pPr>
    <w:rPr>
      <w:rFonts w:ascii="Calibri" w:hAnsi="Calibri" w:cs="Times New Roman"/>
    </w:rPr>
  </w:style>
  <w:style w:type="table" w:styleId="af">
    <w:name w:val="Table Grid"/>
    <w:basedOn w:val="a1"/>
    <w:uiPriority w:val="39"/>
    <w:rsid w:val="00812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rsid w:val="00B97E9A"/>
    <w:rPr>
      <w:color w:val="0000FF"/>
      <w:u w:val="single"/>
    </w:rPr>
  </w:style>
  <w:style w:type="character" w:styleId="af1">
    <w:name w:val="Unresolved Mention"/>
    <w:basedOn w:val="a0"/>
    <w:uiPriority w:val="99"/>
    <w:semiHidden/>
    <w:unhideWhenUsed/>
    <w:rsid w:val="00D22A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wang@pk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39</cp:revision>
  <dcterms:created xsi:type="dcterms:W3CDTF">2025-01-27T06:33:00Z</dcterms:created>
  <dcterms:modified xsi:type="dcterms:W3CDTF">2025-02-19T08:05:00Z</dcterms:modified>
</cp:coreProperties>
</file>