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3E197" w14:textId="77777777" w:rsidR="004F1012" w:rsidRDefault="002C3C51">
      <w:pPr>
        <w:spacing w:after="100"/>
        <w:jc w:val="center"/>
      </w:pPr>
      <w:r>
        <w:rPr>
          <w:color w:val="666666"/>
          <w:sz w:val="28"/>
          <w:szCs w:val="28"/>
        </w:rPr>
        <w:t>Chapter 2</w:t>
      </w:r>
    </w:p>
    <w:p w14:paraId="3D823E37" w14:textId="77777777" w:rsidR="004F1012" w:rsidRDefault="002C3C51">
      <w:pPr>
        <w:spacing w:after="200"/>
        <w:jc w:val="center"/>
      </w:pPr>
      <w:r>
        <w:rPr>
          <w:b/>
          <w:bCs/>
          <w:color w:val="1A365D"/>
          <w:sz w:val="48"/>
          <w:szCs w:val="48"/>
        </w:rPr>
        <w:t>The Complexity Tax</w:t>
      </w:r>
    </w:p>
    <w:p w14:paraId="48998E16" w14:textId="77777777" w:rsidR="004F1012" w:rsidRDefault="002C3C51">
      <w:pPr>
        <w:spacing w:after="400"/>
        <w:jc w:val="center"/>
      </w:pPr>
      <w:r>
        <w:rPr>
          <w:i/>
          <w:iCs/>
          <w:color w:val="666666"/>
        </w:rPr>
        <w:t>Quantifying the Hidden Costs of Language, Structure, and Standards Deviation</w:t>
      </w:r>
    </w:p>
    <w:p w14:paraId="45ECAE1F" w14:textId="77777777" w:rsidR="004F1012" w:rsidRDefault="002C3C51">
      <w:pPr>
        <w:pStyle w:val="Heading1"/>
      </w:pPr>
      <w:r>
        <w:t>The Invisible Burden</w:t>
      </w:r>
    </w:p>
    <w:p w14:paraId="23E0A3B8" w14:textId="77777777" w:rsidR="004F1012" w:rsidRDefault="002C3C51">
      <w:pPr>
        <w:spacing w:after="200"/>
      </w:pPr>
      <w:r>
        <w:t>Every commercial agreement carries costs that never appear on any balance sheet. Beyond the explicit fees and the probabilistic risk exposures lies a third category of expense that organizations systematically underestimate: the administrative burden imposed by contract structure, drafting quality, and deviation from market standards. This hidden cost—what we term the complexity tax—can rival or exceed the nominal value of the agreement itself.</w:t>
      </w:r>
    </w:p>
    <w:p w14:paraId="7BF5961E" w14:textId="77777777" w:rsidR="004F1012" w:rsidRDefault="002C3C51">
      <w:pPr>
        <w:spacing w:after="200"/>
      </w:pPr>
      <w:r>
        <w:t xml:space="preserve">Consider what happens when a business unit manager needs to determine whether </w:t>
      </w:r>
      <w:proofErr w:type="gramStart"/>
      <w:r>
        <w:t>a proposed</w:t>
      </w:r>
      <w:proofErr w:type="gramEnd"/>
      <w:r>
        <w:t xml:space="preserve"> use of licensed software falls within permitted terms. If the agreement is written at graduate-level reading difficulty, peppered with undefined terms like "reasonable" and "material," structured in dense paragraphs without clear navigation, and references fourteen nested documents that must be tracked down and assembled, that simple question triggers a cascade of organizational activity. The manager escalates </w:t>
      </w:r>
      <w:proofErr w:type="gramStart"/>
      <w:r>
        <w:t>to</w:t>
      </w:r>
      <w:proofErr w:type="gramEnd"/>
      <w:r>
        <w:t xml:space="preserve"> legal. Legal reviews the agreement—again—because no one can remember what the last review concluded. Procurement weighs in on the commercial implications. Eventually, after fifteen to twenty hours of cross-functional time, someone renders an opinion that may or may not be correct.</w:t>
      </w:r>
    </w:p>
    <w:p w14:paraId="178CF9A8" w14:textId="77777777" w:rsidR="004F1012" w:rsidRDefault="002C3C51">
      <w:pPr>
        <w:spacing w:after="200"/>
      </w:pPr>
      <w:r>
        <w:t>This scenario repeats dozens of times per year for a typical enterprise software agreement. Yet because these costs are dispersed across departments and buried in general operating expenses, organizations rarely recognize them as contract costs. They are, in the language of transaction cost economics, the hidden friction that makes commercial relationships less efficient than they should be.</w:t>
      </w:r>
    </w:p>
    <w:p w14:paraId="16526625" w14:textId="77777777" w:rsidR="004F1012" w:rsidRDefault="002C3C51" w:rsidP="00362CCC">
      <w:pPr>
        <w:pStyle w:val="Heading1"/>
        <w:numPr>
          <w:ilvl w:val="0"/>
          <w:numId w:val="6"/>
        </w:numPr>
      </w:pPr>
      <w:r>
        <w:t>The Three Pillars of Complexity Cost</w:t>
      </w:r>
    </w:p>
    <w:p w14:paraId="7225512F" w14:textId="77777777" w:rsidR="004F1012" w:rsidRDefault="002C3C51">
      <w:pPr>
        <w:spacing w:after="200"/>
      </w:pPr>
      <w:r>
        <w:t xml:space="preserve">The </w:t>
      </w:r>
      <w:proofErr w:type="gramStart"/>
      <w:r>
        <w:t>complexity tax</w:t>
      </w:r>
      <w:proofErr w:type="gramEnd"/>
      <w:r>
        <w:t xml:space="preserve"> manifests through three distinct pillars, each generating measurable costs. Understanding all three is essential because they interact in non-obvious ways—and because one of the most common intuitions about contract costs turns out to be empirically wrong.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3394"/>
        <w:gridCol w:w="2737"/>
      </w:tblGrid>
      <w:tr w:rsidR="009626BA" w14:paraId="55B1057A" w14:textId="77777777">
        <w:trPr>
          <w:tblHeader/>
        </w:trPr>
        <w:tc>
          <w:tcPr>
            <w:tcW w:w="3000" w:type="dxa"/>
            <w:shd w:val="clear" w:color="auto" w:fill="D5E8F0"/>
          </w:tcPr>
          <w:p w14:paraId="1CA87DAD" w14:textId="77777777" w:rsidR="004F1012" w:rsidRDefault="002C3C51">
            <w:pPr>
              <w:jc w:val="center"/>
            </w:pPr>
            <w:r>
              <w:rPr>
                <w:b/>
                <w:bCs/>
                <w:szCs w:val="22"/>
              </w:rPr>
              <w:lastRenderedPageBreak/>
              <w:t>Pillar</w:t>
            </w:r>
          </w:p>
        </w:tc>
        <w:tc>
          <w:tcPr>
            <w:tcW w:w="3500" w:type="dxa"/>
            <w:shd w:val="clear" w:color="auto" w:fill="D5E8F0"/>
          </w:tcPr>
          <w:p w14:paraId="06EA043B" w14:textId="77777777" w:rsidR="004F1012" w:rsidRDefault="002C3C51">
            <w:pPr>
              <w:jc w:val="center"/>
            </w:pPr>
            <w:r>
              <w:rPr>
                <w:b/>
                <w:bCs/>
                <w:szCs w:val="22"/>
              </w:rPr>
              <w:t>Primary Driver</w:t>
            </w:r>
          </w:p>
        </w:tc>
        <w:tc>
          <w:tcPr>
            <w:tcW w:w="2860" w:type="dxa"/>
            <w:shd w:val="clear" w:color="auto" w:fill="D5E8F0"/>
          </w:tcPr>
          <w:p w14:paraId="5AB10F9E" w14:textId="77777777" w:rsidR="004F1012" w:rsidRDefault="002C3C51">
            <w:pPr>
              <w:jc w:val="center"/>
            </w:pPr>
            <w:r>
              <w:rPr>
                <w:b/>
                <w:bCs/>
                <w:szCs w:val="22"/>
              </w:rPr>
              <w:t>Cost Impact (3-Year)</w:t>
            </w:r>
          </w:p>
        </w:tc>
      </w:tr>
      <w:tr w:rsidR="009626BA" w14:paraId="4ADD6DDA" w14:textId="77777777">
        <w:tc>
          <w:tcPr>
            <w:tcW w:w="3000" w:type="dxa"/>
          </w:tcPr>
          <w:p w14:paraId="032BF470" w14:textId="77777777" w:rsidR="004F1012" w:rsidRDefault="002C3C51">
            <w:r>
              <w:rPr>
                <w:b/>
                <w:bCs/>
                <w:szCs w:val="22"/>
              </w:rPr>
              <w:t>A. Language Complexity</w:t>
            </w:r>
          </w:p>
        </w:tc>
        <w:tc>
          <w:tcPr>
            <w:tcW w:w="3500" w:type="dxa"/>
          </w:tcPr>
          <w:p w14:paraId="484D1B5E" w14:textId="77777777" w:rsidR="004F1012" w:rsidRDefault="002C3C51">
            <w:r>
              <w:rPr>
                <w:szCs w:val="22"/>
              </w:rPr>
              <w:t>Readability, sentence structure, passive voice</w:t>
            </w:r>
          </w:p>
        </w:tc>
        <w:tc>
          <w:tcPr>
            <w:tcW w:w="2860" w:type="dxa"/>
          </w:tcPr>
          <w:p w14:paraId="511FC535" w14:textId="77777777" w:rsidR="004F1012" w:rsidRDefault="002C3C51">
            <w:pPr>
              <w:jc w:val="center"/>
            </w:pPr>
            <w:r>
              <w:rPr>
                <w:szCs w:val="22"/>
              </w:rPr>
              <w:t>$40,000 - $120,000</w:t>
            </w:r>
          </w:p>
        </w:tc>
      </w:tr>
      <w:tr w:rsidR="009626BA" w14:paraId="410188BE" w14:textId="77777777">
        <w:tc>
          <w:tcPr>
            <w:tcW w:w="3000" w:type="dxa"/>
          </w:tcPr>
          <w:p w14:paraId="2BCC17BE" w14:textId="77777777" w:rsidR="004F1012" w:rsidRDefault="002C3C51">
            <w:r>
              <w:rPr>
                <w:b/>
                <w:bCs/>
                <w:szCs w:val="22"/>
              </w:rPr>
              <w:t>B. Structural Complexity</w:t>
            </w:r>
          </w:p>
        </w:tc>
        <w:tc>
          <w:tcPr>
            <w:tcW w:w="3500" w:type="dxa"/>
          </w:tcPr>
          <w:p w14:paraId="4FB79BCE" w14:textId="77777777" w:rsidR="004F1012" w:rsidRDefault="002C3C51">
            <w:r>
              <w:rPr>
                <w:szCs w:val="22"/>
              </w:rPr>
              <w:t>Nested documents, cross-references, defined terms</w:t>
            </w:r>
          </w:p>
        </w:tc>
        <w:tc>
          <w:tcPr>
            <w:tcW w:w="2860" w:type="dxa"/>
          </w:tcPr>
          <w:p w14:paraId="51E10820" w14:textId="77777777" w:rsidR="004F1012" w:rsidRDefault="002C3C51">
            <w:pPr>
              <w:jc w:val="center"/>
            </w:pPr>
            <w:r>
              <w:rPr>
                <w:szCs w:val="22"/>
              </w:rPr>
              <w:t>$20,000 - $85,000</w:t>
            </w:r>
          </w:p>
        </w:tc>
      </w:tr>
      <w:tr w:rsidR="009626BA" w14:paraId="43546D58" w14:textId="77777777">
        <w:tc>
          <w:tcPr>
            <w:tcW w:w="3000" w:type="dxa"/>
          </w:tcPr>
          <w:p w14:paraId="72E7C80C" w14:textId="77777777" w:rsidR="004F1012" w:rsidRDefault="002C3C51">
            <w:r>
              <w:rPr>
                <w:b/>
                <w:bCs/>
                <w:szCs w:val="22"/>
              </w:rPr>
              <w:t>C. Standards Deviation</w:t>
            </w:r>
          </w:p>
        </w:tc>
        <w:tc>
          <w:tcPr>
            <w:tcW w:w="3500" w:type="dxa"/>
          </w:tcPr>
          <w:p w14:paraId="40F26B32" w14:textId="77777777" w:rsidR="004F1012" w:rsidRDefault="002C3C51">
            <w:proofErr w:type="spellStart"/>
            <w:r>
              <w:rPr>
                <w:szCs w:val="22"/>
              </w:rPr>
              <w:t>WorldCC</w:t>
            </w:r>
            <w:proofErr w:type="spellEnd"/>
            <w:r>
              <w:rPr>
                <w:szCs w:val="22"/>
              </w:rPr>
              <w:t xml:space="preserve"> principles, </w:t>
            </w:r>
            <w:proofErr w:type="spellStart"/>
            <w:r>
              <w:rPr>
                <w:szCs w:val="22"/>
              </w:rPr>
              <w:t>ContractStandards</w:t>
            </w:r>
            <w:proofErr w:type="spellEnd"/>
            <w:r>
              <w:rPr>
                <w:szCs w:val="22"/>
              </w:rPr>
              <w:t xml:space="preserve"> drafting</w:t>
            </w:r>
          </w:p>
        </w:tc>
        <w:tc>
          <w:tcPr>
            <w:tcW w:w="2860" w:type="dxa"/>
          </w:tcPr>
          <w:p w14:paraId="2F073A4D" w14:textId="77777777" w:rsidR="004F1012" w:rsidRDefault="002C3C51">
            <w:pPr>
              <w:jc w:val="center"/>
            </w:pPr>
            <w:r>
              <w:rPr>
                <w:szCs w:val="22"/>
              </w:rPr>
              <w:t>$30,000 - $70,000</w:t>
            </w:r>
          </w:p>
        </w:tc>
      </w:tr>
    </w:tbl>
    <w:p w14:paraId="18F3ACDA" w14:textId="77777777" w:rsidR="004F1012" w:rsidRDefault="002C3C51">
      <w:pPr>
        <w:spacing w:after="200"/>
      </w:pPr>
      <w:r>
        <w:rPr>
          <w:i/>
          <w:iCs/>
        </w:rPr>
        <w:t>Table 2.1: The Three Pillars of Complexity Cost</w:t>
      </w:r>
    </w:p>
    <w:p w14:paraId="573ADF8A" w14:textId="77777777" w:rsidR="004F1012" w:rsidRDefault="002C3C51">
      <w:pPr>
        <w:pStyle w:val="Heading2"/>
      </w:pPr>
      <w:r>
        <w:t>Quantifying the Invisible</w:t>
      </w:r>
    </w:p>
    <w:p w14:paraId="089EA1C1" w14:textId="613ACA07" w:rsidR="004F1012" w:rsidRDefault="002C3C51">
      <w:pPr>
        <w:spacing w:after="200"/>
      </w:pPr>
      <w:r>
        <w:t xml:space="preserve">The complexity tax is not theoretical speculation. Research from </w:t>
      </w:r>
      <w:proofErr w:type="spellStart"/>
      <w:r>
        <w:t>WorldCC</w:t>
      </w:r>
      <w:proofErr w:type="spellEnd"/>
      <w:r>
        <w:t xml:space="preserve"> and Deloitte, analyzing contracting practices across more than 1,200 organizations, found that poor contract management erodes an average of 8.6% of contract value.</w:t>
      </w:r>
      <w:r>
        <w:rPr>
          <w:rStyle w:val="FootnoteReference"/>
        </w:rPr>
        <w:footnoteReference w:id="1"/>
      </w:r>
      <w:r w:rsidR="008A6160">
        <w:t xml:space="preserve"> </w:t>
      </w:r>
      <w:r>
        <w:t xml:space="preserve">The best performers operate at approximately 3% value erosion while the worst </w:t>
      </w:r>
      <w:proofErr w:type="gramStart"/>
      <w:r>
        <w:t>exceed</w:t>
      </w:r>
      <w:proofErr w:type="gramEnd"/>
      <w:r>
        <w:t xml:space="preserve"> 20%. Translating these percentages into dollar terms through</w:t>
      </w:r>
      <w:r w:rsidR="00E9233E">
        <w:t xml:space="preserve"> </w:t>
      </w:r>
      <w:proofErr w:type="spellStart"/>
      <w:r w:rsidR="00E944B8">
        <w:t>xIQ</w:t>
      </w:r>
      <w:proofErr w:type="spellEnd"/>
      <w:r w:rsidR="00E944B8">
        <w:t xml:space="preserve"> </w:t>
      </w:r>
      <w:r>
        <w:t>analysis of enterprise software agreements reveals complexity taxes ranging from $90,000 to $275,000 over a typical three-year term for enterprise software agreements—costs that never appear on balance sheets but consume real organizational resources.</w:t>
      </w:r>
    </w:p>
    <w:p w14:paraId="48B01CD0" w14:textId="77777777" w:rsidR="004F1012" w:rsidRDefault="002C3C51">
      <w:pPr>
        <w:spacing w:after="200"/>
      </w:pPr>
      <w:r>
        <w:t>The academic literature on transaction cost economics, pioneered by Ronald Coase and extended by Oliver Williamson,</w:t>
      </w:r>
      <w:r>
        <w:rPr>
          <w:rStyle w:val="FootnoteReference"/>
        </w:rPr>
        <w:footnoteReference w:id="2"/>
      </w:r>
      <w:r>
        <w:t>provides the theoretical foundation for understanding why these costs arise. Williamson's insight—that bounded rationality and opportunism create friction in economic exchange—applies withparticular force to complex commercial agreements. When contracts are difficult to interpret, parties cannot efficiently coordinate their behavior, and the resulting uncertainty generates ongoing costs throughout the relationship.</w:t>
      </w:r>
    </w:p>
    <w:p w14:paraId="274E3E24" w14:textId="77777777" w:rsidR="004F1012" w:rsidRDefault="002C3C51" w:rsidP="00A44D7D">
      <w:pPr>
        <w:spacing w:after="200"/>
      </w:pPr>
      <w:r>
        <w:lastRenderedPageBreak/>
        <w:t>What Williamson and the transaction cost economists did not fully anticipate was the sheer magnitude of these costs in modern commercial contracting. Legal Evolution estimates global contract-related value leakage representing a significant percentage of total commercial contract value annually.</w:t>
      </w:r>
      <w:r>
        <w:rPr>
          <w:rStyle w:val="FootnoteReference"/>
        </w:rPr>
        <w:footnoteReference w:id="3"/>
      </w:r>
      <w:r>
        <w:t>As contracts have grown longer and morecomplex—driven partly by regulatory requirements and partly by legal risk aversion—the complexity tax has grown proportionally.</w:t>
      </w:r>
    </w:p>
    <w:p w14:paraId="7FB2B81A" w14:textId="77777777" w:rsidR="002C3C51" w:rsidRDefault="002C3C51">
      <w:pPr>
        <w:pStyle w:val="Heading1"/>
      </w:pPr>
      <w:r>
        <w:t>Calculating Complexity Cost: An Activity-Based Model</w:t>
      </w:r>
    </w:p>
    <w:p w14:paraId="064DB329" w14:textId="77777777" w:rsidR="002C3C51" w:rsidRDefault="002C3C51">
      <w:pPr>
        <w:spacing w:after="200"/>
      </w:pPr>
      <w:r>
        <w:t>How should organizations quantify the complexity tax? The intuitive approach—expressing costs as a percentage of contract value—has a fundamental flaw: complexity costs are largely fixed, not proportional. A 50-page agreement written at Flesch-Kincaid Grade 16 requires roughly the same review effort whether the contract is worth $100,000 or $10,000,000. The hours spent parsing dense indemnification language, resolving ambiguous defined terms, and building compliance checklists depend on document characteristics, not deal size.</w:t>
      </w:r>
    </w:p>
    <w:p w14:paraId="6DDEED28" w14:textId="77777777" w:rsidR="002C3C51" w:rsidRDefault="002C3C51">
      <w:pPr>
        <w:spacing w:after="200"/>
      </w:pPr>
      <w:r>
        <w:t>This distinction matters strategically. For high-value contracts, complexity costs may represent a small percentage of deal value—perhaps 2-5%—making simplification seem like a low priority. For smaller contracts with identical complexity, those same absolute costs might represent 30-50% of value, making the agreement economically irrational. Yet the actual burden on the organization is identical in both cases.</w:t>
      </w:r>
    </w:p>
    <w:p w14:paraId="1C3CF964" w14:textId="77777777" w:rsidR="002C3C51" w:rsidRDefault="002C3C51">
      <w:pPr>
        <w:pStyle w:val="Heading2"/>
      </w:pPr>
      <w:r>
        <w:t>The Activity-Based Framework</w:t>
      </w:r>
    </w:p>
    <w:p w14:paraId="6A382D7E" w14:textId="77777777" w:rsidR="002C3C51" w:rsidRDefault="002C3C51">
      <w:pPr>
        <w:spacing w:after="200"/>
      </w:pPr>
      <w:r>
        <w:t>A more accurate model calculates complexity costs from document characteristics and organizational activities, independent of contract value. The framework identifies cost drivers in three categories:</w:t>
      </w:r>
    </w:p>
    <w:p w14:paraId="08363582" w14:textId="77777777" w:rsidR="002C3C51" w:rsidRDefault="002C3C51">
      <w:pPr>
        <w:spacing w:after="200"/>
      </w:pPr>
      <w:r>
        <w:rPr>
          <w:b/>
          <w:bCs/>
        </w:rPr>
        <w:t>Document Characteristics</w:t>
      </w:r>
      <w:r>
        <w:t xml:space="preserve"> drive the base effort required:</w:t>
      </w:r>
    </w:p>
    <w:p w14:paraId="22AF83EF" w14:textId="77777777" w:rsidR="002C3C51" w:rsidRDefault="002C3C51">
      <w:pPr>
        <w:pStyle w:val="ListParagraph"/>
        <w:numPr>
          <w:ilvl w:val="0"/>
          <w:numId w:val="1"/>
        </w:numPr>
        <w:spacing w:after="200"/>
      </w:pPr>
      <w:r>
        <w:t>Total word count (determines base reading time)</w:t>
      </w:r>
    </w:p>
    <w:p w14:paraId="42653B25" w14:textId="77777777" w:rsidR="002C3C51" w:rsidRDefault="002C3C51">
      <w:pPr>
        <w:pStyle w:val="ListParagraph"/>
        <w:numPr>
          <w:ilvl w:val="0"/>
          <w:numId w:val="1"/>
        </w:numPr>
        <w:spacing w:after="200"/>
      </w:pPr>
      <w:r>
        <w:t>Flesch-Kincaid Grade Level (determines comprehension multiplier)</w:t>
      </w:r>
    </w:p>
    <w:p w14:paraId="409AD3AE" w14:textId="77777777" w:rsidR="002C3C51" w:rsidRDefault="002C3C51">
      <w:pPr>
        <w:pStyle w:val="ListParagraph"/>
        <w:numPr>
          <w:ilvl w:val="0"/>
          <w:numId w:val="1"/>
        </w:numPr>
        <w:spacing w:after="200"/>
      </w:pPr>
      <w:r>
        <w:t>Number of cross-references (determines navigation burden)</w:t>
      </w:r>
    </w:p>
    <w:p w14:paraId="0EB7A0DE" w14:textId="77777777" w:rsidR="002C3C51" w:rsidRDefault="002C3C51">
      <w:pPr>
        <w:pStyle w:val="ListParagraph"/>
        <w:numPr>
          <w:ilvl w:val="0"/>
          <w:numId w:val="1"/>
        </w:numPr>
        <w:spacing w:after="200"/>
      </w:pPr>
      <w:r>
        <w:lastRenderedPageBreak/>
        <w:t>Count of defined terms (determines lookup frequency)</w:t>
      </w:r>
    </w:p>
    <w:p w14:paraId="35A31248" w14:textId="77777777" w:rsidR="002C3C51" w:rsidRDefault="002C3C51">
      <w:pPr>
        <w:pStyle w:val="ListParagraph"/>
        <w:numPr>
          <w:ilvl w:val="0"/>
          <w:numId w:val="1"/>
        </w:numPr>
        <w:spacing w:after="200"/>
      </w:pPr>
      <w:r>
        <w:t>Number of incorporated documents (determines assembly effort)</w:t>
      </w:r>
    </w:p>
    <w:p w14:paraId="4C011F62" w14:textId="77777777" w:rsidR="002C3C51" w:rsidRDefault="002C3C51">
      <w:pPr>
        <w:pStyle w:val="ListParagraph"/>
        <w:numPr>
          <w:ilvl w:val="0"/>
          <w:numId w:val="1"/>
        </w:numPr>
        <w:spacing w:after="200"/>
      </w:pPr>
      <w:r>
        <w:t>Count of ambiguous terms (determines interpretation incidents)</w:t>
      </w:r>
    </w:p>
    <w:p w14:paraId="621DDA86" w14:textId="77777777" w:rsidR="002C3C51" w:rsidRDefault="002C3C51">
      <w:pPr>
        <w:spacing w:after="200"/>
      </w:pPr>
      <w:r>
        <w:rPr>
          <w:b/>
          <w:bCs/>
        </w:rPr>
        <w:t>Activity Rates</w:t>
      </w:r>
      <w:r>
        <w:t xml:space="preserve"> convert document characteristics into hours:</w:t>
      </w:r>
    </w:p>
    <w:p w14:paraId="2E554469" w14:textId="77777777" w:rsidR="002C3C51" w:rsidRDefault="002C3C51">
      <w:pPr>
        <w:pStyle w:val="ListParagraph"/>
        <w:numPr>
          <w:ilvl w:val="0"/>
          <w:numId w:val="1"/>
        </w:numPr>
        <w:spacing w:after="200"/>
      </w:pPr>
      <w:r>
        <w:t>Base reading speed (words per minute, adjusted for complexity)</w:t>
      </w:r>
    </w:p>
    <w:p w14:paraId="182E420B" w14:textId="77777777" w:rsidR="002C3C51" w:rsidRDefault="002C3C51">
      <w:pPr>
        <w:pStyle w:val="ListParagraph"/>
        <w:numPr>
          <w:ilvl w:val="0"/>
          <w:numId w:val="1"/>
        </w:numPr>
        <w:spacing w:after="200"/>
      </w:pPr>
      <w:r>
        <w:t>Review passes required (increases with complexity)</w:t>
      </w:r>
    </w:p>
    <w:p w14:paraId="41A867ED" w14:textId="77777777" w:rsidR="002C3C51" w:rsidRDefault="002C3C51">
      <w:pPr>
        <w:pStyle w:val="ListParagraph"/>
        <w:numPr>
          <w:ilvl w:val="0"/>
          <w:numId w:val="1"/>
        </w:numPr>
        <w:spacing w:after="200"/>
      </w:pPr>
      <w:r>
        <w:t>Hours per ambiguity resolution incident</w:t>
      </w:r>
    </w:p>
    <w:p w14:paraId="74A7D752" w14:textId="77777777" w:rsidR="002C3C51" w:rsidRDefault="002C3C51">
      <w:pPr>
        <w:pStyle w:val="ListParagraph"/>
        <w:numPr>
          <w:ilvl w:val="0"/>
          <w:numId w:val="1"/>
        </w:numPr>
        <w:spacing w:after="200"/>
      </w:pPr>
      <w:r>
        <w:t>Hours per compliance verification cycle</w:t>
      </w:r>
    </w:p>
    <w:p w14:paraId="65FC5807" w14:textId="77777777" w:rsidR="002C3C51" w:rsidRDefault="002C3C51">
      <w:pPr>
        <w:spacing w:after="200"/>
      </w:pPr>
      <w:r>
        <w:rPr>
          <w:b/>
          <w:bCs/>
        </w:rPr>
        <w:t>Organizational Rates</w:t>
      </w:r>
      <w:r>
        <w:t xml:space="preserve"> convert hours into costs:</w:t>
      </w:r>
    </w:p>
    <w:p w14:paraId="1CC9EC79" w14:textId="77777777" w:rsidR="002C3C51" w:rsidRDefault="002C3C51">
      <w:pPr>
        <w:pStyle w:val="ListParagraph"/>
        <w:numPr>
          <w:ilvl w:val="0"/>
          <w:numId w:val="1"/>
        </w:numPr>
        <w:spacing w:after="200"/>
      </w:pPr>
      <w:r>
        <w:t>Blended legal review rate (internal and external counsel)</w:t>
      </w:r>
    </w:p>
    <w:p w14:paraId="09818EF7" w14:textId="77777777" w:rsidR="002C3C51" w:rsidRDefault="002C3C51">
      <w:pPr>
        <w:pStyle w:val="ListParagraph"/>
        <w:numPr>
          <w:ilvl w:val="0"/>
          <w:numId w:val="1"/>
        </w:numPr>
        <w:spacing w:after="200"/>
      </w:pPr>
      <w:r>
        <w:t>Business stakeholder rate (fully-loaded cost)</w:t>
      </w:r>
    </w:p>
    <w:p w14:paraId="4A564543" w14:textId="77777777" w:rsidR="002C3C51" w:rsidRDefault="002C3C51">
      <w:pPr>
        <w:pStyle w:val="ListParagraph"/>
        <w:numPr>
          <w:ilvl w:val="0"/>
          <w:numId w:val="1"/>
        </w:numPr>
        <w:spacing w:after="200"/>
      </w:pPr>
      <w:r>
        <w:t>Compliance and procurement rate</w:t>
      </w:r>
    </w:p>
    <w:p w14:paraId="6AAC09A2" w14:textId="77777777" w:rsidR="002C3C51" w:rsidRDefault="002C3C51">
      <w:pPr>
        <w:pStyle w:val="Heading2"/>
      </w:pPr>
      <w:r>
        <w:t>The Core Formula</w:t>
      </w:r>
    </w:p>
    <w:p w14:paraId="64FA7413" w14:textId="77777777" w:rsidR="002C3C51" w:rsidRDefault="002C3C51">
      <w:pPr>
        <w:spacing w:after="200"/>
      </w:pPr>
      <w:r>
        <w:t>The activity-based complexity cost formula is:</w:t>
      </w:r>
    </w:p>
    <w:p w14:paraId="7743F024" w14:textId="77777777" w:rsidR="002C3C51" w:rsidRDefault="002C3C51">
      <w:pPr>
        <w:spacing w:after="200"/>
        <w:ind w:left="720"/>
      </w:pPr>
      <w:r>
        <w:rPr>
          <w:b/>
          <w:bCs/>
        </w:rPr>
        <w:t>Complexity Cost = (Formation Hours × Blended Rate) + (Annual Operations Hours × Blended Rate × Term Years) + (Incident Count × Hours per Incident × Blended Rate × Term Years)</w:t>
      </w:r>
    </w:p>
    <w:p w14:paraId="04607CDC" w14:textId="77777777" w:rsidR="002C3C51" w:rsidRDefault="002C3C51">
      <w:pPr>
        <w:spacing w:after="200"/>
      </w:pPr>
      <w:r>
        <w:t>Where:</w:t>
      </w:r>
    </w:p>
    <w:p w14:paraId="04A2A711" w14:textId="77777777" w:rsidR="002C3C51" w:rsidRDefault="002C3C51">
      <w:pPr>
        <w:pStyle w:val="ListParagraph"/>
        <w:numPr>
          <w:ilvl w:val="0"/>
          <w:numId w:val="1"/>
        </w:numPr>
        <w:spacing w:after="200"/>
      </w:pPr>
      <w:r>
        <w:rPr>
          <w:b/>
          <w:bCs/>
        </w:rPr>
        <w:t>Formation Hours</w:t>
      </w:r>
      <w:r>
        <w:t xml:space="preserve"> = (Word Count ÷ Adjusted Reading Speed) × Review Passes × Reviewer Count</w:t>
      </w:r>
    </w:p>
    <w:p w14:paraId="6EEFF1EB" w14:textId="77777777" w:rsidR="002C3C51" w:rsidRDefault="002C3C51">
      <w:pPr>
        <w:pStyle w:val="ListParagraph"/>
        <w:numPr>
          <w:ilvl w:val="0"/>
          <w:numId w:val="1"/>
        </w:numPr>
        <w:spacing w:after="200"/>
      </w:pPr>
      <w:r>
        <w:rPr>
          <w:b/>
          <w:bCs/>
        </w:rPr>
        <w:t>Annual Operations Hours</w:t>
      </w:r>
      <w:r>
        <w:t xml:space="preserve"> = Base Operations × Complexity Multiplier × Structural Multiplier</w:t>
      </w:r>
    </w:p>
    <w:p w14:paraId="0620ADCD" w14:textId="77777777" w:rsidR="002C3C51" w:rsidRDefault="002C3C51">
      <w:pPr>
        <w:pStyle w:val="ListParagraph"/>
        <w:numPr>
          <w:ilvl w:val="0"/>
          <w:numId w:val="1"/>
        </w:numPr>
        <w:spacing w:after="200"/>
      </w:pPr>
      <w:r>
        <w:rPr>
          <w:b/>
          <w:bCs/>
        </w:rPr>
        <w:t>Incident Count</w:t>
      </w:r>
      <w:r>
        <w:t xml:space="preserve"> = Ambiguous Terms × Probability of Query per Term</w:t>
      </w:r>
    </w:p>
    <w:p w14:paraId="2EB83477" w14:textId="77777777" w:rsidR="002C3C51" w:rsidRDefault="002C3C51">
      <w:pPr>
        <w:spacing w:after="200"/>
      </w:pPr>
      <w:r>
        <w:t>This formula produces an absolute dollar cost that can be calculated before knowing the contract value. The result is a fixed cost that depends entirely on how the document is written, not what commercial terms it contains.</w:t>
      </w:r>
    </w:p>
    <w:p w14:paraId="6BC18C66" w14:textId="77777777" w:rsidR="002C3C51" w:rsidRDefault="002C3C51">
      <w:pPr>
        <w:pStyle w:val="Heading2"/>
      </w:pPr>
      <w:r>
        <w:t>Illustrative Calculation</w:t>
      </w:r>
    </w:p>
    <w:p w14:paraId="7B3416B8" w14:textId="77777777" w:rsidR="002C3C51" w:rsidRDefault="002C3C51">
      <w:pPr>
        <w:spacing w:after="200"/>
      </w:pPr>
      <w:r>
        <w:t>Consider two agreements with identical complexity but different values:</w:t>
      </w:r>
    </w:p>
    <w:tbl>
      <w:tblPr>
        <w:tblStyle w:val="GridTable1Light"/>
        <w:tblW w:w="0" w:type="auto"/>
        <w:tblLook w:val="04A0" w:firstRow="1" w:lastRow="0" w:firstColumn="1" w:lastColumn="0" w:noHBand="0" w:noVBand="1"/>
      </w:tblPr>
      <w:tblGrid>
        <w:gridCol w:w="3000"/>
        <w:gridCol w:w="2000"/>
        <w:gridCol w:w="2000"/>
        <w:gridCol w:w="2000"/>
      </w:tblGrid>
      <w:tr w:rsidR="00586181" w14:paraId="79495ED3" w14:textId="77777777" w:rsidTr="003F58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D5E8F0"/>
          </w:tcPr>
          <w:p w14:paraId="18587FD1" w14:textId="77777777" w:rsidR="00586181" w:rsidRDefault="002C3C51" w:rsidP="009E15F6">
            <w:pPr>
              <w:jc w:val="center"/>
            </w:pPr>
            <w:r>
              <w:lastRenderedPageBreak/>
              <w:t xml:space="preserve">Document </w:t>
            </w:r>
            <w:r w:rsidRPr="009E15F6">
              <w:rPr>
                <w:szCs w:val="22"/>
              </w:rPr>
              <w:t>Characteristic</w:t>
            </w:r>
          </w:p>
        </w:tc>
        <w:tc>
          <w:tcPr>
            <w:tcW w:w="2000" w:type="dxa"/>
            <w:shd w:val="clear" w:color="auto" w:fill="D5E8F0"/>
          </w:tcPr>
          <w:p w14:paraId="162C28DB" w14:textId="77777777" w:rsidR="00586181" w:rsidRDefault="002C3C51">
            <w:pPr>
              <w:cnfStyle w:val="100000000000" w:firstRow="1" w:lastRow="0" w:firstColumn="0" w:lastColumn="0" w:oddVBand="0" w:evenVBand="0" w:oddHBand="0" w:evenHBand="0" w:firstRowFirstColumn="0" w:firstRowLastColumn="0" w:lastRowFirstColumn="0" w:lastRowLastColumn="0"/>
            </w:pPr>
            <w:r>
              <w:t>Agreement A</w:t>
            </w:r>
          </w:p>
        </w:tc>
        <w:tc>
          <w:tcPr>
            <w:tcW w:w="2000" w:type="dxa"/>
            <w:shd w:val="clear" w:color="auto" w:fill="D5E8F0"/>
          </w:tcPr>
          <w:p w14:paraId="37280851" w14:textId="77777777" w:rsidR="00586181" w:rsidRDefault="002C3C51">
            <w:pPr>
              <w:cnfStyle w:val="100000000000" w:firstRow="1" w:lastRow="0" w:firstColumn="0" w:lastColumn="0" w:oddVBand="0" w:evenVBand="0" w:oddHBand="0" w:evenHBand="0" w:firstRowFirstColumn="0" w:firstRowLastColumn="0" w:lastRowFirstColumn="0" w:lastRowLastColumn="0"/>
            </w:pPr>
            <w:r>
              <w:t>Agreement B</w:t>
            </w:r>
          </w:p>
        </w:tc>
        <w:tc>
          <w:tcPr>
            <w:tcW w:w="2000" w:type="dxa"/>
            <w:shd w:val="clear" w:color="auto" w:fill="D5E8F0"/>
          </w:tcPr>
          <w:p w14:paraId="15D3CC18" w14:textId="77777777" w:rsidR="00586181" w:rsidRDefault="002C3C51">
            <w:pPr>
              <w:cnfStyle w:val="100000000000" w:firstRow="1" w:lastRow="0" w:firstColumn="0" w:lastColumn="0" w:oddVBand="0" w:evenVBand="0" w:oddHBand="0" w:evenHBand="0" w:firstRowFirstColumn="0" w:firstRowLastColumn="0" w:lastRowFirstColumn="0" w:lastRowLastColumn="0"/>
            </w:pPr>
            <w:r>
              <w:t>Difference</w:t>
            </w:r>
          </w:p>
        </w:tc>
      </w:tr>
      <w:tr w:rsidR="00586181" w14:paraId="3C2FC831" w14:textId="77777777" w:rsidTr="002C3C51">
        <w:tc>
          <w:tcPr>
            <w:cnfStyle w:val="001000000000" w:firstRow="0" w:lastRow="0" w:firstColumn="1" w:lastColumn="0" w:oddVBand="0" w:evenVBand="0" w:oddHBand="0" w:evenHBand="0" w:firstRowFirstColumn="0" w:firstRowLastColumn="0" w:lastRowFirstColumn="0" w:lastRowLastColumn="0"/>
            <w:tcW w:w="3000" w:type="dxa"/>
          </w:tcPr>
          <w:p w14:paraId="0EC7C801" w14:textId="77777777" w:rsidR="00586181" w:rsidRDefault="002C3C51">
            <w:r>
              <w:t>Contract Value (annual)</w:t>
            </w:r>
          </w:p>
        </w:tc>
        <w:tc>
          <w:tcPr>
            <w:tcW w:w="2000" w:type="dxa"/>
          </w:tcPr>
          <w:p w14:paraId="215091E0" w14:textId="77777777" w:rsidR="00586181" w:rsidRDefault="002C3C51">
            <w:pPr>
              <w:cnfStyle w:val="000000000000" w:firstRow="0" w:lastRow="0" w:firstColumn="0" w:lastColumn="0" w:oddVBand="0" w:evenVBand="0" w:oddHBand="0" w:evenHBand="0" w:firstRowFirstColumn="0" w:firstRowLastColumn="0" w:lastRowFirstColumn="0" w:lastRowLastColumn="0"/>
            </w:pPr>
            <w:r>
              <w:t>$100,000</w:t>
            </w:r>
          </w:p>
        </w:tc>
        <w:tc>
          <w:tcPr>
            <w:tcW w:w="2000" w:type="dxa"/>
          </w:tcPr>
          <w:p w14:paraId="2AF90B1A" w14:textId="77777777" w:rsidR="00586181" w:rsidRDefault="002C3C51">
            <w:pPr>
              <w:cnfStyle w:val="000000000000" w:firstRow="0" w:lastRow="0" w:firstColumn="0" w:lastColumn="0" w:oddVBand="0" w:evenVBand="0" w:oddHBand="0" w:evenHBand="0" w:firstRowFirstColumn="0" w:firstRowLastColumn="0" w:lastRowFirstColumn="0" w:lastRowLastColumn="0"/>
            </w:pPr>
            <w:r>
              <w:t>$5,000,000</w:t>
            </w:r>
          </w:p>
        </w:tc>
        <w:tc>
          <w:tcPr>
            <w:tcW w:w="2000" w:type="dxa"/>
            <w:shd w:val="clear" w:color="auto" w:fill="F8D7DA"/>
          </w:tcPr>
          <w:p w14:paraId="2F2BBE49" w14:textId="77777777" w:rsidR="00586181" w:rsidRDefault="002C3C51">
            <w:pPr>
              <w:cnfStyle w:val="000000000000" w:firstRow="0" w:lastRow="0" w:firstColumn="0" w:lastColumn="0" w:oddVBand="0" w:evenVBand="0" w:oddHBand="0" w:evenHBand="0" w:firstRowFirstColumn="0" w:firstRowLastColumn="0" w:lastRowFirstColumn="0" w:lastRowLastColumn="0"/>
            </w:pPr>
            <w:r>
              <w:t>50×</w:t>
            </w:r>
          </w:p>
        </w:tc>
      </w:tr>
      <w:tr w:rsidR="00586181" w14:paraId="59A0ED60" w14:textId="77777777" w:rsidTr="002C3C51">
        <w:tc>
          <w:tcPr>
            <w:cnfStyle w:val="001000000000" w:firstRow="0" w:lastRow="0" w:firstColumn="1" w:lastColumn="0" w:oddVBand="0" w:evenVBand="0" w:oddHBand="0" w:evenHBand="0" w:firstRowFirstColumn="0" w:firstRowLastColumn="0" w:lastRowFirstColumn="0" w:lastRowLastColumn="0"/>
            <w:tcW w:w="3000" w:type="dxa"/>
          </w:tcPr>
          <w:p w14:paraId="101FD932" w14:textId="77777777" w:rsidR="00586181" w:rsidRDefault="002C3C51">
            <w:r>
              <w:t>Word Count</w:t>
            </w:r>
          </w:p>
        </w:tc>
        <w:tc>
          <w:tcPr>
            <w:tcW w:w="2000" w:type="dxa"/>
          </w:tcPr>
          <w:p w14:paraId="30DBFB07" w14:textId="77777777" w:rsidR="00586181" w:rsidRDefault="002C3C51">
            <w:pPr>
              <w:cnfStyle w:val="000000000000" w:firstRow="0" w:lastRow="0" w:firstColumn="0" w:lastColumn="0" w:oddVBand="0" w:evenVBand="0" w:oddHBand="0" w:evenHBand="0" w:firstRowFirstColumn="0" w:firstRowLastColumn="0" w:lastRowFirstColumn="0" w:lastRowLastColumn="0"/>
            </w:pPr>
            <w:r>
              <w:t>18,000</w:t>
            </w:r>
          </w:p>
        </w:tc>
        <w:tc>
          <w:tcPr>
            <w:tcW w:w="2000" w:type="dxa"/>
          </w:tcPr>
          <w:p w14:paraId="023A074D" w14:textId="77777777" w:rsidR="00586181" w:rsidRDefault="002C3C51">
            <w:pPr>
              <w:cnfStyle w:val="000000000000" w:firstRow="0" w:lastRow="0" w:firstColumn="0" w:lastColumn="0" w:oddVBand="0" w:evenVBand="0" w:oddHBand="0" w:evenHBand="0" w:firstRowFirstColumn="0" w:firstRowLastColumn="0" w:lastRowFirstColumn="0" w:lastRowLastColumn="0"/>
            </w:pPr>
            <w:r>
              <w:t>18,000</w:t>
            </w:r>
          </w:p>
        </w:tc>
        <w:tc>
          <w:tcPr>
            <w:tcW w:w="2000" w:type="dxa"/>
            <w:shd w:val="clear" w:color="auto" w:fill="D4EDDA"/>
          </w:tcPr>
          <w:p w14:paraId="0736BA97" w14:textId="77777777" w:rsidR="00586181" w:rsidRDefault="002C3C51">
            <w:pPr>
              <w:cnfStyle w:val="000000000000" w:firstRow="0" w:lastRow="0" w:firstColumn="0" w:lastColumn="0" w:oddVBand="0" w:evenVBand="0" w:oddHBand="0" w:evenHBand="0" w:firstRowFirstColumn="0" w:firstRowLastColumn="0" w:lastRowFirstColumn="0" w:lastRowLastColumn="0"/>
            </w:pPr>
            <w:r>
              <w:t>Identical</w:t>
            </w:r>
          </w:p>
        </w:tc>
      </w:tr>
      <w:tr w:rsidR="00586181" w14:paraId="599BD32E" w14:textId="77777777" w:rsidTr="002C3C51">
        <w:tc>
          <w:tcPr>
            <w:cnfStyle w:val="001000000000" w:firstRow="0" w:lastRow="0" w:firstColumn="1" w:lastColumn="0" w:oddVBand="0" w:evenVBand="0" w:oddHBand="0" w:evenHBand="0" w:firstRowFirstColumn="0" w:firstRowLastColumn="0" w:lastRowFirstColumn="0" w:lastRowLastColumn="0"/>
            <w:tcW w:w="3000" w:type="dxa"/>
          </w:tcPr>
          <w:p w14:paraId="0DBF6764" w14:textId="77777777" w:rsidR="00586181" w:rsidRDefault="002C3C51">
            <w:r>
              <w:t>FK Grade Level</w:t>
            </w:r>
          </w:p>
        </w:tc>
        <w:tc>
          <w:tcPr>
            <w:tcW w:w="2000" w:type="dxa"/>
          </w:tcPr>
          <w:p w14:paraId="02EE24A0" w14:textId="77777777" w:rsidR="00586181" w:rsidRDefault="002C3C51">
            <w:pPr>
              <w:cnfStyle w:val="000000000000" w:firstRow="0" w:lastRow="0" w:firstColumn="0" w:lastColumn="0" w:oddVBand="0" w:evenVBand="0" w:oddHBand="0" w:evenHBand="0" w:firstRowFirstColumn="0" w:firstRowLastColumn="0" w:lastRowFirstColumn="0" w:lastRowLastColumn="0"/>
            </w:pPr>
            <w:r>
              <w:t>15.2</w:t>
            </w:r>
          </w:p>
        </w:tc>
        <w:tc>
          <w:tcPr>
            <w:tcW w:w="2000" w:type="dxa"/>
          </w:tcPr>
          <w:p w14:paraId="04FFB192" w14:textId="77777777" w:rsidR="00586181" w:rsidRDefault="002C3C51">
            <w:pPr>
              <w:cnfStyle w:val="000000000000" w:firstRow="0" w:lastRow="0" w:firstColumn="0" w:lastColumn="0" w:oddVBand="0" w:evenVBand="0" w:oddHBand="0" w:evenHBand="0" w:firstRowFirstColumn="0" w:firstRowLastColumn="0" w:lastRowFirstColumn="0" w:lastRowLastColumn="0"/>
            </w:pPr>
            <w:r>
              <w:t>15.2</w:t>
            </w:r>
          </w:p>
        </w:tc>
        <w:tc>
          <w:tcPr>
            <w:tcW w:w="2000" w:type="dxa"/>
            <w:shd w:val="clear" w:color="auto" w:fill="D4EDDA"/>
          </w:tcPr>
          <w:p w14:paraId="604BDE4B" w14:textId="77777777" w:rsidR="00586181" w:rsidRDefault="002C3C51">
            <w:pPr>
              <w:cnfStyle w:val="000000000000" w:firstRow="0" w:lastRow="0" w:firstColumn="0" w:lastColumn="0" w:oddVBand="0" w:evenVBand="0" w:oddHBand="0" w:evenHBand="0" w:firstRowFirstColumn="0" w:firstRowLastColumn="0" w:lastRowFirstColumn="0" w:lastRowLastColumn="0"/>
            </w:pPr>
            <w:r>
              <w:t>Identical</w:t>
            </w:r>
          </w:p>
        </w:tc>
      </w:tr>
      <w:tr w:rsidR="00586181" w14:paraId="6EA82ACB" w14:textId="77777777" w:rsidTr="002C3C51">
        <w:tc>
          <w:tcPr>
            <w:cnfStyle w:val="001000000000" w:firstRow="0" w:lastRow="0" w:firstColumn="1" w:lastColumn="0" w:oddVBand="0" w:evenVBand="0" w:oddHBand="0" w:evenHBand="0" w:firstRowFirstColumn="0" w:firstRowLastColumn="0" w:lastRowFirstColumn="0" w:lastRowLastColumn="0"/>
            <w:tcW w:w="3000" w:type="dxa"/>
          </w:tcPr>
          <w:p w14:paraId="4A016480" w14:textId="77777777" w:rsidR="00586181" w:rsidRDefault="002C3C51">
            <w:r>
              <w:t>Ambiguous Terms</w:t>
            </w:r>
          </w:p>
        </w:tc>
        <w:tc>
          <w:tcPr>
            <w:tcW w:w="2000" w:type="dxa"/>
          </w:tcPr>
          <w:p w14:paraId="327965B5" w14:textId="77777777" w:rsidR="00586181" w:rsidRDefault="002C3C51">
            <w:pPr>
              <w:cnfStyle w:val="000000000000" w:firstRow="0" w:lastRow="0" w:firstColumn="0" w:lastColumn="0" w:oddVBand="0" w:evenVBand="0" w:oddHBand="0" w:evenHBand="0" w:firstRowFirstColumn="0" w:firstRowLastColumn="0" w:lastRowFirstColumn="0" w:lastRowLastColumn="0"/>
            </w:pPr>
            <w:r>
              <w:t>14</w:t>
            </w:r>
          </w:p>
        </w:tc>
        <w:tc>
          <w:tcPr>
            <w:tcW w:w="2000" w:type="dxa"/>
          </w:tcPr>
          <w:p w14:paraId="763F971C" w14:textId="77777777" w:rsidR="00586181" w:rsidRDefault="002C3C51">
            <w:pPr>
              <w:cnfStyle w:val="000000000000" w:firstRow="0" w:lastRow="0" w:firstColumn="0" w:lastColumn="0" w:oddVBand="0" w:evenVBand="0" w:oddHBand="0" w:evenHBand="0" w:firstRowFirstColumn="0" w:firstRowLastColumn="0" w:lastRowFirstColumn="0" w:lastRowLastColumn="0"/>
            </w:pPr>
            <w:r>
              <w:t>14</w:t>
            </w:r>
          </w:p>
        </w:tc>
        <w:tc>
          <w:tcPr>
            <w:tcW w:w="2000" w:type="dxa"/>
            <w:shd w:val="clear" w:color="auto" w:fill="D4EDDA"/>
          </w:tcPr>
          <w:p w14:paraId="0094FC85" w14:textId="77777777" w:rsidR="00586181" w:rsidRDefault="002C3C51">
            <w:pPr>
              <w:cnfStyle w:val="000000000000" w:firstRow="0" w:lastRow="0" w:firstColumn="0" w:lastColumn="0" w:oddVBand="0" w:evenVBand="0" w:oddHBand="0" w:evenHBand="0" w:firstRowFirstColumn="0" w:firstRowLastColumn="0" w:lastRowFirstColumn="0" w:lastRowLastColumn="0"/>
            </w:pPr>
            <w:r>
              <w:t>Identical</w:t>
            </w:r>
          </w:p>
        </w:tc>
      </w:tr>
      <w:tr w:rsidR="00586181" w14:paraId="279738E9" w14:textId="77777777" w:rsidTr="002C3C51">
        <w:tc>
          <w:tcPr>
            <w:cnfStyle w:val="001000000000" w:firstRow="0" w:lastRow="0" w:firstColumn="1" w:lastColumn="0" w:oddVBand="0" w:evenVBand="0" w:oddHBand="0" w:evenHBand="0" w:firstRowFirstColumn="0" w:firstRowLastColumn="0" w:lastRowFirstColumn="0" w:lastRowLastColumn="0"/>
            <w:tcW w:w="3000" w:type="dxa"/>
          </w:tcPr>
          <w:p w14:paraId="447E9B98" w14:textId="77777777" w:rsidR="00586181" w:rsidRDefault="002C3C51">
            <w:r>
              <w:t>Complexity Cost (3-year)</w:t>
            </w:r>
          </w:p>
        </w:tc>
        <w:tc>
          <w:tcPr>
            <w:tcW w:w="2000" w:type="dxa"/>
          </w:tcPr>
          <w:p w14:paraId="4823E02C" w14:textId="77777777" w:rsidR="00586181" w:rsidRDefault="002C3C51">
            <w:pPr>
              <w:cnfStyle w:val="000000000000" w:firstRow="0" w:lastRow="0" w:firstColumn="0" w:lastColumn="0" w:oddVBand="0" w:evenVBand="0" w:oddHBand="0" w:evenHBand="0" w:firstRowFirstColumn="0" w:firstRowLastColumn="0" w:lastRowFirstColumn="0" w:lastRowLastColumn="0"/>
            </w:pPr>
            <w:r>
              <w:rPr>
                <w:b/>
                <w:bCs/>
              </w:rPr>
              <w:t>$87,000</w:t>
            </w:r>
          </w:p>
        </w:tc>
        <w:tc>
          <w:tcPr>
            <w:tcW w:w="2000" w:type="dxa"/>
          </w:tcPr>
          <w:p w14:paraId="235BDC8A" w14:textId="77777777" w:rsidR="00586181" w:rsidRDefault="002C3C51">
            <w:pPr>
              <w:cnfStyle w:val="000000000000" w:firstRow="0" w:lastRow="0" w:firstColumn="0" w:lastColumn="0" w:oddVBand="0" w:evenVBand="0" w:oddHBand="0" w:evenHBand="0" w:firstRowFirstColumn="0" w:firstRowLastColumn="0" w:lastRowFirstColumn="0" w:lastRowLastColumn="0"/>
            </w:pPr>
            <w:r>
              <w:rPr>
                <w:b/>
                <w:bCs/>
              </w:rPr>
              <w:t>$87,000</w:t>
            </w:r>
          </w:p>
        </w:tc>
        <w:tc>
          <w:tcPr>
            <w:tcW w:w="2000" w:type="dxa"/>
            <w:shd w:val="clear" w:color="auto" w:fill="D4EDDA"/>
          </w:tcPr>
          <w:p w14:paraId="16286AD5" w14:textId="77777777" w:rsidR="00586181" w:rsidRDefault="002C3C51">
            <w:pPr>
              <w:cnfStyle w:val="000000000000" w:firstRow="0" w:lastRow="0" w:firstColumn="0" w:lastColumn="0" w:oddVBand="0" w:evenVBand="0" w:oddHBand="0" w:evenHBand="0" w:firstRowFirstColumn="0" w:firstRowLastColumn="0" w:lastRowFirstColumn="0" w:lastRowLastColumn="0"/>
            </w:pPr>
            <w:r>
              <w:rPr>
                <w:b/>
                <w:bCs/>
              </w:rPr>
              <w:t>Identical</w:t>
            </w:r>
          </w:p>
        </w:tc>
      </w:tr>
      <w:tr w:rsidR="00586181" w14:paraId="1506EC81" w14:textId="77777777" w:rsidTr="002C3C51">
        <w:tc>
          <w:tcPr>
            <w:cnfStyle w:val="001000000000" w:firstRow="0" w:lastRow="0" w:firstColumn="1" w:lastColumn="0" w:oddVBand="0" w:evenVBand="0" w:oddHBand="0" w:evenHBand="0" w:firstRowFirstColumn="0" w:firstRowLastColumn="0" w:lastRowFirstColumn="0" w:lastRowLastColumn="0"/>
            <w:tcW w:w="3000" w:type="dxa"/>
          </w:tcPr>
          <w:p w14:paraId="6F6EF9B7" w14:textId="77777777" w:rsidR="00586181" w:rsidRDefault="002C3C51">
            <w:r>
              <w:t>As % of 3-Year Value</w:t>
            </w:r>
          </w:p>
        </w:tc>
        <w:tc>
          <w:tcPr>
            <w:tcW w:w="2000" w:type="dxa"/>
          </w:tcPr>
          <w:p w14:paraId="0F6ECEBB" w14:textId="77777777" w:rsidR="00586181" w:rsidRDefault="002C3C51">
            <w:pPr>
              <w:cnfStyle w:val="000000000000" w:firstRow="0" w:lastRow="0" w:firstColumn="0" w:lastColumn="0" w:oddVBand="0" w:evenVBand="0" w:oddHBand="0" w:evenHBand="0" w:firstRowFirstColumn="0" w:firstRowLastColumn="0" w:lastRowFirstColumn="0" w:lastRowLastColumn="0"/>
            </w:pPr>
            <w:r>
              <w:t>29%</w:t>
            </w:r>
          </w:p>
        </w:tc>
        <w:tc>
          <w:tcPr>
            <w:tcW w:w="2000" w:type="dxa"/>
          </w:tcPr>
          <w:p w14:paraId="28FD891E" w14:textId="77777777" w:rsidR="00586181" w:rsidRDefault="002C3C51">
            <w:pPr>
              <w:cnfStyle w:val="000000000000" w:firstRow="0" w:lastRow="0" w:firstColumn="0" w:lastColumn="0" w:oddVBand="0" w:evenVBand="0" w:oddHBand="0" w:evenHBand="0" w:firstRowFirstColumn="0" w:firstRowLastColumn="0" w:lastRowFirstColumn="0" w:lastRowLastColumn="0"/>
            </w:pPr>
            <w:r>
              <w:t>0.6%</w:t>
            </w:r>
          </w:p>
        </w:tc>
        <w:tc>
          <w:tcPr>
            <w:tcW w:w="2000" w:type="dxa"/>
            <w:shd w:val="clear" w:color="auto" w:fill="F8D7DA"/>
          </w:tcPr>
          <w:p w14:paraId="21820BAF" w14:textId="77777777" w:rsidR="00586181" w:rsidRDefault="002C3C51">
            <w:pPr>
              <w:cnfStyle w:val="000000000000" w:firstRow="0" w:lastRow="0" w:firstColumn="0" w:lastColumn="0" w:oddVBand="0" w:evenVBand="0" w:oddHBand="0" w:evenHBand="0" w:firstRowFirstColumn="0" w:firstRowLastColumn="0" w:lastRowFirstColumn="0" w:lastRowLastColumn="0"/>
            </w:pPr>
            <w:r>
              <w:t>48×</w:t>
            </w:r>
          </w:p>
        </w:tc>
      </w:tr>
    </w:tbl>
    <w:p w14:paraId="45ABBF9E" w14:textId="77777777" w:rsidR="002C3C51" w:rsidRDefault="002C3C51" w:rsidP="00A44D7D">
      <w:pPr>
        <w:spacing w:after="200"/>
      </w:pPr>
      <w:r>
        <w:rPr>
          <w:i/>
          <w:iCs/>
        </w:rPr>
        <w:t>Table 2.1a: Identical Complexity, Different Values</w:t>
      </w:r>
    </w:p>
    <w:p w14:paraId="68E2F76C" w14:textId="77777777" w:rsidR="002C3C51" w:rsidRDefault="002C3C51">
      <w:pPr>
        <w:spacing w:after="200"/>
      </w:pPr>
      <w:r>
        <w:t>The absolute complexity cost is identical—$87,000 over three years—because the documents are identical. But the percentage impact differs by a factor of 48. If organizations use percentage-of-value as their decision metric, Agreement A appears to have a severe complexity problem demanding immediate attention while Agreement B appears negligible. Yet both impose the same actual burden on the legal department, procurement team, and business operations.</w:t>
      </w:r>
    </w:p>
    <w:p w14:paraId="663AE112" w14:textId="77777777" w:rsidR="002C3C51" w:rsidRDefault="002C3C51">
      <w:pPr>
        <w:pStyle w:val="Heading2"/>
      </w:pPr>
      <w:r>
        <w:t>When Percentage Metrics Mislead</w:t>
      </w:r>
    </w:p>
    <w:p w14:paraId="7BD94C86" w14:textId="77777777" w:rsidR="002C3C51" w:rsidRDefault="002C3C51">
      <w:pPr>
        <w:spacing w:after="200"/>
      </w:pPr>
      <w:r>
        <w:t>Percentage-based metrics create several strategic distortions:</w:t>
      </w:r>
    </w:p>
    <w:p w14:paraId="5A599A7A" w14:textId="77777777" w:rsidR="002C3C51" w:rsidRDefault="002C3C51">
      <w:pPr>
        <w:pStyle w:val="ListParagraph"/>
        <w:numPr>
          <w:ilvl w:val="0"/>
          <w:numId w:val="1"/>
        </w:numPr>
        <w:spacing w:after="200"/>
      </w:pPr>
      <w:r>
        <w:rPr>
          <w:b/>
          <w:bCs/>
        </w:rPr>
        <w:t>They deprioritize high-value contracts.</w:t>
      </w:r>
      <w:r>
        <w:t xml:space="preserve"> A $10 million contract with $150,000 in complexity costs (1.5%) may be deprioritized relative to a $200,000 contract with $50,000 in complexity costs (25%), even though simplifying the larger contract saves three times as many absolute dollars and frees equivalent organizational capacity.</w:t>
      </w:r>
    </w:p>
    <w:p w14:paraId="3A882671" w14:textId="77777777" w:rsidR="002C3C51" w:rsidRDefault="002C3C51">
      <w:pPr>
        <w:pStyle w:val="ListParagraph"/>
        <w:numPr>
          <w:ilvl w:val="0"/>
          <w:numId w:val="1"/>
        </w:numPr>
        <w:spacing w:after="200"/>
      </w:pPr>
      <w:r>
        <w:rPr>
          <w:b/>
          <w:bCs/>
        </w:rPr>
        <w:t>They obscure portfolio-level capacity constraints.</w:t>
      </w:r>
      <w:r>
        <w:t xml:space="preserve"> Legal departments have finite capacity. Twenty complex contracts each consuming 200 hours of review time exhaust 4,000 hours regardless of whether those contracts are worth $500,000 or $50 million each. Percentage metrics hide this constraint because high-value contracts appear “low priority” despite consuming identical resources.</w:t>
      </w:r>
    </w:p>
    <w:p w14:paraId="14379B04" w14:textId="77777777" w:rsidR="002C3C51" w:rsidRDefault="002C3C51">
      <w:pPr>
        <w:pStyle w:val="ListParagraph"/>
        <w:numPr>
          <w:ilvl w:val="0"/>
          <w:numId w:val="1"/>
        </w:numPr>
        <w:spacing w:after="200"/>
      </w:pPr>
      <w:r>
        <w:rPr>
          <w:b/>
          <w:bCs/>
        </w:rPr>
        <w:t>They distort vendor negotiations.</w:t>
      </w:r>
      <w:r>
        <w:t xml:space="preserve"> When presenting complexity cost data to counterparties, absolute numbers resonate more effectively than percentages. “Your agreement costs us $87,000 to administer” is a concrete negotiation point. “Your agreement costs us 0.6% of value” invites dismissal.</w:t>
      </w:r>
    </w:p>
    <w:p w14:paraId="34429363" w14:textId="77777777" w:rsidR="002C3C51" w:rsidRDefault="002C3C51">
      <w:pPr>
        <w:pStyle w:val="Heading2"/>
      </w:pPr>
      <w:r>
        <w:t>When Percentage Metrics Add Value</w:t>
      </w:r>
    </w:p>
    <w:p w14:paraId="791D19DF" w14:textId="77777777" w:rsidR="002C3C51" w:rsidRDefault="002C3C51">
      <w:pPr>
        <w:spacing w:after="200"/>
      </w:pPr>
      <w:r>
        <w:lastRenderedPageBreak/>
        <w:t>Percentage metrics remain useful in specific contexts:</w:t>
      </w:r>
    </w:p>
    <w:p w14:paraId="6C768934" w14:textId="77777777" w:rsidR="002C3C51" w:rsidRDefault="002C3C51">
      <w:pPr>
        <w:pStyle w:val="ListParagraph"/>
        <w:numPr>
          <w:ilvl w:val="0"/>
          <w:numId w:val="1"/>
        </w:numPr>
        <w:spacing w:after="200"/>
      </w:pPr>
      <w:r>
        <w:rPr>
          <w:b/>
          <w:bCs/>
        </w:rPr>
        <w:t>Go/no-go decisions on small contracts.</w:t>
      </w:r>
      <w:r>
        <w:t xml:space="preserve"> When complexity costs approach or exceed contract value, the deal may not be economically rational. A $30,000 annual contract with $25,000 in annual complexity costs (83%) should trigger serious questions about whether the relationship makes sense.</w:t>
      </w:r>
    </w:p>
    <w:p w14:paraId="1A7A8036" w14:textId="77777777" w:rsidR="002C3C51" w:rsidRDefault="002C3C51">
      <w:pPr>
        <w:pStyle w:val="ListParagraph"/>
        <w:numPr>
          <w:ilvl w:val="0"/>
          <w:numId w:val="1"/>
        </w:numPr>
        <w:spacing w:after="200"/>
      </w:pPr>
      <w:r>
        <w:rPr>
          <w:b/>
          <w:bCs/>
        </w:rPr>
        <w:t>Comparing similar-sized contracts.</w:t>
      </w:r>
      <w:r>
        <w:t xml:space="preserve"> When evaluating two $500,000 contracts, percentages provide a useful shorthand for comparing relative complexity burden.</w:t>
      </w:r>
    </w:p>
    <w:p w14:paraId="689555E1" w14:textId="77777777" w:rsidR="002C3C51" w:rsidRDefault="002C3C51">
      <w:pPr>
        <w:pStyle w:val="ListParagraph"/>
        <w:numPr>
          <w:ilvl w:val="0"/>
          <w:numId w:val="1"/>
        </w:numPr>
        <w:spacing w:after="200"/>
      </w:pPr>
      <w:r>
        <w:rPr>
          <w:b/>
          <w:bCs/>
        </w:rPr>
        <w:t>Executive communication.</w:t>
      </w:r>
      <w:r>
        <w:t xml:space="preserve"> Executives often think in terms of margins and percentages. Translating absolute costs into percentage impact can help communicate significance to financial stakeholders—as long as the underlying absolute costs remain visible.</w:t>
      </w:r>
    </w:p>
    <w:p w14:paraId="440C96C5" w14:textId="77777777" w:rsidR="002C3C51" w:rsidRDefault="002C3C51">
      <w:pPr>
        <w:pStyle w:val="Heading2"/>
      </w:pPr>
      <w:r>
        <w:t>Recommended Approach: Absolute Primary, Percentage Secondary</w:t>
      </w:r>
    </w:p>
    <w:p w14:paraId="3200CAF9" w14:textId="77777777" w:rsidR="002C3C51" w:rsidRDefault="002C3C51">
      <w:pPr>
        <w:spacing w:after="200"/>
      </w:pPr>
      <w:r>
        <w:t>Best practice uses absolute complexity costs as the primary metric and percentage-of-value as a secondary indicator for context. Prioritization decisions should be based on absolute costs, not percentages. Portfolio-level capacity planning should aggregate absolute hours, not weighted percentages. Vendor negotiations should present absolute costs as the primary data point. Economic viability screening should use percentages to flag contracts where complexity costs approach or exceed deal value.</w:t>
      </w:r>
    </w:p>
    <w:p w14:paraId="63779044" w14:textId="77777777" w:rsidR="002C3C51" w:rsidRDefault="002C3C51">
      <w:pPr>
        <w:spacing w:after="200"/>
      </w:pPr>
      <w:r>
        <w:t>This approach ensures that complexity reduction efforts target the contracts consuming the most organizational resources, regardless of whether those contracts happen to be high-value or low-value.</w:t>
      </w:r>
    </w:p>
    <w:p w14:paraId="7CE66A6C" w14:textId="77777777" w:rsidR="004F1012" w:rsidRDefault="002C3C51">
      <w:pPr>
        <w:pStyle w:val="Heading1"/>
      </w:pPr>
      <w:r>
        <w:t>Pillar A: Language Complexity</w:t>
      </w:r>
    </w:p>
    <w:p w14:paraId="2E8DBCC1" w14:textId="0516C341" w:rsidR="004F1012" w:rsidRDefault="002C3C51">
      <w:pPr>
        <w:spacing w:after="200"/>
      </w:pPr>
      <w:r>
        <w:t xml:space="preserve">The most counterintuitive finding from </w:t>
      </w:r>
      <w:proofErr w:type="spellStart"/>
      <w:r w:rsidR="00E944B8">
        <w:t>xIQ</w:t>
      </w:r>
      <w:proofErr w:type="spellEnd"/>
      <w:r w:rsidR="002A70DC">
        <w:t xml:space="preserve"> </w:t>
      </w:r>
      <w:r>
        <w:t>analysis is that contract length matters far less than contract complexity. A long agreement written in plain language imposes substantially lower administrative costs than a short agreement written in dense legalese.</w:t>
      </w:r>
    </w:p>
    <w:p w14:paraId="0E8EF3FC" w14:textId="77777777" w:rsidR="004F1012" w:rsidRDefault="002C3C51">
      <w:pPr>
        <w:pStyle w:val="Heading2"/>
      </w:pPr>
      <w:r>
        <w:t>Length vs. Complexity: The Counterintuitive Finding</w:t>
      </w:r>
    </w:p>
    <w:p w14:paraId="1D32C30C" w14:textId="554D537A" w:rsidR="004F1012" w:rsidRDefault="002C3C51">
      <w:pPr>
        <w:spacing w:after="200"/>
      </w:pPr>
      <w:r>
        <w:t xml:space="preserve">Consider the comparison from </w:t>
      </w:r>
      <w:proofErr w:type="spellStart"/>
      <w:r w:rsidR="00E944B8">
        <w:t>xIQ</w:t>
      </w:r>
      <w:proofErr w:type="spellEnd"/>
      <w:r w:rsidR="002A70DC">
        <w:t xml:space="preserve"> </w:t>
      </w:r>
      <w:r>
        <w:t>case analysis: a 20-page agreement written at Flesch-Kincaid Grade 10.5 (plain English) generates approximately $60,000 in complexity costs over a typical three-year term. A 17-page agreement—three pages shorter—written at FK Grade 14.2 generates approximately $285,000 in complexity costs. The shorter, more complex contract costs 4.7 times more than the longer, simpler one.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1352"/>
        <w:gridCol w:w="1351"/>
        <w:gridCol w:w="1930"/>
        <w:gridCol w:w="2266"/>
      </w:tblGrid>
      <w:tr w:rsidR="009626BA" w14:paraId="65FF2B38" w14:textId="77777777">
        <w:trPr>
          <w:tblHeader/>
        </w:trPr>
        <w:tc>
          <w:tcPr>
            <w:tcW w:w="2200" w:type="dxa"/>
            <w:shd w:val="clear" w:color="auto" w:fill="D5E8F0"/>
          </w:tcPr>
          <w:p w14:paraId="3F715530" w14:textId="77777777" w:rsidR="004F1012" w:rsidRDefault="002C3C51">
            <w:pPr>
              <w:jc w:val="center"/>
            </w:pPr>
            <w:r>
              <w:rPr>
                <w:b/>
                <w:bCs/>
                <w:szCs w:val="22"/>
              </w:rPr>
              <w:lastRenderedPageBreak/>
              <w:t>Contract Type</w:t>
            </w:r>
          </w:p>
        </w:tc>
        <w:tc>
          <w:tcPr>
            <w:tcW w:w="1400" w:type="dxa"/>
            <w:shd w:val="clear" w:color="auto" w:fill="D5E8F0"/>
          </w:tcPr>
          <w:p w14:paraId="79DDE442" w14:textId="77777777" w:rsidR="004F1012" w:rsidRDefault="002C3C51">
            <w:pPr>
              <w:jc w:val="center"/>
            </w:pPr>
            <w:r>
              <w:rPr>
                <w:b/>
                <w:bCs/>
                <w:szCs w:val="22"/>
              </w:rPr>
              <w:t>Pages</w:t>
            </w:r>
          </w:p>
        </w:tc>
        <w:tc>
          <w:tcPr>
            <w:tcW w:w="1400" w:type="dxa"/>
            <w:shd w:val="clear" w:color="auto" w:fill="D5E8F0"/>
          </w:tcPr>
          <w:p w14:paraId="508A9F4D" w14:textId="77777777" w:rsidR="004F1012" w:rsidRDefault="002C3C51">
            <w:pPr>
              <w:jc w:val="center"/>
            </w:pPr>
            <w:r>
              <w:rPr>
                <w:b/>
                <w:bCs/>
                <w:szCs w:val="22"/>
              </w:rPr>
              <w:t>FK Grade</w:t>
            </w:r>
          </w:p>
        </w:tc>
        <w:tc>
          <w:tcPr>
            <w:tcW w:w="2000" w:type="dxa"/>
            <w:shd w:val="clear" w:color="auto" w:fill="D5E8F0"/>
          </w:tcPr>
          <w:p w14:paraId="710E3964" w14:textId="77777777" w:rsidR="004F1012" w:rsidRDefault="002C3C51">
            <w:pPr>
              <w:jc w:val="center"/>
            </w:pPr>
            <w:r>
              <w:rPr>
                <w:b/>
                <w:bCs/>
                <w:szCs w:val="22"/>
              </w:rPr>
              <w:t>Annual Cost</w:t>
            </w:r>
          </w:p>
        </w:tc>
        <w:tc>
          <w:tcPr>
            <w:tcW w:w="2360" w:type="dxa"/>
            <w:shd w:val="clear" w:color="auto" w:fill="D5E8F0"/>
          </w:tcPr>
          <w:p w14:paraId="49BCAB29" w14:textId="77777777" w:rsidR="004F1012" w:rsidRDefault="002C3C51">
            <w:pPr>
              <w:jc w:val="center"/>
            </w:pPr>
            <w:r>
              <w:rPr>
                <w:b/>
                <w:bCs/>
                <w:szCs w:val="22"/>
              </w:rPr>
              <w:t>3-Year Total</w:t>
            </w:r>
          </w:p>
        </w:tc>
      </w:tr>
      <w:tr w:rsidR="009626BA" w14:paraId="3728CB68" w14:textId="77777777">
        <w:tc>
          <w:tcPr>
            <w:tcW w:w="2200" w:type="dxa"/>
          </w:tcPr>
          <w:p w14:paraId="0929EFB2" w14:textId="77777777" w:rsidR="004F1012" w:rsidRDefault="002C3C51">
            <w:r>
              <w:rPr>
                <w:b/>
                <w:bCs/>
                <w:szCs w:val="22"/>
              </w:rPr>
              <w:t>Long but Simple</w:t>
            </w:r>
          </w:p>
        </w:tc>
        <w:tc>
          <w:tcPr>
            <w:tcW w:w="1400" w:type="dxa"/>
          </w:tcPr>
          <w:p w14:paraId="28DD25CE" w14:textId="77777777" w:rsidR="004F1012" w:rsidRDefault="002C3C51">
            <w:pPr>
              <w:jc w:val="center"/>
            </w:pPr>
            <w:r>
              <w:rPr>
                <w:szCs w:val="22"/>
              </w:rPr>
              <w:t>20</w:t>
            </w:r>
          </w:p>
        </w:tc>
        <w:tc>
          <w:tcPr>
            <w:tcW w:w="1400" w:type="dxa"/>
          </w:tcPr>
          <w:p w14:paraId="470014C5" w14:textId="77777777" w:rsidR="004F1012" w:rsidRDefault="002C3C51">
            <w:pPr>
              <w:jc w:val="center"/>
            </w:pPr>
            <w:r>
              <w:rPr>
                <w:szCs w:val="22"/>
              </w:rPr>
              <w:t>10.5</w:t>
            </w:r>
          </w:p>
        </w:tc>
        <w:tc>
          <w:tcPr>
            <w:tcW w:w="2000" w:type="dxa"/>
          </w:tcPr>
          <w:p w14:paraId="6929A799" w14:textId="77777777" w:rsidR="004F1012" w:rsidRDefault="002C3C51">
            <w:pPr>
              <w:jc w:val="center"/>
            </w:pPr>
            <w:r>
              <w:rPr>
                <w:szCs w:val="22"/>
              </w:rPr>
              <w:t>$18,000 annual</w:t>
            </w:r>
          </w:p>
        </w:tc>
        <w:tc>
          <w:tcPr>
            <w:tcW w:w="2360" w:type="dxa"/>
            <w:shd w:val="clear" w:color="auto" w:fill="D4EDDA"/>
          </w:tcPr>
          <w:p w14:paraId="7E0F9735" w14:textId="77777777" w:rsidR="004F1012" w:rsidRDefault="002C3C51">
            <w:pPr>
              <w:jc w:val="center"/>
            </w:pPr>
            <w:r>
              <w:rPr>
                <w:b/>
                <w:bCs/>
                <w:szCs w:val="22"/>
              </w:rPr>
              <w:t>$55,000 (3-year)</w:t>
            </w:r>
          </w:p>
        </w:tc>
      </w:tr>
      <w:tr w:rsidR="009626BA" w14:paraId="36FAD07E" w14:textId="77777777">
        <w:tc>
          <w:tcPr>
            <w:tcW w:w="2200" w:type="dxa"/>
          </w:tcPr>
          <w:p w14:paraId="33103810" w14:textId="77777777" w:rsidR="004F1012" w:rsidRDefault="002C3C51">
            <w:r>
              <w:rPr>
                <w:b/>
                <w:bCs/>
                <w:szCs w:val="22"/>
              </w:rPr>
              <w:t>Short but Complex</w:t>
            </w:r>
          </w:p>
        </w:tc>
        <w:tc>
          <w:tcPr>
            <w:tcW w:w="1400" w:type="dxa"/>
          </w:tcPr>
          <w:p w14:paraId="10438B24" w14:textId="77777777" w:rsidR="004F1012" w:rsidRDefault="002C3C51">
            <w:pPr>
              <w:jc w:val="center"/>
            </w:pPr>
            <w:r>
              <w:rPr>
                <w:szCs w:val="22"/>
              </w:rPr>
              <w:t>17</w:t>
            </w:r>
          </w:p>
        </w:tc>
        <w:tc>
          <w:tcPr>
            <w:tcW w:w="1400" w:type="dxa"/>
          </w:tcPr>
          <w:p w14:paraId="0A3DA8F1" w14:textId="77777777" w:rsidR="004F1012" w:rsidRDefault="002C3C51">
            <w:pPr>
              <w:jc w:val="center"/>
            </w:pPr>
            <w:r>
              <w:rPr>
                <w:szCs w:val="22"/>
              </w:rPr>
              <w:t>14.2</w:t>
            </w:r>
          </w:p>
        </w:tc>
        <w:tc>
          <w:tcPr>
            <w:tcW w:w="2000" w:type="dxa"/>
          </w:tcPr>
          <w:p w14:paraId="7A86D640" w14:textId="77777777" w:rsidR="004F1012" w:rsidRDefault="002C3C51">
            <w:pPr>
              <w:jc w:val="center"/>
            </w:pPr>
            <w:r>
              <w:rPr>
                <w:szCs w:val="22"/>
              </w:rPr>
              <w:t>$95,000 annual</w:t>
            </w:r>
          </w:p>
        </w:tc>
        <w:tc>
          <w:tcPr>
            <w:tcW w:w="2360" w:type="dxa"/>
            <w:shd w:val="clear" w:color="auto" w:fill="F8D7DA"/>
          </w:tcPr>
          <w:p w14:paraId="21D65801" w14:textId="77777777" w:rsidR="004F1012" w:rsidRDefault="002C3C51">
            <w:pPr>
              <w:jc w:val="center"/>
            </w:pPr>
            <w:r>
              <w:rPr>
                <w:b/>
                <w:bCs/>
                <w:szCs w:val="22"/>
              </w:rPr>
              <w:t>$285,000 (3-year)</w:t>
            </w:r>
          </w:p>
        </w:tc>
      </w:tr>
      <w:tr w:rsidR="009626BA" w14:paraId="060DB377" w14:textId="77777777">
        <w:tc>
          <w:tcPr>
            <w:tcW w:w="2200" w:type="dxa"/>
          </w:tcPr>
          <w:p w14:paraId="4F1D391B" w14:textId="77777777" w:rsidR="004F1012" w:rsidRDefault="002C3C51">
            <w:r>
              <w:rPr>
                <w:b/>
                <w:bCs/>
                <w:szCs w:val="22"/>
              </w:rPr>
              <w:t>Long and Complex</w:t>
            </w:r>
          </w:p>
        </w:tc>
        <w:tc>
          <w:tcPr>
            <w:tcW w:w="1400" w:type="dxa"/>
          </w:tcPr>
          <w:p w14:paraId="2F2497A7" w14:textId="77777777" w:rsidR="004F1012" w:rsidRDefault="002C3C51">
            <w:pPr>
              <w:jc w:val="center"/>
            </w:pPr>
            <w:r>
              <w:rPr>
                <w:szCs w:val="22"/>
              </w:rPr>
              <w:t>25</w:t>
            </w:r>
          </w:p>
        </w:tc>
        <w:tc>
          <w:tcPr>
            <w:tcW w:w="1400" w:type="dxa"/>
          </w:tcPr>
          <w:p w14:paraId="29DAA927" w14:textId="77777777" w:rsidR="004F1012" w:rsidRDefault="002C3C51">
            <w:pPr>
              <w:jc w:val="center"/>
            </w:pPr>
            <w:r>
              <w:rPr>
                <w:szCs w:val="22"/>
              </w:rPr>
              <w:t>15.0</w:t>
            </w:r>
          </w:p>
        </w:tc>
        <w:tc>
          <w:tcPr>
            <w:tcW w:w="2000" w:type="dxa"/>
          </w:tcPr>
          <w:p w14:paraId="4497FB95" w14:textId="77777777" w:rsidR="004F1012" w:rsidRDefault="002C3C51">
            <w:pPr>
              <w:jc w:val="center"/>
            </w:pPr>
            <w:r>
              <w:rPr>
                <w:szCs w:val="22"/>
              </w:rPr>
              <w:t>$135,000 annual</w:t>
            </w:r>
          </w:p>
        </w:tc>
        <w:tc>
          <w:tcPr>
            <w:tcW w:w="2360" w:type="dxa"/>
            <w:shd w:val="clear" w:color="auto" w:fill="F8D7DA"/>
          </w:tcPr>
          <w:p w14:paraId="159B68BC" w14:textId="77777777" w:rsidR="004F1012" w:rsidRDefault="002C3C51">
            <w:pPr>
              <w:jc w:val="center"/>
            </w:pPr>
            <w:r>
              <w:rPr>
                <w:b/>
                <w:bCs/>
                <w:szCs w:val="22"/>
              </w:rPr>
              <w:t>$405,000 (3-year)</w:t>
            </w:r>
          </w:p>
        </w:tc>
      </w:tr>
    </w:tbl>
    <w:p w14:paraId="56AA946D" w14:textId="77777777" w:rsidR="004F1012" w:rsidRDefault="002C3C51">
      <w:pPr>
        <w:spacing w:after="200"/>
      </w:pPr>
      <w:r>
        <w:rPr>
          <w:i/>
          <w:iCs/>
        </w:rPr>
        <w:t>Table 2.2: Language Complexity Drives Costs 4× More Than Length</w:t>
      </w:r>
    </w:p>
    <w:p w14:paraId="690CFC47" w14:textId="511BC454" w:rsidR="004F1012" w:rsidRDefault="002C3C51">
      <w:pPr>
        <w:spacing w:after="200"/>
      </w:pPr>
      <w:r>
        <w:t xml:space="preserve">This finding has profound implications for negotiation strategy. Organizations often accept complex language in exchange for shorter documents, believing they are reducing burden. The data reveals this trade to be economically irrational. A vendor offering a "streamlined" agreement that increases readability grade by 3-4 points is </w:t>
      </w:r>
      <w:r w:rsidR="00B711D6">
        <w:t>increasing</w:t>
      </w:r>
      <w:r>
        <w:t xml:space="preserve"> total contract cost, not reducing it.</w:t>
      </w:r>
    </w:p>
    <w:p w14:paraId="3237121A" w14:textId="77777777" w:rsidR="004F1012" w:rsidRDefault="002C3C51">
      <w:pPr>
        <w:pStyle w:val="Heading2"/>
      </w:pPr>
      <w:r>
        <w:t>The Flesch-Kincaid Framework</w:t>
      </w:r>
    </w:p>
    <w:p w14:paraId="05BE2EEA" w14:textId="3B647EC5" w:rsidR="004F1012" w:rsidRDefault="002C3C51">
      <w:pPr>
        <w:spacing w:after="200"/>
      </w:pPr>
      <w:r>
        <w:t>The Flesch-Kincaid Grade Level formula estimates the U.S. school grade level required to comprehend a text.</w:t>
      </w:r>
      <w:r>
        <w:rPr>
          <w:rStyle w:val="FootnoteReference"/>
        </w:rPr>
        <w:footnoteReference w:id="4"/>
      </w:r>
      <w:r>
        <w:t>A well-drafted commercial agreement should target Grade 12 or below, with Grade 8 (plain language) representing the optimal baseline for maximum accessibility. Many enterprise software agreements</w:t>
      </w:r>
      <w:r w:rsidR="00F461D3">
        <w:t xml:space="preserve"> </w:t>
      </w:r>
      <w:r>
        <w:t xml:space="preserve">score at Grade 16 or higher, </w:t>
      </w:r>
      <w:r w:rsidR="009E1104">
        <w:t>some even higher with scores above 24</w:t>
      </w:r>
      <w:r w:rsidR="009E1104">
        <w:rPr>
          <w:rStyle w:val="FootnoteReference"/>
        </w:rPr>
        <w:footnoteReference w:id="5"/>
      </w:r>
      <w:r w:rsidR="009E1104">
        <w:t xml:space="preserve">, </w:t>
      </w:r>
      <w:r>
        <w:t>requiring specialized legal interpretation for routine business decisions.</w:t>
      </w:r>
    </w:p>
    <w:p w14:paraId="6C1A74B6" w14:textId="77777777" w:rsidR="004F1012" w:rsidRDefault="002C3C51">
      <w:pPr>
        <w:pStyle w:val="Heading3"/>
      </w:pPr>
      <w:r>
        <w:t>The Continuous Complexity Formula</w:t>
      </w:r>
    </w:p>
    <w:p w14:paraId="4DFC62AD" w14:textId="67CA6108" w:rsidR="004F1012" w:rsidRDefault="00E944B8">
      <w:pPr>
        <w:spacing w:after="200"/>
      </w:pPr>
      <w:proofErr w:type="spellStart"/>
      <w:r>
        <w:t>xIQ</w:t>
      </w:r>
      <w:proofErr w:type="spellEnd"/>
      <w:r w:rsidR="002C3C51">
        <w:t xml:space="preserve"> analysis uses a </w:t>
      </w:r>
      <w:r w:rsidR="002C3C51">
        <w:rPr>
          <w:b/>
          <w:bCs/>
        </w:rPr>
        <w:t>continuous complexity formula</w:t>
      </w:r>
      <w:r w:rsidR="002C3C51">
        <w:t xml:space="preserve"> rather than discrete tiers. Each grade level above the Grade 8 baseline adds 7.5% to comprehension time and administrative burden:</w:t>
      </w:r>
    </w:p>
    <w:p w14:paraId="66626ABA" w14:textId="77777777" w:rsidR="004F1012" w:rsidRDefault="002C3C51">
      <w:pPr>
        <w:shd w:val="clear" w:color="auto" w:fill="F3F4F6"/>
        <w:spacing w:before="200" w:after="200"/>
        <w:jc w:val="center"/>
      </w:pPr>
      <w:r>
        <w:rPr>
          <w:b/>
          <w:bCs/>
        </w:rPr>
        <w:t xml:space="preserve">Complexity Multiplier = 1.0 + </w:t>
      </w:r>
      <w:proofErr w:type="gramStart"/>
      <w:r>
        <w:rPr>
          <w:b/>
          <w:bCs/>
        </w:rPr>
        <w:t>max(</w:t>
      </w:r>
      <w:proofErr w:type="gramEnd"/>
      <w:r>
        <w:rPr>
          <w:b/>
          <w:bCs/>
        </w:rPr>
        <w:t>0, (FK Grade − 8) × 0.075)</w:t>
      </w:r>
    </w:p>
    <w:p w14:paraId="68A54047" w14:textId="77777777" w:rsidR="004F1012" w:rsidRDefault="002C3C51">
      <w:pPr>
        <w:spacing w:after="200"/>
      </w:pPr>
      <w:r>
        <w:t>This formula creates a smooth progression: FK Grade 10 yields a 1.15× multiplier, Grade 12 yields 1.30×, Grade 14 yields 1.45×, and so forth. A cap of 2.5× prevents unrealistic projections for extremely complex documents.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2454"/>
        <w:gridCol w:w="2395"/>
        <w:gridCol w:w="2450"/>
      </w:tblGrid>
      <w:tr w:rsidR="009626BA" w14:paraId="024A0E22" w14:textId="77777777">
        <w:trPr>
          <w:tblHeader/>
        </w:trPr>
        <w:tc>
          <w:tcPr>
            <w:tcW w:w="1800" w:type="dxa"/>
            <w:shd w:val="clear" w:color="auto" w:fill="D5E8F0"/>
          </w:tcPr>
          <w:p w14:paraId="269FD469" w14:textId="77777777" w:rsidR="004F1012" w:rsidRDefault="002C3C51">
            <w:pPr>
              <w:jc w:val="center"/>
            </w:pPr>
            <w:r>
              <w:rPr>
                <w:b/>
                <w:bCs/>
                <w:szCs w:val="22"/>
              </w:rPr>
              <w:lastRenderedPageBreak/>
              <w:t>FK Grade</w:t>
            </w:r>
          </w:p>
        </w:tc>
        <w:tc>
          <w:tcPr>
            <w:tcW w:w="2500" w:type="dxa"/>
            <w:shd w:val="clear" w:color="auto" w:fill="D5E8F0"/>
          </w:tcPr>
          <w:p w14:paraId="5CA49A35" w14:textId="77777777" w:rsidR="004F1012" w:rsidRDefault="002C3C51">
            <w:pPr>
              <w:jc w:val="center"/>
            </w:pPr>
            <w:r>
              <w:rPr>
                <w:b/>
                <w:bCs/>
                <w:szCs w:val="22"/>
              </w:rPr>
              <w:t>Reading Level</w:t>
            </w:r>
          </w:p>
        </w:tc>
        <w:tc>
          <w:tcPr>
            <w:tcW w:w="2500" w:type="dxa"/>
            <w:shd w:val="clear" w:color="auto" w:fill="D5E8F0"/>
          </w:tcPr>
          <w:p w14:paraId="31BCC9D5" w14:textId="77777777" w:rsidR="004F1012" w:rsidRDefault="002C3C51">
            <w:pPr>
              <w:jc w:val="center"/>
            </w:pPr>
            <w:r>
              <w:rPr>
                <w:b/>
                <w:bCs/>
                <w:szCs w:val="22"/>
              </w:rPr>
              <w:t>Cost Multiplier</w:t>
            </w:r>
          </w:p>
        </w:tc>
        <w:tc>
          <w:tcPr>
            <w:tcW w:w="2560" w:type="dxa"/>
            <w:shd w:val="clear" w:color="auto" w:fill="D5E8F0"/>
          </w:tcPr>
          <w:p w14:paraId="3297BD68" w14:textId="77777777" w:rsidR="004F1012" w:rsidRDefault="002C3C51">
            <w:pPr>
              <w:jc w:val="center"/>
            </w:pPr>
            <w:r>
              <w:rPr>
                <w:b/>
                <w:bCs/>
                <w:szCs w:val="22"/>
              </w:rPr>
              <w:t>Status</w:t>
            </w:r>
          </w:p>
        </w:tc>
      </w:tr>
      <w:tr w:rsidR="009626BA" w14:paraId="279FF534" w14:textId="77777777">
        <w:tc>
          <w:tcPr>
            <w:tcW w:w="1800" w:type="dxa"/>
            <w:shd w:val="clear" w:color="auto" w:fill="D4EDDA"/>
          </w:tcPr>
          <w:p w14:paraId="6E0CEF89" w14:textId="77777777" w:rsidR="004F1012" w:rsidRDefault="002C3C51">
            <w:pPr>
              <w:jc w:val="center"/>
            </w:pPr>
            <w:r>
              <w:rPr>
                <w:b/>
                <w:bCs/>
                <w:szCs w:val="22"/>
              </w:rPr>
              <w:t>8</w:t>
            </w:r>
          </w:p>
        </w:tc>
        <w:tc>
          <w:tcPr>
            <w:tcW w:w="2500" w:type="dxa"/>
          </w:tcPr>
          <w:p w14:paraId="014E5C07" w14:textId="77777777" w:rsidR="004F1012" w:rsidRDefault="002C3C51">
            <w:r>
              <w:rPr>
                <w:szCs w:val="22"/>
              </w:rPr>
              <w:t>Plain Language</w:t>
            </w:r>
          </w:p>
        </w:tc>
        <w:tc>
          <w:tcPr>
            <w:tcW w:w="2500" w:type="dxa"/>
            <w:shd w:val="clear" w:color="auto" w:fill="D4EDDA"/>
          </w:tcPr>
          <w:p w14:paraId="362D2952" w14:textId="77777777" w:rsidR="004F1012" w:rsidRDefault="002C3C51">
            <w:pPr>
              <w:jc w:val="center"/>
            </w:pPr>
            <w:r>
              <w:rPr>
                <w:b/>
                <w:bCs/>
                <w:szCs w:val="22"/>
              </w:rPr>
              <w:t>1.00× (baseline)</w:t>
            </w:r>
          </w:p>
        </w:tc>
        <w:tc>
          <w:tcPr>
            <w:tcW w:w="2560" w:type="dxa"/>
          </w:tcPr>
          <w:p w14:paraId="7D971224" w14:textId="77777777" w:rsidR="004F1012" w:rsidRDefault="002C3C51">
            <w:pPr>
              <w:jc w:val="center"/>
            </w:pPr>
            <w:r>
              <w:rPr>
                <w:b/>
                <w:bCs/>
                <w:szCs w:val="22"/>
              </w:rPr>
              <w:t>Optimal</w:t>
            </w:r>
          </w:p>
        </w:tc>
      </w:tr>
      <w:tr w:rsidR="009626BA" w14:paraId="4FE88EE1" w14:textId="77777777">
        <w:tc>
          <w:tcPr>
            <w:tcW w:w="1800" w:type="dxa"/>
          </w:tcPr>
          <w:p w14:paraId="3E8E84C3" w14:textId="77777777" w:rsidR="004F1012" w:rsidRDefault="002C3C51">
            <w:pPr>
              <w:jc w:val="center"/>
            </w:pPr>
            <w:r>
              <w:rPr>
                <w:szCs w:val="22"/>
              </w:rPr>
              <w:t>10</w:t>
            </w:r>
          </w:p>
        </w:tc>
        <w:tc>
          <w:tcPr>
            <w:tcW w:w="2500" w:type="dxa"/>
          </w:tcPr>
          <w:p w14:paraId="7C880181" w14:textId="77777777" w:rsidR="004F1012" w:rsidRDefault="002C3C51">
            <w:r>
              <w:rPr>
                <w:szCs w:val="22"/>
              </w:rPr>
              <w:t>High School</w:t>
            </w:r>
          </w:p>
        </w:tc>
        <w:tc>
          <w:tcPr>
            <w:tcW w:w="2500" w:type="dxa"/>
          </w:tcPr>
          <w:p w14:paraId="08AEBBCF" w14:textId="77777777" w:rsidR="004F1012" w:rsidRDefault="002C3C51">
            <w:pPr>
              <w:jc w:val="center"/>
            </w:pPr>
            <w:r>
              <w:rPr>
                <w:szCs w:val="22"/>
              </w:rPr>
              <w:t>1.15×</w:t>
            </w:r>
          </w:p>
        </w:tc>
        <w:tc>
          <w:tcPr>
            <w:tcW w:w="2560" w:type="dxa"/>
          </w:tcPr>
          <w:p w14:paraId="3267B71D" w14:textId="77777777" w:rsidR="004F1012" w:rsidRDefault="002C3C51">
            <w:pPr>
              <w:jc w:val="center"/>
            </w:pPr>
            <w:r>
              <w:rPr>
                <w:szCs w:val="22"/>
              </w:rPr>
              <w:t>Good</w:t>
            </w:r>
          </w:p>
        </w:tc>
      </w:tr>
      <w:tr w:rsidR="009626BA" w14:paraId="53C297F5" w14:textId="77777777">
        <w:tc>
          <w:tcPr>
            <w:tcW w:w="1800" w:type="dxa"/>
            <w:shd w:val="clear" w:color="auto" w:fill="FFF3CD"/>
          </w:tcPr>
          <w:p w14:paraId="27BE222F" w14:textId="77777777" w:rsidR="004F1012" w:rsidRDefault="002C3C51">
            <w:pPr>
              <w:jc w:val="center"/>
            </w:pPr>
            <w:r>
              <w:rPr>
                <w:b/>
                <w:bCs/>
                <w:szCs w:val="22"/>
              </w:rPr>
              <w:t>12</w:t>
            </w:r>
          </w:p>
        </w:tc>
        <w:tc>
          <w:tcPr>
            <w:tcW w:w="2500" w:type="dxa"/>
          </w:tcPr>
          <w:p w14:paraId="443233C0" w14:textId="77777777" w:rsidR="004F1012" w:rsidRDefault="002C3C51">
            <w:r>
              <w:rPr>
                <w:szCs w:val="22"/>
              </w:rPr>
              <w:t>College Entry</w:t>
            </w:r>
          </w:p>
        </w:tc>
        <w:tc>
          <w:tcPr>
            <w:tcW w:w="2500" w:type="dxa"/>
            <w:shd w:val="clear" w:color="auto" w:fill="FFF3CD"/>
          </w:tcPr>
          <w:p w14:paraId="54F81BF3" w14:textId="77777777" w:rsidR="004F1012" w:rsidRDefault="002C3C51">
            <w:pPr>
              <w:jc w:val="center"/>
            </w:pPr>
            <w:r>
              <w:rPr>
                <w:b/>
                <w:bCs/>
                <w:szCs w:val="22"/>
              </w:rPr>
              <w:t>1.30×</w:t>
            </w:r>
          </w:p>
        </w:tc>
        <w:tc>
          <w:tcPr>
            <w:tcW w:w="2560" w:type="dxa"/>
          </w:tcPr>
          <w:p w14:paraId="4D5512E4" w14:textId="77777777" w:rsidR="004F1012" w:rsidRDefault="002C3C51">
            <w:pPr>
              <w:jc w:val="center"/>
            </w:pPr>
            <w:r>
              <w:rPr>
                <w:b/>
                <w:bCs/>
                <w:szCs w:val="22"/>
              </w:rPr>
              <w:t>Target Maximum</w:t>
            </w:r>
          </w:p>
        </w:tc>
      </w:tr>
      <w:tr w:rsidR="009626BA" w14:paraId="2C4B4F7A" w14:textId="77777777">
        <w:tc>
          <w:tcPr>
            <w:tcW w:w="1800" w:type="dxa"/>
          </w:tcPr>
          <w:p w14:paraId="6B4C77C1" w14:textId="77777777" w:rsidR="004F1012" w:rsidRDefault="002C3C51">
            <w:pPr>
              <w:jc w:val="center"/>
            </w:pPr>
            <w:r>
              <w:rPr>
                <w:szCs w:val="22"/>
              </w:rPr>
              <w:t>14</w:t>
            </w:r>
          </w:p>
        </w:tc>
        <w:tc>
          <w:tcPr>
            <w:tcW w:w="2500" w:type="dxa"/>
          </w:tcPr>
          <w:p w14:paraId="6F9B1A93" w14:textId="77777777" w:rsidR="004F1012" w:rsidRDefault="002C3C51">
            <w:r>
              <w:rPr>
                <w:szCs w:val="22"/>
              </w:rPr>
              <w:t>College Senior</w:t>
            </w:r>
          </w:p>
        </w:tc>
        <w:tc>
          <w:tcPr>
            <w:tcW w:w="2500" w:type="dxa"/>
          </w:tcPr>
          <w:p w14:paraId="2C577629" w14:textId="77777777" w:rsidR="004F1012" w:rsidRDefault="002C3C51">
            <w:pPr>
              <w:jc w:val="center"/>
            </w:pPr>
            <w:r>
              <w:rPr>
                <w:szCs w:val="22"/>
              </w:rPr>
              <w:t>1.45×</w:t>
            </w:r>
          </w:p>
        </w:tc>
        <w:tc>
          <w:tcPr>
            <w:tcW w:w="2560" w:type="dxa"/>
          </w:tcPr>
          <w:p w14:paraId="325CC701" w14:textId="77777777" w:rsidR="004F1012" w:rsidRDefault="002C3C51">
            <w:pPr>
              <w:jc w:val="center"/>
            </w:pPr>
            <w:r>
              <w:rPr>
                <w:szCs w:val="22"/>
              </w:rPr>
              <w:t>Elevated Risk</w:t>
            </w:r>
          </w:p>
        </w:tc>
      </w:tr>
      <w:tr w:rsidR="009626BA" w14:paraId="1A67A9D1" w14:textId="77777777">
        <w:tc>
          <w:tcPr>
            <w:tcW w:w="1800" w:type="dxa"/>
            <w:shd w:val="clear" w:color="auto" w:fill="F8D7DA"/>
          </w:tcPr>
          <w:p w14:paraId="6034B430" w14:textId="77777777" w:rsidR="004F1012" w:rsidRDefault="002C3C51">
            <w:pPr>
              <w:jc w:val="center"/>
            </w:pPr>
            <w:r>
              <w:rPr>
                <w:b/>
                <w:bCs/>
                <w:szCs w:val="22"/>
              </w:rPr>
              <w:t>16-18+</w:t>
            </w:r>
          </w:p>
        </w:tc>
        <w:tc>
          <w:tcPr>
            <w:tcW w:w="2500" w:type="dxa"/>
          </w:tcPr>
          <w:p w14:paraId="60F19078" w14:textId="77777777" w:rsidR="004F1012" w:rsidRDefault="002C3C51">
            <w:r>
              <w:rPr>
                <w:szCs w:val="22"/>
              </w:rPr>
              <w:t>Graduate/Complex</w:t>
            </w:r>
          </w:p>
        </w:tc>
        <w:tc>
          <w:tcPr>
            <w:tcW w:w="2500" w:type="dxa"/>
            <w:shd w:val="clear" w:color="auto" w:fill="F8D7DA"/>
          </w:tcPr>
          <w:p w14:paraId="2E402F2D" w14:textId="77777777" w:rsidR="004F1012" w:rsidRDefault="002C3C51">
            <w:pPr>
              <w:jc w:val="center"/>
            </w:pPr>
            <w:r>
              <w:rPr>
                <w:b/>
                <w:bCs/>
                <w:szCs w:val="22"/>
              </w:rPr>
              <w:t>1.60–1.75× (cap 2.5×)</w:t>
            </w:r>
          </w:p>
        </w:tc>
        <w:tc>
          <w:tcPr>
            <w:tcW w:w="2560" w:type="dxa"/>
          </w:tcPr>
          <w:p w14:paraId="6F5E942E" w14:textId="77777777" w:rsidR="004F1012" w:rsidRDefault="002C3C51">
            <w:pPr>
              <w:jc w:val="center"/>
            </w:pPr>
            <w:r>
              <w:rPr>
                <w:b/>
                <w:bCs/>
                <w:szCs w:val="22"/>
              </w:rPr>
              <w:t>High Risk</w:t>
            </w:r>
          </w:p>
        </w:tc>
      </w:tr>
    </w:tbl>
    <w:p w14:paraId="15EA6935" w14:textId="77777777" w:rsidR="004F1012" w:rsidRDefault="002C3C51">
      <w:pPr>
        <w:spacing w:after="200"/>
      </w:pPr>
      <w:r>
        <w:rPr>
          <w:i/>
          <w:iCs/>
        </w:rPr>
        <w:t>Table 2.3: Readability Impact on Administrative Cost (Grade 8 Baseline)</w:t>
      </w:r>
    </w:p>
    <w:p w14:paraId="5CD2C528" w14:textId="77777777" w:rsidR="004F1012" w:rsidRDefault="002C3C51">
      <w:pPr>
        <w:pStyle w:val="Heading2"/>
      </w:pPr>
      <w:r>
        <w:t>Contributing Factors to Language Complexity</w:t>
      </w:r>
    </w:p>
    <w:p w14:paraId="1CE2847F" w14:textId="77777777" w:rsidR="004F1012" w:rsidRDefault="002C3C51">
      <w:pPr>
        <w:spacing w:after="200"/>
      </w:pPr>
      <w:r>
        <w:t>Language complexity emerges from several measurable factors beyond raw readability scores:</w:t>
      </w:r>
    </w:p>
    <w:p w14:paraId="3901C45E" w14:textId="77777777" w:rsidR="004F1012" w:rsidRDefault="002C3C51">
      <w:pPr>
        <w:pStyle w:val="ListParagraph"/>
        <w:numPr>
          <w:ilvl w:val="0"/>
          <w:numId w:val="2"/>
        </w:numPr>
        <w:spacing w:after="80"/>
      </w:pPr>
      <w:r>
        <w:rPr>
          <w:b/>
          <w:bCs/>
        </w:rPr>
        <w:t xml:space="preserve">Sentence length: </w:t>
      </w:r>
      <w:r>
        <w:t>Optimal commercial contracts average 18-22 words per sentence. At 31+ words, comprehension drops sharply, requiring multiple re-reads.</w:t>
      </w:r>
    </w:p>
    <w:p w14:paraId="13D727E3" w14:textId="77777777" w:rsidR="004F1012" w:rsidRDefault="002C3C51">
      <w:pPr>
        <w:pStyle w:val="ListParagraph"/>
        <w:numPr>
          <w:ilvl w:val="0"/>
          <w:numId w:val="2"/>
        </w:numPr>
        <w:spacing w:after="80"/>
      </w:pPr>
      <w:r>
        <w:rPr>
          <w:b/>
          <w:bCs/>
        </w:rPr>
        <w:t xml:space="preserve">Passive voice: </w:t>
      </w:r>
      <w:r>
        <w:t>Best practice targets &lt;10% passive constructions. Agreements exceeding 30% obscure who bears obligations, creating ambiguity costs.</w:t>
      </w:r>
    </w:p>
    <w:p w14:paraId="4021EBDB" w14:textId="77777777" w:rsidR="004F1012" w:rsidRDefault="002C3C51">
      <w:pPr>
        <w:pStyle w:val="ListParagraph"/>
        <w:numPr>
          <w:ilvl w:val="0"/>
          <w:numId w:val="2"/>
        </w:numPr>
        <w:spacing w:after="80"/>
      </w:pPr>
      <w:r>
        <w:rPr>
          <w:b/>
          <w:bCs/>
        </w:rPr>
        <w:t xml:space="preserve">Complex vocabulary: </w:t>
      </w:r>
      <w:r>
        <w:t>Words with 3+ syllables should comprise &lt;15% of text. Higher ratios force dictionary lookups and specialist consultation.</w:t>
      </w:r>
    </w:p>
    <w:p w14:paraId="706219D5" w14:textId="77777777" w:rsidR="004F1012" w:rsidRDefault="002C3C51" w:rsidP="0090350F">
      <w:pPr>
        <w:pStyle w:val="ListParagraph"/>
        <w:numPr>
          <w:ilvl w:val="0"/>
          <w:numId w:val="2"/>
        </w:numPr>
        <w:spacing w:after="200"/>
      </w:pPr>
      <w:r>
        <w:rPr>
          <w:b/>
          <w:bCs/>
        </w:rPr>
        <w:t xml:space="preserve">ALL-CAPS usage: </w:t>
      </w:r>
      <w:r>
        <w:t>Reduces reading speed 10-15%. Agreements using &gt;15% all-caps text impose measurable comprehension penalties.</w:t>
      </w:r>
    </w:p>
    <w:p w14:paraId="7E85E215" w14:textId="77777777" w:rsidR="004F1012" w:rsidRDefault="002C3C51">
      <w:pPr>
        <w:pStyle w:val="Heading2"/>
      </w:pPr>
      <w:r>
        <w:t>The Reading Cost Model: Four Compounding Factors</w:t>
      </w:r>
    </w:p>
    <w:p w14:paraId="713F3A6F" w14:textId="77777777" w:rsidR="004F1012" w:rsidRDefault="002C3C51">
      <w:pPr>
        <w:spacing w:after="200"/>
      </w:pPr>
      <w:r>
        <w:t>Document complexity creates compounding effects across four dimensions. As grade level increases above the Grade 8 baseline, each factor moves in a direction that increases total review cost:</w:t>
      </w:r>
    </w:p>
    <w:p w14:paraId="21B1A970" w14:textId="77777777" w:rsidR="004F1012" w:rsidRDefault="002C3C51">
      <w:pPr>
        <w:pStyle w:val="ListParagraph"/>
        <w:numPr>
          <w:ilvl w:val="0"/>
          <w:numId w:val="3"/>
        </w:numPr>
        <w:spacing w:after="120"/>
      </w:pPr>
      <w:r>
        <w:rPr>
          <w:b/>
          <w:bCs/>
        </w:rPr>
        <w:t xml:space="preserve">Reading Speed Decreases: </w:t>
      </w:r>
      <w:r>
        <w:t>Complex text requires slower, more careful reading. Speed drops approximately 10% per grade level above baseline.</w:t>
      </w:r>
    </w:p>
    <w:p w14:paraId="37BE03EE" w14:textId="77777777" w:rsidR="004F1012" w:rsidRDefault="002C3C51">
      <w:pPr>
        <w:pStyle w:val="ListParagraph"/>
        <w:numPr>
          <w:ilvl w:val="0"/>
          <w:numId w:val="3"/>
        </w:numPr>
        <w:spacing w:after="120"/>
      </w:pPr>
      <w:r>
        <w:rPr>
          <w:b/>
          <w:bCs/>
        </w:rPr>
        <w:t xml:space="preserve">Review Cycles Increase: </w:t>
      </w:r>
      <w:r>
        <w:t>Complex documents require multiple review passes to ensure comprehension. Review cycles increase approximately 10% per grade level.</w:t>
      </w:r>
    </w:p>
    <w:p w14:paraId="0FA99DED" w14:textId="77777777" w:rsidR="004F1012" w:rsidRDefault="002C3C51">
      <w:pPr>
        <w:pStyle w:val="ListParagraph"/>
        <w:numPr>
          <w:ilvl w:val="0"/>
          <w:numId w:val="3"/>
        </w:numPr>
        <w:spacing w:after="120"/>
      </w:pPr>
      <w:r>
        <w:rPr>
          <w:b/>
          <w:bCs/>
        </w:rPr>
        <w:t xml:space="preserve">Reviewers Multiply: </w:t>
      </w:r>
      <w:r>
        <w:t>Complex agreements require more people to review—additional lawyers, subject matter experts, compliance officers. Reviewer count increases approximately 10% per grade level.</w:t>
      </w:r>
    </w:p>
    <w:p w14:paraId="791C461D" w14:textId="77777777" w:rsidR="004F1012" w:rsidRDefault="002C3C51">
      <w:pPr>
        <w:pStyle w:val="ListParagraph"/>
        <w:numPr>
          <w:ilvl w:val="0"/>
          <w:numId w:val="3"/>
        </w:numPr>
        <w:spacing w:after="200"/>
      </w:pPr>
      <w:proofErr w:type="spellStart"/>
      <w:r>
        <w:rPr>
          <w:b/>
          <w:bCs/>
        </w:rPr>
        <w:lastRenderedPageBreak/>
        <w:t>Payscale</w:t>
      </w:r>
      <w:proofErr w:type="spellEnd"/>
      <w:r>
        <w:rPr>
          <w:b/>
          <w:bCs/>
        </w:rPr>
        <w:t xml:space="preserve"> Escalates: </w:t>
      </w:r>
      <w:r>
        <w:t>More complex documents require more senior (and expensive) reviewers. Effective hourly rate increases approximately 10% per grade level.</w:t>
      </w:r>
    </w:p>
    <w:p w14:paraId="4CBACF81" w14:textId="77777777" w:rsidR="004F1012" w:rsidRDefault="002C3C51">
      <w:pPr>
        <w:pStyle w:val="Heading3"/>
      </w:pPr>
      <w:r>
        <w:t>The Compounding Formula</w:t>
      </w:r>
    </w:p>
    <w:p w14:paraId="35B76334" w14:textId="77777777" w:rsidR="004F1012" w:rsidRDefault="002C3C51">
      <w:pPr>
        <w:shd w:val="clear" w:color="auto" w:fill="F3F4F6"/>
        <w:spacing w:before="200" w:after="200"/>
        <w:jc w:val="center"/>
      </w:pPr>
      <w:r>
        <w:rPr>
          <w:b/>
          <w:bCs/>
        </w:rPr>
        <w:t xml:space="preserve">Total Reading Cost = Time × Reviews × Reviewers × </w:t>
      </w:r>
      <w:proofErr w:type="spellStart"/>
      <w:r>
        <w:rPr>
          <w:b/>
          <w:bCs/>
        </w:rPr>
        <w:t>Payscale</w:t>
      </w:r>
      <w:proofErr w:type="spellEnd"/>
    </w:p>
    <w:p w14:paraId="5765857A" w14:textId="77777777" w:rsidR="004F1012" w:rsidRDefault="002C3C51">
      <w:pPr>
        <w:spacing w:after="200"/>
      </w:pPr>
      <w:r>
        <w:t>Each factor scales with complexity. The mathematical formulas:</w:t>
      </w:r>
    </w:p>
    <w:p w14:paraId="6CBE6D03" w14:textId="77777777" w:rsidR="004F1012" w:rsidRDefault="002C3C51">
      <w:pPr>
        <w:spacing w:after="100"/>
        <w:ind w:left="720"/>
      </w:pPr>
      <w:proofErr w:type="spellStart"/>
      <w:r>
        <w:rPr>
          <w:szCs w:val="22"/>
        </w:rPr>
        <w:t>adjustedWPM</w:t>
      </w:r>
      <w:proofErr w:type="spellEnd"/>
      <w:r>
        <w:rPr>
          <w:szCs w:val="22"/>
        </w:rPr>
        <w:t xml:space="preserve"> = </w:t>
      </w:r>
      <w:proofErr w:type="spellStart"/>
      <w:r>
        <w:rPr>
          <w:szCs w:val="22"/>
        </w:rPr>
        <w:t>baseWPM</w:t>
      </w:r>
      <w:proofErr w:type="spellEnd"/>
      <w:r>
        <w:rPr>
          <w:szCs w:val="22"/>
        </w:rPr>
        <w:t xml:space="preserve"> × (1 − </w:t>
      </w:r>
      <w:proofErr w:type="spellStart"/>
      <w:r>
        <w:rPr>
          <w:szCs w:val="22"/>
        </w:rPr>
        <w:t>speedDecrease</w:t>
      </w:r>
      <w:proofErr w:type="spellEnd"/>
      <w:r>
        <w:rPr>
          <w:szCs w:val="22"/>
        </w:rPr>
        <w:t>/</w:t>
      </w:r>
      <w:proofErr w:type="gramStart"/>
      <w:r>
        <w:rPr>
          <w:szCs w:val="22"/>
        </w:rPr>
        <w:t>100)^</w:t>
      </w:r>
      <w:proofErr w:type="spellStart"/>
      <w:proofErr w:type="gramEnd"/>
      <w:r>
        <w:rPr>
          <w:szCs w:val="22"/>
        </w:rPr>
        <w:t>gradesAboveBase</w:t>
      </w:r>
      <w:proofErr w:type="spellEnd"/>
    </w:p>
    <w:p w14:paraId="6069082B" w14:textId="77777777" w:rsidR="004F1012" w:rsidRDefault="002C3C51">
      <w:pPr>
        <w:spacing w:after="100"/>
        <w:ind w:left="720"/>
      </w:pPr>
      <w:proofErr w:type="spellStart"/>
      <w:r>
        <w:rPr>
          <w:szCs w:val="22"/>
        </w:rPr>
        <w:t>readingTime</w:t>
      </w:r>
      <w:proofErr w:type="spellEnd"/>
      <w:r>
        <w:rPr>
          <w:szCs w:val="22"/>
        </w:rPr>
        <w:t xml:space="preserve"> = </w:t>
      </w:r>
      <w:proofErr w:type="spellStart"/>
      <w:r>
        <w:rPr>
          <w:szCs w:val="22"/>
        </w:rPr>
        <w:t>wordCount</w:t>
      </w:r>
      <w:proofErr w:type="spellEnd"/>
      <w:r>
        <w:rPr>
          <w:szCs w:val="22"/>
        </w:rPr>
        <w:t xml:space="preserve"> / (</w:t>
      </w:r>
      <w:proofErr w:type="spellStart"/>
      <w:r>
        <w:rPr>
          <w:szCs w:val="22"/>
        </w:rPr>
        <w:t>adjustedWPM</w:t>
      </w:r>
      <w:proofErr w:type="spellEnd"/>
      <w:r>
        <w:rPr>
          <w:szCs w:val="22"/>
        </w:rPr>
        <w:t xml:space="preserve"> × 60)</w:t>
      </w:r>
    </w:p>
    <w:p w14:paraId="386B5208" w14:textId="77777777" w:rsidR="004F1012" w:rsidRDefault="002C3C51">
      <w:pPr>
        <w:spacing w:after="100"/>
        <w:ind w:left="720"/>
      </w:pPr>
      <w:proofErr w:type="spellStart"/>
      <w:r>
        <w:rPr>
          <w:szCs w:val="22"/>
        </w:rPr>
        <w:t>numReviews</w:t>
      </w:r>
      <w:proofErr w:type="spellEnd"/>
      <w:r>
        <w:rPr>
          <w:szCs w:val="22"/>
        </w:rPr>
        <w:t xml:space="preserve"> = 1.0 × (1 + </w:t>
      </w:r>
      <w:proofErr w:type="spellStart"/>
      <w:r>
        <w:rPr>
          <w:szCs w:val="22"/>
        </w:rPr>
        <w:t>reviewsIncrease</w:t>
      </w:r>
      <w:proofErr w:type="spellEnd"/>
      <w:r>
        <w:rPr>
          <w:szCs w:val="22"/>
        </w:rPr>
        <w:t>/</w:t>
      </w:r>
      <w:proofErr w:type="gramStart"/>
      <w:r>
        <w:rPr>
          <w:szCs w:val="22"/>
        </w:rPr>
        <w:t>100)^</w:t>
      </w:r>
      <w:proofErr w:type="spellStart"/>
      <w:proofErr w:type="gramEnd"/>
      <w:r>
        <w:rPr>
          <w:szCs w:val="22"/>
        </w:rPr>
        <w:t>gradesAboveBase</w:t>
      </w:r>
      <w:proofErr w:type="spellEnd"/>
    </w:p>
    <w:p w14:paraId="0836D2C7" w14:textId="77777777" w:rsidR="004F1012" w:rsidRDefault="002C3C51">
      <w:pPr>
        <w:spacing w:after="100"/>
        <w:ind w:left="720"/>
      </w:pPr>
      <w:proofErr w:type="spellStart"/>
      <w:r>
        <w:rPr>
          <w:szCs w:val="22"/>
        </w:rPr>
        <w:t>numReviewers</w:t>
      </w:r>
      <w:proofErr w:type="spellEnd"/>
      <w:r>
        <w:rPr>
          <w:szCs w:val="22"/>
        </w:rPr>
        <w:t xml:space="preserve"> = 1.0 × (1 + </w:t>
      </w:r>
      <w:proofErr w:type="spellStart"/>
      <w:r>
        <w:rPr>
          <w:szCs w:val="22"/>
        </w:rPr>
        <w:t>reviewersIncrease</w:t>
      </w:r>
      <w:proofErr w:type="spellEnd"/>
      <w:r>
        <w:rPr>
          <w:szCs w:val="22"/>
        </w:rPr>
        <w:t>/</w:t>
      </w:r>
      <w:proofErr w:type="gramStart"/>
      <w:r>
        <w:rPr>
          <w:szCs w:val="22"/>
        </w:rPr>
        <w:t>100)^</w:t>
      </w:r>
      <w:proofErr w:type="spellStart"/>
      <w:proofErr w:type="gramEnd"/>
      <w:r>
        <w:rPr>
          <w:szCs w:val="22"/>
        </w:rPr>
        <w:t>gradesAboveBase</w:t>
      </w:r>
      <w:proofErr w:type="spellEnd"/>
    </w:p>
    <w:p w14:paraId="3A40D5EA" w14:textId="77777777" w:rsidR="004F1012" w:rsidRDefault="002C3C51">
      <w:pPr>
        <w:spacing w:after="200"/>
        <w:ind w:left="720"/>
      </w:pPr>
      <w:proofErr w:type="spellStart"/>
      <w:r>
        <w:rPr>
          <w:szCs w:val="22"/>
        </w:rPr>
        <w:t>adjustedPayscale</w:t>
      </w:r>
      <w:proofErr w:type="spellEnd"/>
      <w:r>
        <w:rPr>
          <w:szCs w:val="22"/>
        </w:rPr>
        <w:t xml:space="preserve"> = </w:t>
      </w:r>
      <w:proofErr w:type="spellStart"/>
      <w:r>
        <w:rPr>
          <w:szCs w:val="22"/>
        </w:rPr>
        <w:t>basePayrate</w:t>
      </w:r>
      <w:proofErr w:type="spellEnd"/>
      <w:r>
        <w:rPr>
          <w:szCs w:val="22"/>
        </w:rPr>
        <w:t xml:space="preserve"> × (1 + </w:t>
      </w:r>
      <w:proofErr w:type="spellStart"/>
      <w:r>
        <w:rPr>
          <w:szCs w:val="22"/>
        </w:rPr>
        <w:t>payrateIncrease</w:t>
      </w:r>
      <w:proofErr w:type="spellEnd"/>
      <w:r>
        <w:rPr>
          <w:szCs w:val="22"/>
        </w:rPr>
        <w:t>/</w:t>
      </w:r>
      <w:proofErr w:type="gramStart"/>
      <w:r>
        <w:rPr>
          <w:szCs w:val="22"/>
        </w:rPr>
        <w:t>100)^</w:t>
      </w:r>
      <w:proofErr w:type="spellStart"/>
      <w:proofErr w:type="gramEnd"/>
      <w:r>
        <w:rPr>
          <w:szCs w:val="22"/>
        </w:rPr>
        <w:t>gradesAboveBase</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2120"/>
        <w:gridCol w:w="2120"/>
        <w:gridCol w:w="2083"/>
      </w:tblGrid>
      <w:tr w:rsidR="009626BA" w14:paraId="519868B6" w14:textId="77777777">
        <w:trPr>
          <w:tblHeader/>
        </w:trPr>
        <w:tc>
          <w:tcPr>
            <w:tcW w:w="2800" w:type="dxa"/>
            <w:shd w:val="clear" w:color="auto" w:fill="D5E8F0"/>
          </w:tcPr>
          <w:p w14:paraId="645B3FA2" w14:textId="77777777" w:rsidR="004F1012" w:rsidRDefault="002C3C51">
            <w:pPr>
              <w:jc w:val="center"/>
            </w:pPr>
            <w:r>
              <w:rPr>
                <w:b/>
                <w:bCs/>
                <w:szCs w:val="22"/>
              </w:rPr>
              <w:t>Factor</w:t>
            </w:r>
          </w:p>
        </w:tc>
        <w:tc>
          <w:tcPr>
            <w:tcW w:w="2200" w:type="dxa"/>
            <w:shd w:val="clear" w:color="auto" w:fill="D5E8F0"/>
          </w:tcPr>
          <w:p w14:paraId="1BA50A96" w14:textId="77777777" w:rsidR="004F1012" w:rsidRDefault="002C3C51">
            <w:pPr>
              <w:jc w:val="center"/>
            </w:pPr>
            <w:r>
              <w:rPr>
                <w:b/>
                <w:bCs/>
                <w:szCs w:val="22"/>
              </w:rPr>
              <w:t>Grade 8 (Base)</w:t>
            </w:r>
          </w:p>
        </w:tc>
        <w:tc>
          <w:tcPr>
            <w:tcW w:w="2200" w:type="dxa"/>
            <w:shd w:val="clear" w:color="auto" w:fill="D5E8F0"/>
          </w:tcPr>
          <w:p w14:paraId="2593E314" w14:textId="77777777" w:rsidR="004F1012" w:rsidRDefault="002C3C51">
            <w:pPr>
              <w:jc w:val="center"/>
            </w:pPr>
            <w:r>
              <w:rPr>
                <w:b/>
                <w:bCs/>
                <w:szCs w:val="22"/>
              </w:rPr>
              <w:t>Grade 14</w:t>
            </w:r>
          </w:p>
        </w:tc>
        <w:tc>
          <w:tcPr>
            <w:tcW w:w="2160" w:type="dxa"/>
            <w:shd w:val="clear" w:color="auto" w:fill="D5E8F0"/>
          </w:tcPr>
          <w:p w14:paraId="357B2DCA" w14:textId="77777777" w:rsidR="004F1012" w:rsidRDefault="002C3C51">
            <w:pPr>
              <w:jc w:val="center"/>
            </w:pPr>
            <w:r>
              <w:rPr>
                <w:b/>
                <w:bCs/>
                <w:szCs w:val="22"/>
              </w:rPr>
              <w:t>Grade 18</w:t>
            </w:r>
          </w:p>
        </w:tc>
      </w:tr>
      <w:tr w:rsidR="009626BA" w14:paraId="04DB0425" w14:textId="77777777">
        <w:tc>
          <w:tcPr>
            <w:tcW w:w="2800" w:type="dxa"/>
          </w:tcPr>
          <w:p w14:paraId="5EF5EF26" w14:textId="77777777" w:rsidR="004F1012" w:rsidRDefault="002C3C51">
            <w:r>
              <w:rPr>
                <w:szCs w:val="22"/>
              </w:rPr>
              <w:t>Reading Speed</w:t>
            </w:r>
          </w:p>
        </w:tc>
        <w:tc>
          <w:tcPr>
            <w:tcW w:w="2200" w:type="dxa"/>
          </w:tcPr>
          <w:p w14:paraId="1BE46743" w14:textId="77777777" w:rsidR="004F1012" w:rsidRDefault="002C3C51">
            <w:pPr>
              <w:jc w:val="center"/>
            </w:pPr>
            <w:r>
              <w:rPr>
                <w:szCs w:val="22"/>
              </w:rPr>
              <w:t>250 WPM</w:t>
            </w:r>
          </w:p>
        </w:tc>
        <w:tc>
          <w:tcPr>
            <w:tcW w:w="2200" w:type="dxa"/>
          </w:tcPr>
          <w:p w14:paraId="245A42BE" w14:textId="77777777" w:rsidR="004F1012" w:rsidRDefault="002C3C51">
            <w:pPr>
              <w:jc w:val="center"/>
            </w:pPr>
            <w:r>
              <w:rPr>
                <w:szCs w:val="22"/>
              </w:rPr>
              <w:t>140 WPM</w:t>
            </w:r>
          </w:p>
        </w:tc>
        <w:tc>
          <w:tcPr>
            <w:tcW w:w="2160" w:type="dxa"/>
          </w:tcPr>
          <w:p w14:paraId="35BF3EDA" w14:textId="77777777" w:rsidR="004F1012" w:rsidRDefault="002C3C51">
            <w:pPr>
              <w:jc w:val="center"/>
            </w:pPr>
            <w:r>
              <w:rPr>
                <w:szCs w:val="22"/>
              </w:rPr>
              <w:t>87 WPM</w:t>
            </w:r>
          </w:p>
        </w:tc>
      </w:tr>
      <w:tr w:rsidR="009626BA" w14:paraId="7C9DBCF1" w14:textId="77777777">
        <w:tc>
          <w:tcPr>
            <w:tcW w:w="2800" w:type="dxa"/>
          </w:tcPr>
          <w:p w14:paraId="613AB5D6" w14:textId="77777777" w:rsidR="004F1012" w:rsidRDefault="002C3C51">
            <w:r>
              <w:rPr>
                <w:szCs w:val="22"/>
              </w:rPr>
              <w:t>Review Passes</w:t>
            </w:r>
          </w:p>
        </w:tc>
        <w:tc>
          <w:tcPr>
            <w:tcW w:w="2200" w:type="dxa"/>
          </w:tcPr>
          <w:p w14:paraId="245ECE00" w14:textId="77777777" w:rsidR="004F1012" w:rsidRDefault="002C3C51">
            <w:pPr>
              <w:jc w:val="center"/>
            </w:pPr>
            <w:r>
              <w:rPr>
                <w:szCs w:val="22"/>
              </w:rPr>
              <w:t>1.0×</w:t>
            </w:r>
          </w:p>
        </w:tc>
        <w:tc>
          <w:tcPr>
            <w:tcW w:w="2200" w:type="dxa"/>
          </w:tcPr>
          <w:p w14:paraId="6411A81F" w14:textId="77777777" w:rsidR="004F1012" w:rsidRDefault="002C3C51">
            <w:pPr>
              <w:jc w:val="center"/>
            </w:pPr>
            <w:r>
              <w:rPr>
                <w:szCs w:val="22"/>
              </w:rPr>
              <w:t>1.77×</w:t>
            </w:r>
          </w:p>
        </w:tc>
        <w:tc>
          <w:tcPr>
            <w:tcW w:w="2160" w:type="dxa"/>
          </w:tcPr>
          <w:p w14:paraId="146B8A1A" w14:textId="77777777" w:rsidR="004F1012" w:rsidRDefault="002C3C51">
            <w:pPr>
              <w:jc w:val="center"/>
            </w:pPr>
            <w:r>
              <w:rPr>
                <w:szCs w:val="22"/>
              </w:rPr>
              <w:t>2.59×</w:t>
            </w:r>
          </w:p>
        </w:tc>
      </w:tr>
      <w:tr w:rsidR="009626BA" w14:paraId="2F24B03E" w14:textId="77777777">
        <w:tc>
          <w:tcPr>
            <w:tcW w:w="2800" w:type="dxa"/>
          </w:tcPr>
          <w:p w14:paraId="4A665DEA" w14:textId="77777777" w:rsidR="004F1012" w:rsidRDefault="002C3C51">
            <w:r>
              <w:rPr>
                <w:szCs w:val="22"/>
              </w:rPr>
              <w:t>Number of Reviewers</w:t>
            </w:r>
          </w:p>
        </w:tc>
        <w:tc>
          <w:tcPr>
            <w:tcW w:w="2200" w:type="dxa"/>
          </w:tcPr>
          <w:p w14:paraId="542DB74B" w14:textId="77777777" w:rsidR="004F1012" w:rsidRDefault="002C3C51">
            <w:pPr>
              <w:jc w:val="center"/>
            </w:pPr>
            <w:r>
              <w:rPr>
                <w:szCs w:val="22"/>
              </w:rPr>
              <w:t>1.0</w:t>
            </w:r>
          </w:p>
        </w:tc>
        <w:tc>
          <w:tcPr>
            <w:tcW w:w="2200" w:type="dxa"/>
          </w:tcPr>
          <w:p w14:paraId="78DD978D" w14:textId="77777777" w:rsidR="004F1012" w:rsidRDefault="002C3C51">
            <w:pPr>
              <w:jc w:val="center"/>
            </w:pPr>
            <w:r>
              <w:rPr>
                <w:szCs w:val="22"/>
              </w:rPr>
              <w:t>1.77</w:t>
            </w:r>
          </w:p>
        </w:tc>
        <w:tc>
          <w:tcPr>
            <w:tcW w:w="2160" w:type="dxa"/>
          </w:tcPr>
          <w:p w14:paraId="680BFE39" w14:textId="77777777" w:rsidR="004F1012" w:rsidRDefault="002C3C51">
            <w:pPr>
              <w:jc w:val="center"/>
            </w:pPr>
            <w:r>
              <w:rPr>
                <w:szCs w:val="22"/>
              </w:rPr>
              <w:t>2.59</w:t>
            </w:r>
          </w:p>
        </w:tc>
      </w:tr>
      <w:tr w:rsidR="009626BA" w14:paraId="65108581" w14:textId="77777777">
        <w:tc>
          <w:tcPr>
            <w:tcW w:w="2800" w:type="dxa"/>
          </w:tcPr>
          <w:p w14:paraId="2D8A04B4" w14:textId="77777777" w:rsidR="004F1012" w:rsidRDefault="002C3C51">
            <w:r>
              <w:rPr>
                <w:szCs w:val="22"/>
              </w:rPr>
              <w:t>Effective Hourly Rate</w:t>
            </w:r>
          </w:p>
        </w:tc>
        <w:tc>
          <w:tcPr>
            <w:tcW w:w="2200" w:type="dxa"/>
          </w:tcPr>
          <w:p w14:paraId="22E3407D" w14:textId="3147B48A" w:rsidR="004F1012" w:rsidRDefault="002C3C51">
            <w:pPr>
              <w:jc w:val="center"/>
            </w:pPr>
            <w:r>
              <w:rPr>
                <w:szCs w:val="22"/>
              </w:rPr>
              <w:t>1.0x base</w:t>
            </w:r>
            <w:r w:rsidR="00B711D6">
              <w:rPr>
                <w:szCs w:val="22"/>
              </w:rPr>
              <w:t xml:space="preserve"> </w:t>
            </w:r>
            <w:proofErr w:type="spellStart"/>
            <w:r>
              <w:rPr>
                <w:szCs w:val="22"/>
              </w:rPr>
              <w:t>hr</w:t>
            </w:r>
            <w:proofErr w:type="spellEnd"/>
          </w:p>
        </w:tc>
        <w:tc>
          <w:tcPr>
            <w:tcW w:w="2200" w:type="dxa"/>
          </w:tcPr>
          <w:p w14:paraId="032DBFC0" w14:textId="485F352D" w:rsidR="004F1012" w:rsidRDefault="002C3C51">
            <w:pPr>
              <w:jc w:val="center"/>
            </w:pPr>
            <w:r>
              <w:rPr>
                <w:szCs w:val="22"/>
              </w:rPr>
              <w:t>1.8x base</w:t>
            </w:r>
            <w:r w:rsidR="00B711D6">
              <w:rPr>
                <w:szCs w:val="22"/>
              </w:rPr>
              <w:t xml:space="preserve"> </w:t>
            </w:r>
            <w:proofErr w:type="spellStart"/>
            <w:r>
              <w:rPr>
                <w:szCs w:val="22"/>
              </w:rPr>
              <w:t>hr</w:t>
            </w:r>
            <w:proofErr w:type="spellEnd"/>
          </w:p>
        </w:tc>
        <w:tc>
          <w:tcPr>
            <w:tcW w:w="2160" w:type="dxa"/>
          </w:tcPr>
          <w:p w14:paraId="0D21CF0B" w14:textId="0787D1B3" w:rsidR="004F1012" w:rsidRDefault="002C3C51">
            <w:pPr>
              <w:jc w:val="center"/>
            </w:pPr>
            <w:r>
              <w:rPr>
                <w:szCs w:val="22"/>
              </w:rPr>
              <w:t>2.6x base</w:t>
            </w:r>
            <w:r w:rsidR="00B711D6">
              <w:rPr>
                <w:szCs w:val="22"/>
              </w:rPr>
              <w:t xml:space="preserve"> </w:t>
            </w:r>
            <w:proofErr w:type="spellStart"/>
            <w:r>
              <w:rPr>
                <w:szCs w:val="22"/>
              </w:rPr>
              <w:t>hr</w:t>
            </w:r>
            <w:proofErr w:type="spellEnd"/>
          </w:p>
        </w:tc>
      </w:tr>
      <w:tr w:rsidR="009626BA" w14:paraId="1BC01C03" w14:textId="77777777">
        <w:tc>
          <w:tcPr>
            <w:tcW w:w="2800" w:type="dxa"/>
          </w:tcPr>
          <w:p w14:paraId="45DE92A6" w14:textId="77777777" w:rsidR="004F1012" w:rsidRDefault="002C3C51">
            <w:r>
              <w:rPr>
                <w:b/>
                <w:bCs/>
                <w:szCs w:val="22"/>
              </w:rPr>
              <w:t>Cost per 1,000 Words</w:t>
            </w:r>
          </w:p>
        </w:tc>
        <w:tc>
          <w:tcPr>
            <w:tcW w:w="2200" w:type="dxa"/>
            <w:shd w:val="clear" w:color="auto" w:fill="D4EDDA"/>
          </w:tcPr>
          <w:p w14:paraId="06ACD156" w14:textId="77777777" w:rsidR="004F1012" w:rsidRDefault="002C3C51">
            <w:pPr>
              <w:jc w:val="center"/>
            </w:pPr>
            <w:r>
              <w:rPr>
                <w:b/>
                <w:bCs/>
                <w:szCs w:val="22"/>
              </w:rPr>
              <w:t>1.0x baseline</w:t>
            </w:r>
          </w:p>
        </w:tc>
        <w:tc>
          <w:tcPr>
            <w:tcW w:w="2200" w:type="dxa"/>
            <w:shd w:val="clear" w:color="auto" w:fill="FFF3CD"/>
          </w:tcPr>
          <w:p w14:paraId="2EE77A5A" w14:textId="77777777" w:rsidR="004F1012" w:rsidRDefault="002C3C51">
            <w:pPr>
              <w:jc w:val="center"/>
            </w:pPr>
            <w:r>
              <w:rPr>
                <w:b/>
                <w:bCs/>
                <w:szCs w:val="22"/>
              </w:rPr>
              <w:t>4.7x baseline</w:t>
            </w:r>
          </w:p>
        </w:tc>
        <w:tc>
          <w:tcPr>
            <w:tcW w:w="2160" w:type="dxa"/>
            <w:shd w:val="clear" w:color="auto" w:fill="F8D7DA"/>
          </w:tcPr>
          <w:p w14:paraId="014DABAF" w14:textId="77777777" w:rsidR="004F1012" w:rsidRDefault="002C3C51">
            <w:pPr>
              <w:jc w:val="center"/>
            </w:pPr>
            <w:r>
              <w:rPr>
                <w:b/>
                <w:bCs/>
                <w:szCs w:val="22"/>
              </w:rPr>
              <w:t>~50x baseline</w:t>
            </w:r>
          </w:p>
        </w:tc>
      </w:tr>
    </w:tbl>
    <w:p w14:paraId="33FF64DA" w14:textId="77777777" w:rsidR="004F1012" w:rsidRDefault="002C3C51">
      <w:pPr>
        <w:spacing w:after="200"/>
      </w:pPr>
      <w:r>
        <w:rPr>
          <w:i/>
          <w:iCs/>
        </w:rPr>
        <w:t>Table 2.4: The Four Compounding Factors of Reading Cost</w:t>
      </w:r>
    </w:p>
    <w:p w14:paraId="67CCC24B" w14:textId="77777777" w:rsidR="004F1012" w:rsidRDefault="002C3C51">
      <w:pPr>
        <w:spacing w:after="200"/>
      </w:pPr>
      <w:r>
        <w:t xml:space="preserve">The result is dramatic: a Grade 18 document costs approximately </w:t>
      </w:r>
      <w:r>
        <w:rPr>
          <w:b/>
          <w:bCs/>
        </w:rPr>
        <w:t>50× more to review</w:t>
      </w:r>
      <w:r>
        <w:t xml:space="preserve"> than a Grade 8 document of similar length. This exponential relationship explains why complexity reduction delivers such outsized returns.</w:t>
      </w:r>
    </w:p>
    <w:p w14:paraId="35469731" w14:textId="77777777" w:rsidR="004F1012" w:rsidRDefault="002C3C51">
      <w:pPr>
        <w:pStyle w:val="Heading2"/>
      </w:pPr>
      <w:r>
        <w:t>Ambiguity: The Hidden Multiplier</w:t>
      </w:r>
    </w:p>
    <w:p w14:paraId="70231029" w14:textId="77777777" w:rsidR="004F1012" w:rsidRDefault="002C3C51">
      <w:pPr>
        <w:spacing w:after="200"/>
      </w:pPr>
      <w:r>
        <w:t>Beyond raw readability, undefined or vague terms create ongoing interpretation costs. Terms like "reasonable," "material," "substantial," "timely," and "appropriate" require judgment calls that consume organizational resources every time operational questions arise.</w:t>
      </w:r>
    </w:p>
    <w:p w14:paraId="0C2FDB2D" w14:textId="77777777" w:rsidR="004F1012" w:rsidRDefault="002C3C51">
      <w:pPr>
        <w:pStyle w:val="Heading3"/>
      </w:pPr>
      <w:r>
        <w:t>Density-Based Ambiguity Calculation</w:t>
      </w:r>
    </w:p>
    <w:p w14:paraId="22F7FE94" w14:textId="77777777" w:rsidR="004F1012" w:rsidRDefault="002C3C51">
      <w:pPr>
        <w:shd w:val="clear" w:color="auto" w:fill="F3F4F6"/>
        <w:spacing w:before="200" w:after="200"/>
        <w:jc w:val="center"/>
      </w:pPr>
      <w:r>
        <w:rPr>
          <w:b/>
          <w:bCs/>
        </w:rPr>
        <w:t xml:space="preserve">Ambiguity Multiplier = 1.0 + </w:t>
      </w:r>
      <w:proofErr w:type="gramStart"/>
      <w:r>
        <w:rPr>
          <w:b/>
          <w:bCs/>
        </w:rPr>
        <w:t>min(</w:t>
      </w:r>
      <w:proofErr w:type="gramEnd"/>
      <w:r>
        <w:rPr>
          <w:b/>
          <w:bCs/>
        </w:rPr>
        <w:t>1.0, Density × 0.08)</w:t>
      </w:r>
    </w:p>
    <w:p w14:paraId="1EEE3435" w14:textId="77777777" w:rsidR="004F1012" w:rsidRDefault="002C3C51" w:rsidP="00A44D7D">
      <w:pPr>
        <w:spacing w:after="200"/>
      </w:pPr>
      <w:r>
        <w:lastRenderedPageBreak/>
        <w:t>Where Density = Ambiguous Terms ÷ (Total Words ÷ 1,000). This approach accounts for document length: 10 ambiguous terms in a 2,000-word agreement creates more burden than 10 terms in a 20,000-word document.</w:t>
      </w:r>
    </w:p>
    <w:p w14:paraId="335590D3" w14:textId="77777777" w:rsidR="004F1012" w:rsidRDefault="002C3C51">
      <w:pPr>
        <w:pStyle w:val="Heading1"/>
      </w:pPr>
      <w:r>
        <w:t>Pillar B: Structural Complexity</w:t>
      </w:r>
    </w:p>
    <w:p w14:paraId="74A1B1A3" w14:textId="77777777" w:rsidR="004F1012" w:rsidRDefault="002C3C51">
      <w:pPr>
        <w:spacing w:after="200"/>
      </w:pPr>
      <w:r>
        <w:t xml:space="preserve">Beyond language complexity lies a second dimension that modern contracting has amplified: structural complexity through nested and referenced documents. As Legal Evolution documented, a contract can be quantitatively complex when its total </w:t>
      </w:r>
      <w:proofErr w:type="gramStart"/>
      <w:r>
        <w:t>length—</w:t>
      </w:r>
      <w:proofErr w:type="gramEnd"/>
      <w:r>
        <w:t xml:space="preserve">including all referenced or nested </w:t>
      </w:r>
      <w:proofErr w:type="gramStart"/>
      <w:r>
        <w:t>documents—</w:t>
      </w:r>
      <w:proofErr w:type="gramEnd"/>
      <w:r>
        <w:t>exceeds what a user can efficiently process.</w:t>
      </w:r>
    </w:p>
    <w:p w14:paraId="7A28A2E3" w14:textId="77777777" w:rsidR="004F1012" w:rsidRDefault="002C3C51">
      <w:pPr>
        <w:pStyle w:val="Heading2"/>
      </w:pPr>
      <w:r>
        <w:t>The Network Complexity Model</w:t>
      </w:r>
    </w:p>
    <w:p w14:paraId="03FDD53B" w14:textId="0133C1A1" w:rsidR="004F1012" w:rsidRDefault="002C3C51">
      <w:pPr>
        <w:spacing w:after="200"/>
      </w:pPr>
      <w:r>
        <w:t xml:space="preserve">Computer science provides a useful framework for understanding this phenomenon. In network complexity theory, complexity is measured by counting nodes and connection points within a network. A contract can be conceptualized as precisely such a network, where outline elements, cross-references, defined terms, and their uses all </w:t>
      </w:r>
      <w:r w:rsidR="002128AA">
        <w:t>functions</w:t>
      </w:r>
      <w:r>
        <w:t xml:space="preserve"> as nodes. The total number of nodes and direct connections between them represents the number of things that can go wrong in a document's structure—and that ideally should be verified before signing.</w:t>
      </w:r>
    </w:p>
    <w:p w14:paraId="3BE9E82A" w14:textId="77777777" w:rsidR="004F1012" w:rsidRDefault="002C3C51">
      <w:pPr>
        <w:pStyle w:val="Heading2"/>
      </w:pPr>
      <w:r>
        <w:t>Empirical Evidence: 35,000 SEC Filings</w:t>
      </w:r>
    </w:p>
    <w:p w14:paraId="177C61C9" w14:textId="77777777" w:rsidR="004F1012" w:rsidRDefault="002C3C51">
      <w:pPr>
        <w:spacing w:after="200"/>
      </w:pPr>
      <w:r>
        <w:t>Recent analysis of over 35,000 agreements filed with the SEC's EDGAR system quantifies structural complexity with startling precision:</w:t>
      </w:r>
      <w:r>
        <w:rPr>
          <w:rStyle w:val="FootnoteReference"/>
        </w:rPr>
        <w:footnoteReference w:id="6"/>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gridCol w:w="2345"/>
        <w:gridCol w:w="2353"/>
      </w:tblGrid>
      <w:tr w:rsidR="009626BA" w14:paraId="7B8F6676" w14:textId="77777777">
        <w:trPr>
          <w:tblHeader/>
        </w:trPr>
        <w:tc>
          <w:tcPr>
            <w:tcW w:w="4500" w:type="dxa"/>
            <w:shd w:val="clear" w:color="auto" w:fill="D5E8F0"/>
          </w:tcPr>
          <w:p w14:paraId="19C01D49" w14:textId="77777777" w:rsidR="004F1012" w:rsidRDefault="002C3C51">
            <w:pPr>
              <w:jc w:val="center"/>
            </w:pPr>
            <w:r>
              <w:rPr>
                <w:b/>
                <w:bCs/>
                <w:szCs w:val="22"/>
              </w:rPr>
              <w:t>Metric</w:t>
            </w:r>
          </w:p>
        </w:tc>
        <w:tc>
          <w:tcPr>
            <w:tcW w:w="2430" w:type="dxa"/>
            <w:shd w:val="clear" w:color="auto" w:fill="D5E8F0"/>
          </w:tcPr>
          <w:p w14:paraId="7A303502" w14:textId="77777777" w:rsidR="004F1012" w:rsidRDefault="002C3C51">
            <w:pPr>
              <w:jc w:val="center"/>
            </w:pPr>
            <w:r>
              <w:rPr>
                <w:b/>
                <w:bCs/>
                <w:szCs w:val="22"/>
              </w:rPr>
              <w:t>Average</w:t>
            </w:r>
          </w:p>
        </w:tc>
        <w:tc>
          <w:tcPr>
            <w:tcW w:w="2430" w:type="dxa"/>
            <w:shd w:val="clear" w:color="auto" w:fill="D5E8F0"/>
          </w:tcPr>
          <w:p w14:paraId="266E9679" w14:textId="77777777" w:rsidR="004F1012" w:rsidRDefault="002C3C51">
            <w:pPr>
              <w:jc w:val="center"/>
            </w:pPr>
            <w:r>
              <w:rPr>
                <w:b/>
                <w:bCs/>
                <w:szCs w:val="22"/>
              </w:rPr>
              <w:t>Maximum</w:t>
            </w:r>
          </w:p>
        </w:tc>
      </w:tr>
      <w:tr w:rsidR="009626BA" w14:paraId="4BDEC531" w14:textId="77777777">
        <w:tc>
          <w:tcPr>
            <w:tcW w:w="4500" w:type="dxa"/>
          </w:tcPr>
          <w:p w14:paraId="475ABA26" w14:textId="77777777" w:rsidR="004F1012" w:rsidRDefault="002C3C51">
            <w:r>
              <w:rPr>
                <w:szCs w:val="22"/>
              </w:rPr>
              <w:t>Defined terms</w:t>
            </w:r>
          </w:p>
        </w:tc>
        <w:tc>
          <w:tcPr>
            <w:tcW w:w="2430" w:type="dxa"/>
          </w:tcPr>
          <w:p w14:paraId="7EA41240" w14:textId="77777777" w:rsidR="004F1012" w:rsidRDefault="002C3C51">
            <w:pPr>
              <w:jc w:val="center"/>
            </w:pPr>
            <w:r>
              <w:rPr>
                <w:szCs w:val="22"/>
              </w:rPr>
              <w:t>150</w:t>
            </w:r>
          </w:p>
        </w:tc>
        <w:tc>
          <w:tcPr>
            <w:tcW w:w="2430" w:type="dxa"/>
          </w:tcPr>
          <w:p w14:paraId="775D2845" w14:textId="77777777" w:rsidR="004F1012" w:rsidRDefault="002C3C51">
            <w:pPr>
              <w:jc w:val="center"/>
            </w:pPr>
            <w:r>
              <w:rPr>
                <w:szCs w:val="22"/>
              </w:rPr>
              <w:t>913</w:t>
            </w:r>
          </w:p>
        </w:tc>
      </w:tr>
      <w:tr w:rsidR="009626BA" w14:paraId="40E4E4E6" w14:textId="77777777">
        <w:tc>
          <w:tcPr>
            <w:tcW w:w="4500" w:type="dxa"/>
          </w:tcPr>
          <w:p w14:paraId="3C3FD8D2" w14:textId="77777777" w:rsidR="004F1012" w:rsidRDefault="002C3C51">
            <w:r>
              <w:rPr>
                <w:szCs w:val="22"/>
              </w:rPr>
              <w:t>Term usage instances</w:t>
            </w:r>
          </w:p>
        </w:tc>
        <w:tc>
          <w:tcPr>
            <w:tcW w:w="2430" w:type="dxa"/>
          </w:tcPr>
          <w:p w14:paraId="786DB8F7" w14:textId="77777777" w:rsidR="004F1012" w:rsidRDefault="002C3C51">
            <w:pPr>
              <w:jc w:val="center"/>
            </w:pPr>
            <w:r>
              <w:rPr>
                <w:szCs w:val="22"/>
              </w:rPr>
              <w:t>3,795</w:t>
            </w:r>
          </w:p>
        </w:tc>
        <w:tc>
          <w:tcPr>
            <w:tcW w:w="2430" w:type="dxa"/>
          </w:tcPr>
          <w:p w14:paraId="245DE347" w14:textId="77777777" w:rsidR="004F1012" w:rsidRDefault="002C3C51">
            <w:pPr>
              <w:jc w:val="center"/>
            </w:pPr>
            <w:r>
              <w:rPr>
                <w:szCs w:val="22"/>
              </w:rPr>
              <w:t>34,985</w:t>
            </w:r>
          </w:p>
        </w:tc>
      </w:tr>
      <w:tr w:rsidR="009626BA" w14:paraId="5EFC8977" w14:textId="77777777">
        <w:tc>
          <w:tcPr>
            <w:tcW w:w="4500" w:type="dxa"/>
          </w:tcPr>
          <w:p w14:paraId="282E17AF" w14:textId="77777777" w:rsidR="004F1012" w:rsidRDefault="002C3C51">
            <w:r>
              <w:rPr>
                <w:szCs w:val="22"/>
              </w:rPr>
              <w:t>Outline elements (incl. subclauses)</w:t>
            </w:r>
          </w:p>
        </w:tc>
        <w:tc>
          <w:tcPr>
            <w:tcW w:w="2430" w:type="dxa"/>
          </w:tcPr>
          <w:p w14:paraId="0B4F5D09" w14:textId="77777777" w:rsidR="004F1012" w:rsidRDefault="002C3C51">
            <w:pPr>
              <w:jc w:val="center"/>
            </w:pPr>
            <w:r>
              <w:rPr>
                <w:szCs w:val="22"/>
              </w:rPr>
              <w:t>763</w:t>
            </w:r>
          </w:p>
        </w:tc>
        <w:tc>
          <w:tcPr>
            <w:tcW w:w="2430" w:type="dxa"/>
          </w:tcPr>
          <w:p w14:paraId="7EB0C82E" w14:textId="77777777" w:rsidR="004F1012" w:rsidRDefault="002C3C51">
            <w:pPr>
              <w:jc w:val="center"/>
            </w:pPr>
            <w:r>
              <w:rPr>
                <w:szCs w:val="22"/>
              </w:rPr>
              <w:t>4,029</w:t>
            </w:r>
          </w:p>
        </w:tc>
      </w:tr>
      <w:tr w:rsidR="009626BA" w14:paraId="1DDB1CF8" w14:textId="77777777">
        <w:tc>
          <w:tcPr>
            <w:tcW w:w="4500" w:type="dxa"/>
          </w:tcPr>
          <w:p w14:paraId="193284B5" w14:textId="77777777" w:rsidR="004F1012" w:rsidRDefault="002C3C51">
            <w:r>
              <w:rPr>
                <w:szCs w:val="22"/>
              </w:rPr>
              <w:t>Cross-references</w:t>
            </w:r>
          </w:p>
        </w:tc>
        <w:tc>
          <w:tcPr>
            <w:tcW w:w="2430" w:type="dxa"/>
          </w:tcPr>
          <w:p w14:paraId="4219CB80" w14:textId="77777777" w:rsidR="004F1012" w:rsidRDefault="002C3C51">
            <w:pPr>
              <w:jc w:val="center"/>
            </w:pPr>
            <w:r>
              <w:rPr>
                <w:szCs w:val="22"/>
              </w:rPr>
              <w:t>308</w:t>
            </w:r>
          </w:p>
        </w:tc>
        <w:tc>
          <w:tcPr>
            <w:tcW w:w="2430" w:type="dxa"/>
          </w:tcPr>
          <w:p w14:paraId="72A0CCBB" w14:textId="77777777" w:rsidR="004F1012" w:rsidRDefault="002C3C51">
            <w:pPr>
              <w:jc w:val="center"/>
            </w:pPr>
            <w:r>
              <w:rPr>
                <w:szCs w:val="22"/>
              </w:rPr>
              <w:t>2,905</w:t>
            </w:r>
          </w:p>
        </w:tc>
      </w:tr>
      <w:tr w:rsidR="009626BA" w14:paraId="061B9609" w14:textId="77777777">
        <w:tc>
          <w:tcPr>
            <w:tcW w:w="4500" w:type="dxa"/>
          </w:tcPr>
          <w:p w14:paraId="79F31375" w14:textId="77777777" w:rsidR="004F1012" w:rsidRDefault="002C3C51">
            <w:r>
              <w:rPr>
                <w:b/>
                <w:bCs/>
                <w:szCs w:val="22"/>
              </w:rPr>
              <w:t>Complexity score</w:t>
            </w:r>
          </w:p>
        </w:tc>
        <w:tc>
          <w:tcPr>
            <w:tcW w:w="2430" w:type="dxa"/>
            <w:shd w:val="clear" w:color="auto" w:fill="FFF3CD"/>
          </w:tcPr>
          <w:p w14:paraId="7D3E66A3" w14:textId="77777777" w:rsidR="004F1012" w:rsidRDefault="002C3C51">
            <w:pPr>
              <w:jc w:val="center"/>
            </w:pPr>
            <w:r>
              <w:rPr>
                <w:b/>
                <w:bCs/>
                <w:szCs w:val="22"/>
              </w:rPr>
              <w:t>7,187</w:t>
            </w:r>
          </w:p>
        </w:tc>
        <w:tc>
          <w:tcPr>
            <w:tcW w:w="2430" w:type="dxa"/>
            <w:shd w:val="clear" w:color="auto" w:fill="F8D7DA"/>
          </w:tcPr>
          <w:p w14:paraId="5DF47439" w14:textId="77777777" w:rsidR="004F1012" w:rsidRDefault="002C3C51">
            <w:pPr>
              <w:jc w:val="center"/>
            </w:pPr>
            <w:r>
              <w:rPr>
                <w:b/>
                <w:bCs/>
                <w:szCs w:val="22"/>
              </w:rPr>
              <w:t>42,832</w:t>
            </w:r>
          </w:p>
        </w:tc>
      </w:tr>
    </w:tbl>
    <w:p w14:paraId="6B579D40" w14:textId="77777777" w:rsidR="004F1012" w:rsidRDefault="002C3C51">
      <w:pPr>
        <w:spacing w:after="200"/>
      </w:pPr>
      <w:r>
        <w:rPr>
          <w:i/>
          <w:iCs/>
        </w:rPr>
        <w:lastRenderedPageBreak/>
        <w:t>Table 2.5: Structural Complexity in SEC-Filed Merger Agreements (2022)</w:t>
      </w:r>
    </w:p>
    <w:p w14:paraId="1B38931E" w14:textId="77777777" w:rsidR="004F1012" w:rsidRDefault="002C3C51">
      <w:pPr>
        <w:spacing w:after="200"/>
      </w:pPr>
      <w:r>
        <w:t xml:space="preserve">This complexity is not merely theoretical: </w:t>
      </w:r>
      <w:r>
        <w:rPr>
          <w:b/>
          <w:bCs/>
        </w:rPr>
        <w:t>97 percent</w:t>
      </w:r>
      <w:r>
        <w:t xml:space="preserve"> of merger agreements analyzed contained at least one cross-reference error, and 70 percent contained ten or more such errors.</w:t>
      </w:r>
    </w:p>
    <w:p w14:paraId="6470AAE8" w14:textId="77777777" w:rsidR="004F1012" w:rsidRDefault="002C3C51">
      <w:pPr>
        <w:pStyle w:val="Heading2"/>
      </w:pPr>
      <w:r>
        <w:t>Case Example: The AWS Document Web</w:t>
      </w:r>
    </w:p>
    <w:p w14:paraId="51596B49" w14:textId="77777777" w:rsidR="004F1012" w:rsidRDefault="002C3C51">
      <w:pPr>
        <w:spacing w:after="200"/>
      </w:pPr>
      <w:r>
        <w:t xml:space="preserve">The AWS Customer Agreement provides a striking example of structural complexity. The master agreement itself is approximately 14 pages—seemingly reasonable for an enterprise cloud services contract. However, that master agreement references no fewer than 14 different sets of nested or incorporated terms. One of these nested documents alone, the Amazon Service Terms, contains 82 separate clauses, each of which may reference additional policies and specifications. The total contractual corpus—the complete set of terms </w:t>
      </w:r>
      <w:proofErr w:type="gramStart"/>
      <w:r>
        <w:t>actually binding</w:t>
      </w:r>
      <w:proofErr w:type="gramEnd"/>
      <w:r>
        <w:t xml:space="preserve"> on the customer—runs to hundreds of pages scattered across multiple documents.</w:t>
      </w:r>
    </w:p>
    <w:p w14:paraId="6E75A3A9" w14:textId="77777777" w:rsidR="004F1012" w:rsidRDefault="002C3C51">
      <w:pPr>
        <w:pStyle w:val="Heading2"/>
      </w:pPr>
      <w:r>
        <w:t>The Three Burdens of Structural Complexity</w:t>
      </w:r>
    </w:p>
    <w:p w14:paraId="321489EC" w14:textId="77777777" w:rsidR="004F1012" w:rsidRDefault="002C3C51">
      <w:pPr>
        <w:pStyle w:val="ListParagraph"/>
        <w:numPr>
          <w:ilvl w:val="0"/>
          <w:numId w:val="4"/>
        </w:numPr>
        <w:spacing w:after="120"/>
      </w:pPr>
      <w:r>
        <w:rPr>
          <w:b/>
          <w:bCs/>
        </w:rPr>
        <w:t xml:space="preserve">Assembly Burden: </w:t>
      </w:r>
      <w:r>
        <w:t>The time required to identify and collect all relevant documents. For agreements with 10+ nested documents, assembly can require 8-15 hours of initial effort.</w:t>
      </w:r>
    </w:p>
    <w:p w14:paraId="58FC0291" w14:textId="77777777" w:rsidR="004F1012" w:rsidRDefault="002C3C51">
      <w:pPr>
        <w:pStyle w:val="ListParagraph"/>
        <w:numPr>
          <w:ilvl w:val="0"/>
          <w:numId w:val="4"/>
        </w:numPr>
        <w:spacing w:after="120"/>
      </w:pPr>
      <w:r>
        <w:rPr>
          <w:b/>
          <w:bCs/>
        </w:rPr>
        <w:t xml:space="preserve">Reconciliation Burden: </w:t>
      </w:r>
      <w:r>
        <w:t>The effort to understand how different documents interact, which provisions control when conflicts arise, and how updates to one document affect obligations under others.</w:t>
      </w:r>
    </w:p>
    <w:p w14:paraId="56FB5ABA" w14:textId="77777777" w:rsidR="004F1012" w:rsidRDefault="002C3C51">
      <w:pPr>
        <w:pStyle w:val="ListParagraph"/>
        <w:numPr>
          <w:ilvl w:val="0"/>
          <w:numId w:val="4"/>
        </w:numPr>
        <w:spacing w:after="200"/>
      </w:pPr>
      <w:r>
        <w:rPr>
          <w:b/>
          <w:bCs/>
        </w:rPr>
        <w:t xml:space="preserve">Version Control Burden: </w:t>
      </w:r>
      <w:r>
        <w:t>Many vendors reserve the right to update incorporated documents unilaterally, requiring ongoing monitoring to detect changes that may materially affect the relationship.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3364"/>
        <w:gridCol w:w="3233"/>
      </w:tblGrid>
      <w:tr w:rsidR="009626BA" w14:paraId="6AFFA59C" w14:textId="77777777">
        <w:trPr>
          <w:tblHeader/>
        </w:trPr>
        <w:tc>
          <w:tcPr>
            <w:tcW w:w="2500" w:type="dxa"/>
            <w:shd w:val="clear" w:color="auto" w:fill="D5E8F0"/>
          </w:tcPr>
          <w:p w14:paraId="03D47A8D" w14:textId="77777777" w:rsidR="004F1012" w:rsidRDefault="002C3C51">
            <w:pPr>
              <w:jc w:val="center"/>
            </w:pPr>
            <w:r>
              <w:rPr>
                <w:b/>
                <w:bCs/>
                <w:szCs w:val="22"/>
              </w:rPr>
              <w:t>Nesting Level</w:t>
            </w:r>
          </w:p>
        </w:tc>
        <w:tc>
          <w:tcPr>
            <w:tcW w:w="3500" w:type="dxa"/>
            <w:shd w:val="clear" w:color="auto" w:fill="D5E8F0"/>
          </w:tcPr>
          <w:p w14:paraId="096E12B2" w14:textId="77777777" w:rsidR="004F1012" w:rsidRDefault="002C3C51">
            <w:pPr>
              <w:jc w:val="center"/>
            </w:pPr>
            <w:r>
              <w:rPr>
                <w:b/>
                <w:bCs/>
                <w:szCs w:val="22"/>
              </w:rPr>
              <w:t>Example</w:t>
            </w:r>
          </w:p>
        </w:tc>
        <w:tc>
          <w:tcPr>
            <w:tcW w:w="3360" w:type="dxa"/>
            <w:shd w:val="clear" w:color="auto" w:fill="D5E8F0"/>
          </w:tcPr>
          <w:p w14:paraId="5ECFF53A" w14:textId="77777777" w:rsidR="004F1012" w:rsidRDefault="002C3C51">
            <w:pPr>
              <w:jc w:val="center"/>
            </w:pPr>
            <w:r>
              <w:rPr>
                <w:b/>
                <w:bCs/>
                <w:szCs w:val="22"/>
              </w:rPr>
              <w:t>Cost Multiplier</w:t>
            </w:r>
          </w:p>
        </w:tc>
      </w:tr>
      <w:tr w:rsidR="009626BA" w14:paraId="65AA203F" w14:textId="77777777">
        <w:tc>
          <w:tcPr>
            <w:tcW w:w="2500" w:type="dxa"/>
          </w:tcPr>
          <w:p w14:paraId="6C812EF5" w14:textId="77777777" w:rsidR="004F1012" w:rsidRDefault="002C3C51">
            <w:r>
              <w:rPr>
                <w:szCs w:val="22"/>
              </w:rPr>
              <w:t>Single document</w:t>
            </w:r>
          </w:p>
        </w:tc>
        <w:tc>
          <w:tcPr>
            <w:tcW w:w="3500" w:type="dxa"/>
          </w:tcPr>
          <w:p w14:paraId="32F34C64" w14:textId="77777777" w:rsidR="004F1012" w:rsidRDefault="002C3C51">
            <w:r>
              <w:rPr>
                <w:szCs w:val="22"/>
              </w:rPr>
              <w:t>Self-contained MSA</w:t>
            </w:r>
          </w:p>
        </w:tc>
        <w:tc>
          <w:tcPr>
            <w:tcW w:w="3360" w:type="dxa"/>
            <w:shd w:val="clear" w:color="auto" w:fill="D4EDDA"/>
          </w:tcPr>
          <w:p w14:paraId="3AC654A5" w14:textId="77777777" w:rsidR="004F1012" w:rsidRDefault="002C3C51">
            <w:pPr>
              <w:jc w:val="center"/>
            </w:pPr>
            <w:r>
              <w:rPr>
                <w:b/>
                <w:bCs/>
                <w:szCs w:val="22"/>
              </w:rPr>
              <w:t>1.00×</w:t>
            </w:r>
          </w:p>
        </w:tc>
      </w:tr>
      <w:tr w:rsidR="009626BA" w14:paraId="19C241AE" w14:textId="77777777">
        <w:tc>
          <w:tcPr>
            <w:tcW w:w="2500" w:type="dxa"/>
          </w:tcPr>
          <w:p w14:paraId="4AA3F6B7" w14:textId="77777777" w:rsidR="004F1012" w:rsidRDefault="002C3C51">
            <w:r>
              <w:rPr>
                <w:szCs w:val="22"/>
              </w:rPr>
              <w:t>Two levels</w:t>
            </w:r>
          </w:p>
        </w:tc>
        <w:tc>
          <w:tcPr>
            <w:tcW w:w="3500" w:type="dxa"/>
          </w:tcPr>
          <w:p w14:paraId="0F3C9E8E" w14:textId="77777777" w:rsidR="004F1012" w:rsidRDefault="002C3C51">
            <w:r>
              <w:rPr>
                <w:szCs w:val="22"/>
              </w:rPr>
              <w:t>MSA + Order Form</w:t>
            </w:r>
          </w:p>
        </w:tc>
        <w:tc>
          <w:tcPr>
            <w:tcW w:w="3360" w:type="dxa"/>
          </w:tcPr>
          <w:p w14:paraId="239B596C" w14:textId="77777777" w:rsidR="004F1012" w:rsidRDefault="002C3C51">
            <w:pPr>
              <w:jc w:val="center"/>
            </w:pPr>
            <w:r>
              <w:rPr>
                <w:szCs w:val="22"/>
              </w:rPr>
              <w:t>1.15–1.25×</w:t>
            </w:r>
          </w:p>
        </w:tc>
      </w:tr>
      <w:tr w:rsidR="009626BA" w14:paraId="1F9DE85D" w14:textId="77777777">
        <w:tc>
          <w:tcPr>
            <w:tcW w:w="2500" w:type="dxa"/>
          </w:tcPr>
          <w:p w14:paraId="4C5E6197" w14:textId="77777777" w:rsidR="004F1012" w:rsidRDefault="002C3C51">
            <w:r>
              <w:rPr>
                <w:szCs w:val="22"/>
              </w:rPr>
              <w:t>Three levels</w:t>
            </w:r>
          </w:p>
        </w:tc>
        <w:tc>
          <w:tcPr>
            <w:tcW w:w="3500" w:type="dxa"/>
          </w:tcPr>
          <w:p w14:paraId="5BD2AC3B" w14:textId="77777777" w:rsidR="004F1012" w:rsidRDefault="002C3C51">
            <w:r>
              <w:rPr>
                <w:szCs w:val="22"/>
              </w:rPr>
              <w:t>MSA + Terms + Policies</w:t>
            </w:r>
          </w:p>
        </w:tc>
        <w:tc>
          <w:tcPr>
            <w:tcW w:w="3360" w:type="dxa"/>
          </w:tcPr>
          <w:p w14:paraId="3C262D20" w14:textId="77777777" w:rsidR="004F1012" w:rsidRDefault="002C3C51">
            <w:pPr>
              <w:jc w:val="center"/>
            </w:pPr>
            <w:r>
              <w:rPr>
                <w:szCs w:val="22"/>
              </w:rPr>
              <w:t>1.32–1.56×</w:t>
            </w:r>
          </w:p>
        </w:tc>
      </w:tr>
      <w:tr w:rsidR="009626BA" w14:paraId="10BAC100" w14:textId="77777777">
        <w:tc>
          <w:tcPr>
            <w:tcW w:w="2500" w:type="dxa"/>
          </w:tcPr>
          <w:p w14:paraId="07E7F30F" w14:textId="77777777" w:rsidR="004F1012" w:rsidRDefault="002C3C51">
            <w:r>
              <w:rPr>
                <w:szCs w:val="22"/>
              </w:rPr>
              <w:t>Four+ levels</w:t>
            </w:r>
          </w:p>
        </w:tc>
        <w:tc>
          <w:tcPr>
            <w:tcW w:w="3500" w:type="dxa"/>
          </w:tcPr>
          <w:p w14:paraId="68642D8F" w14:textId="77777777" w:rsidR="004F1012" w:rsidRDefault="002C3C51">
            <w:r>
              <w:rPr>
                <w:szCs w:val="22"/>
              </w:rPr>
              <w:t>AWS-style structure</w:t>
            </w:r>
          </w:p>
        </w:tc>
        <w:tc>
          <w:tcPr>
            <w:tcW w:w="3360" w:type="dxa"/>
            <w:shd w:val="clear" w:color="auto" w:fill="F8D7DA"/>
          </w:tcPr>
          <w:p w14:paraId="6634C01B" w14:textId="77777777" w:rsidR="004F1012" w:rsidRDefault="002C3C51">
            <w:pPr>
              <w:jc w:val="center"/>
            </w:pPr>
            <w:r>
              <w:rPr>
                <w:b/>
                <w:bCs/>
                <w:szCs w:val="22"/>
              </w:rPr>
              <w:t>1.50–1.95×</w:t>
            </w:r>
          </w:p>
        </w:tc>
      </w:tr>
    </w:tbl>
    <w:p w14:paraId="678AD3C5" w14:textId="77777777" w:rsidR="004F1012" w:rsidRDefault="002C3C51">
      <w:pPr>
        <w:spacing w:after="200"/>
      </w:pPr>
      <w:r>
        <w:rPr>
          <w:i/>
          <w:iCs/>
        </w:rPr>
        <w:t>Table 2.6: Document Nesting Impact on Administrative Cost</w:t>
      </w:r>
    </w:p>
    <w:p w14:paraId="53EB244D" w14:textId="77777777" w:rsidR="004F1012" w:rsidRDefault="002C3C51">
      <w:pPr>
        <w:pStyle w:val="Heading2"/>
      </w:pPr>
      <w:r>
        <w:t>The Accelerating Problem</w:t>
      </w:r>
    </w:p>
    <w:p w14:paraId="7EDC81D9" w14:textId="6CF7C94C" w:rsidR="00A44D7D" w:rsidRDefault="002C3C51" w:rsidP="00A44D7D">
      <w:pPr>
        <w:spacing w:after="200"/>
      </w:pPr>
      <w:r>
        <w:lastRenderedPageBreak/>
        <w:t>The problem is worsening. Research tracking complexity scores over time found that the average complexity score for merger agreements increased 45 percent between 2017 and 2022—from 4,953 to 7,187</w:t>
      </w:r>
      <w:r w:rsidR="00513CD5">
        <w:rPr>
          <w:rStyle w:val="FootnoteReference"/>
        </w:rPr>
        <w:footnoteReference w:id="7"/>
      </w:r>
      <w:r>
        <w:t>. As business environments grow more complex due to regulatory changes, technological disruption, and global uncertainty, contracts have grown correspondingly intricate, multiplying the administrative burden with each added layer of structural complexity.</w:t>
      </w:r>
    </w:p>
    <w:p w14:paraId="6C6E66E7" w14:textId="77777777" w:rsidR="004F1012" w:rsidRDefault="002C3C51" w:rsidP="00A44D7D">
      <w:pPr>
        <w:pStyle w:val="Heading1"/>
      </w:pPr>
      <w:r>
        <w:t>Pillar C: Standards Deviation</w:t>
      </w:r>
    </w:p>
    <w:p w14:paraId="626E9C89" w14:textId="1F17246A" w:rsidR="004F1012" w:rsidRDefault="002C3C51">
      <w:pPr>
        <w:spacing w:after="200"/>
      </w:pPr>
      <w:r>
        <w:t xml:space="preserve">The third pillar of complexity cost arises from deviation from established commercial and drafting standards. Contracts that follow recognized best practices—such as the </w:t>
      </w:r>
      <w:proofErr w:type="spellStart"/>
      <w:r>
        <w:t>WorldCC</w:t>
      </w:r>
      <w:proofErr w:type="spellEnd"/>
      <w:r>
        <w:t xml:space="preserve"> 10 Contracting Principles</w:t>
      </w:r>
      <w:r w:rsidR="00373812">
        <w:rPr>
          <w:rStyle w:val="FootnoteReference"/>
        </w:rPr>
        <w:footnoteReference w:id="8"/>
      </w:r>
      <w:r>
        <w:t xml:space="preserve"> and ContractStandards.</w:t>
      </w:r>
      <w:r w:rsidR="00373812">
        <w:t>com</w:t>
      </w:r>
      <w:r>
        <w:t xml:space="preserve"> drafting guidelines—impose lower ongoing costs because their terms are predictable, their risk allocations are balanced, and their language follows conventions that experienced professionals can process efficiently.</w:t>
      </w:r>
    </w:p>
    <w:p w14:paraId="48780DE8" w14:textId="77777777" w:rsidR="004F1012" w:rsidRDefault="002C3C51">
      <w:pPr>
        <w:pStyle w:val="Heading2"/>
      </w:pPr>
      <w:proofErr w:type="spellStart"/>
      <w:r>
        <w:t>WorldCC</w:t>
      </w:r>
      <w:proofErr w:type="spellEnd"/>
      <w:r>
        <w:t xml:space="preserve"> Principles: Substantive Balance</w:t>
      </w:r>
    </w:p>
    <w:p w14:paraId="40BA6AD4" w14:textId="77777777" w:rsidR="004F1012" w:rsidRDefault="002C3C51">
      <w:pPr>
        <w:spacing w:after="200"/>
      </w:pPr>
      <w:r>
        <w:t xml:space="preserve">The </w:t>
      </w:r>
      <w:proofErr w:type="spellStart"/>
      <w:r>
        <w:t>WorldCC</w:t>
      </w:r>
      <w:proofErr w:type="spellEnd"/>
      <w:r>
        <w:t xml:space="preserve"> Contracting Principles address substantive balance: Is risk allocated appropriately between parties? Are performance obligations clearly defined? The ten principles assess:</w:t>
      </w:r>
    </w:p>
    <w:p w14:paraId="4AA10FEC" w14:textId="77777777" w:rsidR="004F1012" w:rsidRDefault="002C3C51">
      <w:pPr>
        <w:pStyle w:val="ListParagraph"/>
        <w:numPr>
          <w:ilvl w:val="0"/>
          <w:numId w:val="2"/>
        </w:numPr>
        <w:spacing w:after="60"/>
      </w:pPr>
      <w:r>
        <w:t>Clear scope and deliverable definitions</w:t>
      </w:r>
    </w:p>
    <w:p w14:paraId="1FECA076" w14:textId="77777777" w:rsidR="004F1012" w:rsidRDefault="002C3C51">
      <w:pPr>
        <w:pStyle w:val="ListParagraph"/>
        <w:numPr>
          <w:ilvl w:val="0"/>
          <w:numId w:val="2"/>
        </w:numPr>
        <w:spacing w:after="60"/>
      </w:pPr>
      <w:r>
        <w:t>Balanced risk allocation mechanisms</w:t>
      </w:r>
    </w:p>
    <w:p w14:paraId="53D48C88" w14:textId="77777777" w:rsidR="004F1012" w:rsidRDefault="002C3C51">
      <w:pPr>
        <w:pStyle w:val="ListParagraph"/>
        <w:numPr>
          <w:ilvl w:val="0"/>
          <w:numId w:val="2"/>
        </w:numPr>
        <w:spacing w:after="60"/>
      </w:pPr>
      <w:r>
        <w:t>Reasonable limitation of liability provisions</w:t>
      </w:r>
    </w:p>
    <w:p w14:paraId="1C202A0E" w14:textId="77777777" w:rsidR="004F1012" w:rsidRDefault="002C3C51">
      <w:pPr>
        <w:pStyle w:val="ListParagraph"/>
        <w:numPr>
          <w:ilvl w:val="0"/>
          <w:numId w:val="2"/>
        </w:numPr>
        <w:spacing w:after="60"/>
      </w:pPr>
      <w:r>
        <w:t>Appropriate indemnification structures</w:t>
      </w:r>
    </w:p>
    <w:p w14:paraId="18FA1D1A" w14:textId="77777777" w:rsidR="004F1012" w:rsidRDefault="002C3C51">
      <w:pPr>
        <w:pStyle w:val="ListParagraph"/>
        <w:numPr>
          <w:ilvl w:val="0"/>
          <w:numId w:val="2"/>
        </w:numPr>
        <w:spacing w:after="60"/>
      </w:pPr>
      <w:r>
        <w:t xml:space="preserve">Effective </w:t>
      </w:r>
      <w:proofErr w:type="gramStart"/>
      <w:r>
        <w:t>change</w:t>
      </w:r>
      <w:proofErr w:type="gramEnd"/>
      <w:r>
        <w:t xml:space="preserve"> management processes</w:t>
      </w:r>
    </w:p>
    <w:p w14:paraId="4E3B22E5" w14:textId="77777777" w:rsidR="004F1012" w:rsidRDefault="002C3C51">
      <w:pPr>
        <w:pStyle w:val="ListParagraph"/>
        <w:numPr>
          <w:ilvl w:val="0"/>
          <w:numId w:val="2"/>
        </w:numPr>
        <w:spacing w:after="60"/>
      </w:pPr>
      <w:r>
        <w:t>Constructive dispute resolution pathways</w:t>
      </w:r>
    </w:p>
    <w:p w14:paraId="4DB68AB9" w14:textId="77777777" w:rsidR="004F1012" w:rsidRDefault="002C3C51">
      <w:pPr>
        <w:pStyle w:val="ListParagraph"/>
        <w:numPr>
          <w:ilvl w:val="0"/>
          <w:numId w:val="2"/>
        </w:numPr>
        <w:spacing w:after="60"/>
      </w:pPr>
      <w:r>
        <w:t>Flexible termination provisions</w:t>
      </w:r>
    </w:p>
    <w:p w14:paraId="6EF4CBBF" w14:textId="77777777" w:rsidR="004F1012" w:rsidRDefault="002C3C51">
      <w:pPr>
        <w:pStyle w:val="ListParagraph"/>
        <w:numPr>
          <w:ilvl w:val="0"/>
          <w:numId w:val="2"/>
        </w:numPr>
        <w:spacing w:after="60"/>
      </w:pPr>
      <w:r>
        <w:t>Proportionate remedies for breach</w:t>
      </w:r>
    </w:p>
    <w:p w14:paraId="403957D9" w14:textId="77777777" w:rsidR="004F1012" w:rsidRDefault="002C3C51">
      <w:pPr>
        <w:pStyle w:val="ListParagraph"/>
        <w:numPr>
          <w:ilvl w:val="0"/>
          <w:numId w:val="2"/>
        </w:numPr>
        <w:spacing w:after="60"/>
      </w:pPr>
      <w:r>
        <w:t>Alignment of incentives</w:t>
      </w:r>
    </w:p>
    <w:p w14:paraId="72EBE43D" w14:textId="77777777" w:rsidR="004F1012" w:rsidRDefault="002C3C51">
      <w:pPr>
        <w:pStyle w:val="ListParagraph"/>
        <w:numPr>
          <w:ilvl w:val="0"/>
          <w:numId w:val="2"/>
        </w:numPr>
        <w:spacing w:after="200"/>
      </w:pPr>
      <w:r>
        <w:t>Relationship governance structures</w:t>
      </w:r>
    </w:p>
    <w:p w14:paraId="5E9FF224" w14:textId="77777777" w:rsidR="004F1012" w:rsidRDefault="002C3C51">
      <w:pPr>
        <w:pStyle w:val="Heading2"/>
      </w:pPr>
      <w:proofErr w:type="spellStart"/>
      <w:r>
        <w:t>ContractStandards</w:t>
      </w:r>
      <w:proofErr w:type="spellEnd"/>
      <w:r>
        <w:t>: Drafting Quality</w:t>
      </w:r>
    </w:p>
    <w:p w14:paraId="39194431" w14:textId="77777777" w:rsidR="004F1012" w:rsidRDefault="002C3C51">
      <w:pPr>
        <w:spacing w:after="200"/>
      </w:pPr>
      <w:r>
        <w:t xml:space="preserve">The </w:t>
      </w:r>
      <w:proofErr w:type="spellStart"/>
      <w:r>
        <w:t>ContractStandards</w:t>
      </w:r>
      <w:proofErr w:type="spellEnd"/>
      <w:r>
        <w:t xml:space="preserve"> framework addresses drafting quality across 53 specific items in 10 categories: document organization, visual readability, sentence structure, verb formulations, </w:t>
      </w:r>
      <w:r>
        <w:lastRenderedPageBreak/>
        <w:t>word choice, elimination of unnecessary content, technical formatting, definitions, single-topic clauses, and internal consistency. Each deviation from these standards creates micro-frictions that compound across the contract lifecycle.</w:t>
      </w:r>
    </w:p>
    <w:p w14:paraId="1959E1F9" w14:textId="77777777" w:rsidR="004F1012" w:rsidRDefault="002C3C51">
      <w:pPr>
        <w:pStyle w:val="Heading2"/>
      </w:pPr>
      <w:r>
        <w:t>Standards Deviation Cost Formula</w:t>
      </w:r>
    </w:p>
    <w:p w14:paraId="283EBC97" w14:textId="77777777" w:rsidR="004F1012" w:rsidRDefault="002C3C51">
      <w:pPr>
        <w:spacing w:after="200"/>
      </w:pPr>
      <w:r>
        <w:t>When agreements fall below the 78% compliance threshold, standards deviation generates additional costs:</w:t>
      </w:r>
    </w:p>
    <w:p w14:paraId="09D5AA00" w14:textId="77777777" w:rsidR="004F1012" w:rsidRDefault="002C3C51">
      <w:pPr>
        <w:shd w:val="clear" w:color="auto" w:fill="F3F4F6"/>
        <w:spacing w:before="200" w:after="200"/>
        <w:jc w:val="center"/>
      </w:pPr>
      <w:r>
        <w:rPr>
          <w:b/>
          <w:bCs/>
        </w:rPr>
        <w:t>Standards Cost = Base Hours × (Compliance Gap ÷ 100) × Hourly Rate × Risk Factor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2098"/>
        <w:gridCol w:w="2643"/>
        <w:gridCol w:w="1968"/>
      </w:tblGrid>
      <w:tr w:rsidR="009626BA" w14:paraId="642D86A0" w14:textId="77777777">
        <w:trPr>
          <w:tblHeader/>
        </w:trPr>
        <w:tc>
          <w:tcPr>
            <w:tcW w:w="2400" w:type="dxa"/>
            <w:shd w:val="clear" w:color="auto" w:fill="D5E8F0"/>
          </w:tcPr>
          <w:p w14:paraId="64E77DDE" w14:textId="77777777" w:rsidR="004F1012" w:rsidRDefault="002C3C51">
            <w:pPr>
              <w:jc w:val="center"/>
            </w:pPr>
            <w:r>
              <w:rPr>
                <w:b/>
                <w:bCs/>
                <w:szCs w:val="22"/>
              </w:rPr>
              <w:t>Compliance Level</w:t>
            </w:r>
          </w:p>
        </w:tc>
        <w:tc>
          <w:tcPr>
            <w:tcW w:w="2200" w:type="dxa"/>
            <w:shd w:val="clear" w:color="auto" w:fill="D5E8F0"/>
          </w:tcPr>
          <w:p w14:paraId="1FD48C83" w14:textId="77777777" w:rsidR="004F1012" w:rsidRDefault="002C3C51">
            <w:pPr>
              <w:jc w:val="center"/>
            </w:pPr>
            <w:proofErr w:type="spellStart"/>
            <w:r>
              <w:rPr>
                <w:b/>
                <w:bCs/>
                <w:szCs w:val="22"/>
              </w:rPr>
              <w:t>WorldCC</w:t>
            </w:r>
            <w:proofErr w:type="spellEnd"/>
          </w:p>
        </w:tc>
        <w:tc>
          <w:tcPr>
            <w:tcW w:w="2700" w:type="dxa"/>
            <w:shd w:val="clear" w:color="auto" w:fill="D5E8F0"/>
          </w:tcPr>
          <w:p w14:paraId="381F2F6B" w14:textId="77777777" w:rsidR="004F1012" w:rsidRDefault="002C3C51">
            <w:pPr>
              <w:jc w:val="center"/>
            </w:pPr>
            <w:proofErr w:type="spellStart"/>
            <w:r>
              <w:rPr>
                <w:b/>
                <w:bCs/>
                <w:szCs w:val="22"/>
              </w:rPr>
              <w:t>ContractStandards</w:t>
            </w:r>
            <w:proofErr w:type="spellEnd"/>
          </w:p>
        </w:tc>
        <w:tc>
          <w:tcPr>
            <w:tcW w:w="2060" w:type="dxa"/>
            <w:shd w:val="clear" w:color="auto" w:fill="D5E8F0"/>
          </w:tcPr>
          <w:p w14:paraId="1F6AEDB2" w14:textId="77777777" w:rsidR="004F1012" w:rsidRDefault="002C3C51">
            <w:pPr>
              <w:jc w:val="center"/>
            </w:pPr>
            <w:r>
              <w:rPr>
                <w:b/>
                <w:bCs/>
                <w:szCs w:val="22"/>
              </w:rPr>
              <w:t>3-Year Impact</w:t>
            </w:r>
          </w:p>
        </w:tc>
      </w:tr>
      <w:tr w:rsidR="009626BA" w14:paraId="62CA967E" w14:textId="77777777">
        <w:tc>
          <w:tcPr>
            <w:tcW w:w="2400" w:type="dxa"/>
          </w:tcPr>
          <w:p w14:paraId="41929479" w14:textId="77777777" w:rsidR="004F1012" w:rsidRDefault="002C3C51">
            <w:r>
              <w:rPr>
                <w:b/>
                <w:bCs/>
                <w:szCs w:val="22"/>
              </w:rPr>
              <w:t>Weak / Marginal</w:t>
            </w:r>
          </w:p>
        </w:tc>
        <w:tc>
          <w:tcPr>
            <w:tcW w:w="2200" w:type="dxa"/>
          </w:tcPr>
          <w:p w14:paraId="2F56B276" w14:textId="77777777" w:rsidR="004F1012" w:rsidRDefault="002C3C51">
            <w:pPr>
              <w:jc w:val="center"/>
            </w:pPr>
            <w:r>
              <w:rPr>
                <w:szCs w:val="22"/>
              </w:rPr>
              <w:t>48%</w:t>
            </w:r>
          </w:p>
        </w:tc>
        <w:tc>
          <w:tcPr>
            <w:tcW w:w="2700" w:type="dxa"/>
          </w:tcPr>
          <w:p w14:paraId="2C091DCE" w14:textId="77777777" w:rsidR="004F1012" w:rsidRDefault="002C3C51">
            <w:pPr>
              <w:jc w:val="center"/>
            </w:pPr>
            <w:r>
              <w:rPr>
                <w:szCs w:val="22"/>
              </w:rPr>
              <w:t>54%</w:t>
            </w:r>
          </w:p>
        </w:tc>
        <w:tc>
          <w:tcPr>
            <w:tcW w:w="2060" w:type="dxa"/>
            <w:shd w:val="clear" w:color="auto" w:fill="F8D7DA"/>
          </w:tcPr>
          <w:p w14:paraId="74C91F81" w14:textId="77777777" w:rsidR="004F1012" w:rsidRDefault="002C3C51">
            <w:pPr>
              <w:jc w:val="center"/>
            </w:pPr>
            <w:r>
              <w:rPr>
                <w:b/>
                <w:bCs/>
                <w:szCs w:val="22"/>
              </w:rPr>
              <w:t>+$60,000 - $75,000</w:t>
            </w:r>
          </w:p>
        </w:tc>
      </w:tr>
      <w:tr w:rsidR="009626BA" w14:paraId="64036A72" w14:textId="77777777">
        <w:tc>
          <w:tcPr>
            <w:tcW w:w="2400" w:type="dxa"/>
          </w:tcPr>
          <w:p w14:paraId="10FC38B7" w14:textId="77777777" w:rsidR="004F1012" w:rsidRDefault="002C3C51">
            <w:r>
              <w:rPr>
                <w:szCs w:val="22"/>
              </w:rPr>
              <w:t>Adequate</w:t>
            </w:r>
          </w:p>
        </w:tc>
        <w:tc>
          <w:tcPr>
            <w:tcW w:w="2200" w:type="dxa"/>
          </w:tcPr>
          <w:p w14:paraId="37188F43" w14:textId="77777777" w:rsidR="004F1012" w:rsidRDefault="002C3C51">
            <w:pPr>
              <w:jc w:val="center"/>
            </w:pPr>
            <w:r>
              <w:rPr>
                <w:szCs w:val="22"/>
              </w:rPr>
              <w:t>60-74%</w:t>
            </w:r>
          </w:p>
        </w:tc>
        <w:tc>
          <w:tcPr>
            <w:tcW w:w="2700" w:type="dxa"/>
          </w:tcPr>
          <w:p w14:paraId="443CBB75" w14:textId="77777777" w:rsidR="004F1012" w:rsidRDefault="002C3C51">
            <w:pPr>
              <w:jc w:val="center"/>
            </w:pPr>
            <w:r>
              <w:rPr>
                <w:szCs w:val="22"/>
              </w:rPr>
              <w:t>55-69%</w:t>
            </w:r>
          </w:p>
        </w:tc>
        <w:tc>
          <w:tcPr>
            <w:tcW w:w="2060" w:type="dxa"/>
          </w:tcPr>
          <w:p w14:paraId="68F0413B" w14:textId="77777777" w:rsidR="004F1012" w:rsidRDefault="002C3C51">
            <w:pPr>
              <w:jc w:val="center"/>
            </w:pPr>
            <w:r>
              <w:rPr>
                <w:szCs w:val="22"/>
              </w:rPr>
              <w:t>+$30,000 - $45,000</w:t>
            </w:r>
          </w:p>
        </w:tc>
      </w:tr>
      <w:tr w:rsidR="009626BA" w14:paraId="1FF38287" w14:textId="77777777">
        <w:tc>
          <w:tcPr>
            <w:tcW w:w="2400" w:type="dxa"/>
          </w:tcPr>
          <w:p w14:paraId="72177479" w14:textId="77777777" w:rsidR="004F1012" w:rsidRDefault="002C3C51">
            <w:r>
              <w:rPr>
                <w:b/>
                <w:bCs/>
                <w:szCs w:val="22"/>
              </w:rPr>
              <w:t>Good / Strong</w:t>
            </w:r>
          </w:p>
        </w:tc>
        <w:tc>
          <w:tcPr>
            <w:tcW w:w="2200" w:type="dxa"/>
          </w:tcPr>
          <w:p w14:paraId="08DC36BA" w14:textId="77777777" w:rsidR="004F1012" w:rsidRDefault="002C3C51">
            <w:pPr>
              <w:jc w:val="center"/>
            </w:pPr>
            <w:r>
              <w:rPr>
                <w:szCs w:val="22"/>
              </w:rPr>
              <w:t>78%+</w:t>
            </w:r>
          </w:p>
        </w:tc>
        <w:tc>
          <w:tcPr>
            <w:tcW w:w="2700" w:type="dxa"/>
          </w:tcPr>
          <w:p w14:paraId="032C3F49" w14:textId="77777777" w:rsidR="004F1012" w:rsidRDefault="002C3C51">
            <w:pPr>
              <w:jc w:val="center"/>
            </w:pPr>
            <w:r>
              <w:rPr>
                <w:szCs w:val="22"/>
              </w:rPr>
              <w:t>82%+</w:t>
            </w:r>
          </w:p>
        </w:tc>
        <w:tc>
          <w:tcPr>
            <w:tcW w:w="2060" w:type="dxa"/>
            <w:shd w:val="clear" w:color="auto" w:fill="D4EDDA"/>
          </w:tcPr>
          <w:p w14:paraId="53849275" w14:textId="77777777" w:rsidR="004F1012" w:rsidRDefault="002C3C51">
            <w:pPr>
              <w:jc w:val="center"/>
            </w:pPr>
            <w:r>
              <w:rPr>
                <w:b/>
                <w:bCs/>
                <w:szCs w:val="22"/>
              </w:rPr>
              <w:t>Baseline</w:t>
            </w:r>
          </w:p>
        </w:tc>
      </w:tr>
    </w:tbl>
    <w:p w14:paraId="5BE32E5D" w14:textId="77777777" w:rsidR="004F1012" w:rsidRDefault="002C3C51" w:rsidP="00A44D7D">
      <w:pPr>
        <w:spacing w:after="200"/>
      </w:pPr>
      <w:r>
        <w:rPr>
          <w:i/>
          <w:iCs/>
        </w:rPr>
        <w:t>Table 2.7: Standards Compliance Cost Impact (3-Year NPV)</w:t>
      </w:r>
    </w:p>
    <w:p w14:paraId="35767DE7" w14:textId="77777777" w:rsidR="004F1012" w:rsidRDefault="002C3C51">
      <w:pPr>
        <w:pStyle w:val="Heading1"/>
      </w:pPr>
      <w:r>
        <w:t>The Four Mechanisms of Complexity Cost</w:t>
      </w:r>
    </w:p>
    <w:p w14:paraId="1DC8D1C6" w14:textId="77777777" w:rsidR="004F1012" w:rsidRDefault="002C3C51">
      <w:pPr>
        <w:spacing w:after="200"/>
      </w:pPr>
      <w:r>
        <w:t>Regardless of which pillar generates the complexity, the resulting costs manifest through four distinct mechanisms that consume organizational resources throughout the contract lifecycle.</w:t>
      </w:r>
    </w:p>
    <w:p w14:paraId="3C245E04" w14:textId="77777777" w:rsidR="004F1012" w:rsidRDefault="002C3C51">
      <w:pPr>
        <w:pStyle w:val="Heading3"/>
      </w:pPr>
      <w:r>
        <w:t>1. Comprehension Burden</w:t>
      </w:r>
    </w:p>
    <w:p w14:paraId="5A37850F" w14:textId="28297B8D" w:rsidR="004F1012" w:rsidRDefault="002C3C51">
      <w:pPr>
        <w:spacing w:after="200"/>
      </w:pPr>
      <w:r>
        <w:t xml:space="preserve">Contracts written at advanced reading levels require specialized interpretation for routine business decisions. Each clause interpretation requires </w:t>
      </w:r>
      <w:r w:rsidR="006608E2">
        <w:t>1</w:t>
      </w:r>
      <w:r>
        <w:t>-</w:t>
      </w:r>
      <w:r w:rsidR="00084285">
        <w:t>4</w:t>
      </w:r>
      <w:r>
        <w:t xml:space="preserve"> hours of legal time at professional rates, multiplied across multiple business units making contract-related decisions. For a typical enterprise agreement generating 50-80 interpretation requests annually, comprehension burden alone can reach 25-40% of annual contract value.</w:t>
      </w:r>
    </w:p>
    <w:p w14:paraId="1EF886D7" w14:textId="77777777" w:rsidR="004F1012" w:rsidRDefault="002C3C51">
      <w:pPr>
        <w:pStyle w:val="Heading3"/>
      </w:pPr>
      <w:r>
        <w:t>2. Ambiguity Resolution</w:t>
      </w:r>
    </w:p>
    <w:p w14:paraId="3F599948" w14:textId="77777777" w:rsidR="004F1012" w:rsidRDefault="002C3C51">
      <w:pPr>
        <w:spacing w:after="200"/>
      </w:pPr>
      <w:r>
        <w:t xml:space="preserve">A </w:t>
      </w:r>
      <w:proofErr w:type="spellStart"/>
      <w:r>
        <w:t>WorldCC</w:t>
      </w:r>
      <w:proofErr w:type="spellEnd"/>
      <w:r>
        <w:t xml:space="preserve"> survey of 475 organizations found that uncertainty about the meaning of key provisions is the single biggest threat to realizing contract value. Each ambiguity resolution event—addressing undefined terms like "reasonable," "material," or "prompt"—consumes 15-25 hours of cross-functional time at costs of $4,500 to $9,000 per incident. Agreements with 20+ undefined critical terms can generate 8-12 resolution events annually.</w:t>
      </w:r>
    </w:p>
    <w:p w14:paraId="6B5A3B51" w14:textId="77777777" w:rsidR="004F1012" w:rsidRDefault="002C3C51">
      <w:pPr>
        <w:pStyle w:val="Heading3"/>
      </w:pPr>
      <w:r>
        <w:lastRenderedPageBreak/>
        <w:t>3. Compliance Monitoring</w:t>
      </w:r>
    </w:p>
    <w:p w14:paraId="7FA27C4C" w14:textId="77777777" w:rsidR="004F1012" w:rsidRDefault="002C3C51">
      <w:pPr>
        <w:spacing w:after="200"/>
      </w:pPr>
      <w:r>
        <w:t>Complex restrictions buried in dense paragraphs or scattered across nested documents require ongoing monitoring to avoid inadvertent breach. Organizations must build compliance checklists, train employees, and conduct periodic audits. Compliance monitoring costs for complex agreements run 3-5× higher than for well-drafted equivalents.</w:t>
      </w:r>
    </w:p>
    <w:p w14:paraId="178762C7" w14:textId="77777777" w:rsidR="004F1012" w:rsidRDefault="002C3C51">
      <w:pPr>
        <w:pStyle w:val="Heading3"/>
      </w:pPr>
      <w:r>
        <w:t>4. Change Management</w:t>
      </w:r>
    </w:p>
    <w:p w14:paraId="3FE526D0" w14:textId="77777777" w:rsidR="004F1012" w:rsidRDefault="002C3C51">
      <w:pPr>
        <w:spacing w:after="200"/>
      </w:pPr>
      <w:r>
        <w:t>Modern software agreements routinely grant vendors unilateral modification rights. Each modification triggers a review cycle that compounds with baseline complexity. At 3-4 modifications per year, this adds $9,000 to $21,000 annually in administrative burden.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2133"/>
        <w:gridCol w:w="2099"/>
        <w:gridCol w:w="2345"/>
      </w:tblGrid>
      <w:tr w:rsidR="009626BA" w14:paraId="7A419B96" w14:textId="77777777">
        <w:trPr>
          <w:tblHeader/>
        </w:trPr>
        <w:tc>
          <w:tcPr>
            <w:tcW w:w="2500" w:type="dxa"/>
            <w:shd w:val="clear" w:color="auto" w:fill="D5E8F0"/>
          </w:tcPr>
          <w:p w14:paraId="550ECE15" w14:textId="77777777" w:rsidR="004F1012" w:rsidRDefault="002C3C51">
            <w:pPr>
              <w:jc w:val="center"/>
            </w:pPr>
            <w:r>
              <w:rPr>
                <w:b/>
                <w:bCs/>
                <w:szCs w:val="22"/>
              </w:rPr>
              <w:t>Mechanism</w:t>
            </w:r>
          </w:p>
        </w:tc>
        <w:tc>
          <w:tcPr>
            <w:tcW w:w="2200" w:type="dxa"/>
            <w:shd w:val="clear" w:color="auto" w:fill="D5E8F0"/>
          </w:tcPr>
          <w:p w14:paraId="3404D146" w14:textId="77777777" w:rsidR="004F1012" w:rsidRDefault="002C3C51">
            <w:pPr>
              <w:jc w:val="center"/>
            </w:pPr>
            <w:r>
              <w:rPr>
                <w:b/>
                <w:bCs/>
                <w:szCs w:val="22"/>
              </w:rPr>
              <w:t>Cost Driver</w:t>
            </w:r>
          </w:p>
        </w:tc>
        <w:tc>
          <w:tcPr>
            <w:tcW w:w="2200" w:type="dxa"/>
            <w:shd w:val="clear" w:color="auto" w:fill="D5E8F0"/>
          </w:tcPr>
          <w:p w14:paraId="37DD3582" w14:textId="77777777" w:rsidR="004F1012" w:rsidRDefault="002C3C51">
            <w:pPr>
              <w:jc w:val="center"/>
            </w:pPr>
            <w:r>
              <w:rPr>
                <w:b/>
                <w:bCs/>
                <w:szCs w:val="22"/>
              </w:rPr>
              <w:t>Per-Incident</w:t>
            </w:r>
          </w:p>
        </w:tc>
        <w:tc>
          <w:tcPr>
            <w:tcW w:w="2460" w:type="dxa"/>
            <w:shd w:val="clear" w:color="auto" w:fill="D5E8F0"/>
          </w:tcPr>
          <w:p w14:paraId="3C5A9637" w14:textId="77777777" w:rsidR="004F1012" w:rsidRDefault="002C3C51">
            <w:pPr>
              <w:jc w:val="center"/>
            </w:pPr>
            <w:r>
              <w:rPr>
                <w:b/>
                <w:bCs/>
                <w:szCs w:val="22"/>
              </w:rPr>
              <w:t>Annual Range</w:t>
            </w:r>
          </w:p>
        </w:tc>
      </w:tr>
      <w:tr w:rsidR="009626BA" w14:paraId="26E4506B" w14:textId="77777777">
        <w:tc>
          <w:tcPr>
            <w:tcW w:w="2500" w:type="dxa"/>
          </w:tcPr>
          <w:p w14:paraId="41FAC101" w14:textId="77777777" w:rsidR="004F1012" w:rsidRDefault="002C3C51">
            <w:r>
              <w:rPr>
                <w:b/>
                <w:bCs/>
                <w:szCs w:val="22"/>
              </w:rPr>
              <w:t>Comprehension</w:t>
            </w:r>
          </w:p>
        </w:tc>
        <w:tc>
          <w:tcPr>
            <w:tcW w:w="2200" w:type="dxa"/>
          </w:tcPr>
          <w:p w14:paraId="4BCB126A" w14:textId="77777777" w:rsidR="004F1012" w:rsidRDefault="002C3C51">
            <w:r>
              <w:rPr>
                <w:szCs w:val="22"/>
              </w:rPr>
              <w:t>Interpretation requests</w:t>
            </w:r>
          </w:p>
        </w:tc>
        <w:tc>
          <w:tcPr>
            <w:tcW w:w="2200" w:type="dxa"/>
          </w:tcPr>
          <w:p w14:paraId="488E382F" w14:textId="77777777" w:rsidR="004F1012" w:rsidRDefault="002C3C51">
            <w:pPr>
              <w:jc w:val="center"/>
            </w:pPr>
            <w:r>
              <w:rPr>
                <w:szCs w:val="22"/>
              </w:rPr>
              <w:t>$600 - $1,500</w:t>
            </w:r>
          </w:p>
        </w:tc>
        <w:tc>
          <w:tcPr>
            <w:tcW w:w="2460" w:type="dxa"/>
          </w:tcPr>
          <w:p w14:paraId="130E4E73" w14:textId="77777777" w:rsidR="004F1012" w:rsidRDefault="002C3C51">
            <w:pPr>
              <w:jc w:val="center"/>
            </w:pPr>
            <w:r>
              <w:rPr>
                <w:szCs w:val="22"/>
              </w:rPr>
              <w:t>$75,000 - $120,000</w:t>
            </w:r>
          </w:p>
        </w:tc>
      </w:tr>
      <w:tr w:rsidR="009626BA" w14:paraId="383EBF3E" w14:textId="77777777">
        <w:tc>
          <w:tcPr>
            <w:tcW w:w="2500" w:type="dxa"/>
          </w:tcPr>
          <w:p w14:paraId="1FEDED05" w14:textId="77777777" w:rsidR="004F1012" w:rsidRDefault="002C3C51">
            <w:r>
              <w:rPr>
                <w:b/>
                <w:bCs/>
                <w:szCs w:val="22"/>
              </w:rPr>
              <w:t>Ambiguity Resolution</w:t>
            </w:r>
          </w:p>
        </w:tc>
        <w:tc>
          <w:tcPr>
            <w:tcW w:w="2200" w:type="dxa"/>
          </w:tcPr>
          <w:p w14:paraId="05AA8B9F" w14:textId="77777777" w:rsidR="004F1012" w:rsidRDefault="002C3C51">
            <w:r>
              <w:rPr>
                <w:szCs w:val="22"/>
              </w:rPr>
              <w:t>Undefined terms</w:t>
            </w:r>
          </w:p>
        </w:tc>
        <w:tc>
          <w:tcPr>
            <w:tcW w:w="2200" w:type="dxa"/>
          </w:tcPr>
          <w:p w14:paraId="7ABB0C14" w14:textId="77777777" w:rsidR="004F1012" w:rsidRDefault="002C3C51">
            <w:pPr>
              <w:jc w:val="center"/>
            </w:pPr>
            <w:r>
              <w:rPr>
                <w:szCs w:val="22"/>
              </w:rPr>
              <w:t>$4,500 - $9,000</w:t>
            </w:r>
          </w:p>
        </w:tc>
        <w:tc>
          <w:tcPr>
            <w:tcW w:w="2460" w:type="dxa"/>
          </w:tcPr>
          <w:p w14:paraId="74CB59BE" w14:textId="77777777" w:rsidR="004F1012" w:rsidRDefault="002C3C51">
            <w:pPr>
              <w:jc w:val="center"/>
            </w:pPr>
            <w:r>
              <w:rPr>
                <w:szCs w:val="22"/>
              </w:rPr>
              <w:t>$36,000 - $108,000</w:t>
            </w:r>
          </w:p>
        </w:tc>
      </w:tr>
      <w:tr w:rsidR="009626BA" w14:paraId="6B1C0AC7" w14:textId="77777777">
        <w:tc>
          <w:tcPr>
            <w:tcW w:w="2500" w:type="dxa"/>
          </w:tcPr>
          <w:p w14:paraId="5A3B72AE" w14:textId="77777777" w:rsidR="004F1012" w:rsidRDefault="002C3C51">
            <w:r>
              <w:rPr>
                <w:b/>
                <w:bCs/>
                <w:szCs w:val="22"/>
              </w:rPr>
              <w:t>Compliance</w:t>
            </w:r>
          </w:p>
        </w:tc>
        <w:tc>
          <w:tcPr>
            <w:tcW w:w="2200" w:type="dxa"/>
          </w:tcPr>
          <w:p w14:paraId="35AB7027" w14:textId="77777777" w:rsidR="004F1012" w:rsidRDefault="002C3C51">
            <w:r>
              <w:rPr>
                <w:szCs w:val="22"/>
              </w:rPr>
              <w:t>Monitoring overhead</w:t>
            </w:r>
          </w:p>
        </w:tc>
        <w:tc>
          <w:tcPr>
            <w:tcW w:w="2200" w:type="dxa"/>
          </w:tcPr>
          <w:p w14:paraId="0CFA5413" w14:textId="77777777" w:rsidR="004F1012" w:rsidRDefault="002C3C51">
            <w:pPr>
              <w:jc w:val="center"/>
            </w:pPr>
            <w:r>
              <w:rPr>
                <w:szCs w:val="22"/>
              </w:rPr>
              <w:t>Ongoing</w:t>
            </w:r>
          </w:p>
        </w:tc>
        <w:tc>
          <w:tcPr>
            <w:tcW w:w="2460" w:type="dxa"/>
          </w:tcPr>
          <w:p w14:paraId="7A781073" w14:textId="77777777" w:rsidR="004F1012" w:rsidRDefault="002C3C51">
            <w:pPr>
              <w:jc w:val="center"/>
            </w:pPr>
            <w:r>
              <w:rPr>
                <w:szCs w:val="22"/>
              </w:rPr>
              <w:t>$24,000 - $75,000</w:t>
            </w:r>
          </w:p>
        </w:tc>
      </w:tr>
      <w:tr w:rsidR="009626BA" w14:paraId="02425973" w14:textId="77777777">
        <w:tc>
          <w:tcPr>
            <w:tcW w:w="2500" w:type="dxa"/>
          </w:tcPr>
          <w:p w14:paraId="2DD67000" w14:textId="77777777" w:rsidR="004F1012" w:rsidRDefault="002C3C51">
            <w:r>
              <w:rPr>
                <w:b/>
                <w:bCs/>
                <w:szCs w:val="22"/>
              </w:rPr>
              <w:t>Change Management</w:t>
            </w:r>
          </w:p>
        </w:tc>
        <w:tc>
          <w:tcPr>
            <w:tcW w:w="2200" w:type="dxa"/>
          </w:tcPr>
          <w:p w14:paraId="169385A5" w14:textId="77777777" w:rsidR="004F1012" w:rsidRDefault="002C3C51">
            <w:r>
              <w:rPr>
                <w:szCs w:val="22"/>
              </w:rPr>
              <w:t>Vendor updates</w:t>
            </w:r>
          </w:p>
        </w:tc>
        <w:tc>
          <w:tcPr>
            <w:tcW w:w="2200" w:type="dxa"/>
          </w:tcPr>
          <w:p w14:paraId="347AD605" w14:textId="77777777" w:rsidR="004F1012" w:rsidRDefault="002C3C51">
            <w:pPr>
              <w:jc w:val="center"/>
            </w:pPr>
            <w:r>
              <w:rPr>
                <w:szCs w:val="22"/>
              </w:rPr>
              <w:t>$3,000 - $5,000</w:t>
            </w:r>
          </w:p>
        </w:tc>
        <w:tc>
          <w:tcPr>
            <w:tcW w:w="2460" w:type="dxa"/>
          </w:tcPr>
          <w:p w14:paraId="677157CE" w14:textId="77777777" w:rsidR="004F1012" w:rsidRDefault="002C3C51">
            <w:pPr>
              <w:jc w:val="center"/>
            </w:pPr>
            <w:r>
              <w:rPr>
                <w:szCs w:val="22"/>
              </w:rPr>
              <w:t>$9,000 - $21,000</w:t>
            </w:r>
          </w:p>
        </w:tc>
      </w:tr>
    </w:tbl>
    <w:p w14:paraId="466E3B90" w14:textId="77777777" w:rsidR="004F1012" w:rsidRDefault="002C3C51" w:rsidP="00A44D7D">
      <w:pPr>
        <w:spacing w:after="200"/>
      </w:pPr>
      <w:r>
        <w:rPr>
          <w:i/>
          <w:iCs/>
        </w:rPr>
        <w:t>Table 2.8: The Four Mechanisms of Complexity Cost</w:t>
      </w:r>
    </w:p>
    <w:p w14:paraId="0DEFD24B" w14:textId="77777777" w:rsidR="002C3C51" w:rsidRDefault="002C3C51">
      <w:pPr>
        <w:pStyle w:val="Heading1"/>
      </w:pPr>
      <w:r>
        <w:t>The Own Paper Advantage: Asymmetric Complexity Costs</w:t>
      </w:r>
    </w:p>
    <w:p w14:paraId="44633C98" w14:textId="77777777" w:rsidR="002C3C51" w:rsidRDefault="002C3C51">
      <w:pPr>
        <w:spacing w:after="200"/>
      </w:pPr>
      <w:r>
        <w:t>The complexity tax does not fall equally on both parties. The party that provides the initial contract—negotiating on “their paper”—bears substantially lower complexity costs than the receiving party. This asymmetry has profound implications for incentives to simplify contracts and for negotiation strategy.</w:t>
      </w:r>
    </w:p>
    <w:p w14:paraId="2E1879A6" w14:textId="77777777" w:rsidR="002C3C51" w:rsidRDefault="002C3C51">
      <w:pPr>
        <w:pStyle w:val="Heading2"/>
      </w:pPr>
      <w:r>
        <w:t>The Asymmetry Problem</w:t>
      </w:r>
    </w:p>
    <w:p w14:paraId="7BFF9464" w14:textId="77777777" w:rsidR="002C3C51" w:rsidRDefault="002C3C51">
      <w:pPr>
        <w:spacing w:after="200"/>
      </w:pPr>
      <w:r>
        <w:t>When an organization negotiates using its own templates, it enjoys several structural advantages that reduce the effective complexity tax:</w:t>
      </w:r>
    </w:p>
    <w:p w14:paraId="16ECBE49" w14:textId="77777777" w:rsidR="002C3C51" w:rsidRDefault="002C3C51">
      <w:pPr>
        <w:pStyle w:val="ListParagraph"/>
        <w:numPr>
          <w:ilvl w:val="0"/>
          <w:numId w:val="1"/>
        </w:numPr>
        <w:spacing w:after="200"/>
      </w:pPr>
      <w:r>
        <w:rPr>
          <w:b/>
          <w:bCs/>
        </w:rPr>
        <w:t>Familiarity reduces comprehension burden.</w:t>
      </w:r>
      <w:r>
        <w:t xml:space="preserve"> Legal teams who drafted the template already understand its structure, defined terms, and cross-references. They need not “learn” the document with each new transaction.</w:t>
      </w:r>
    </w:p>
    <w:p w14:paraId="134CB709" w14:textId="77777777" w:rsidR="002C3C51" w:rsidRDefault="002C3C51">
      <w:pPr>
        <w:pStyle w:val="ListParagraph"/>
        <w:numPr>
          <w:ilvl w:val="0"/>
          <w:numId w:val="1"/>
        </w:numPr>
        <w:spacing w:after="200"/>
      </w:pPr>
      <w:r>
        <w:rPr>
          <w:b/>
          <w:bCs/>
        </w:rPr>
        <w:t>Institutional knowledge accumulates.</w:t>
      </w:r>
      <w:r>
        <w:t xml:space="preserve"> Precedent files, clause libraries, and negotiation playbooks exist for proprietary templates. Ambiguity resolution </w:t>
      </w:r>
      <w:r>
        <w:lastRenderedPageBreak/>
        <w:t>becomes faster because the organization has addressed similar questions before.</w:t>
      </w:r>
    </w:p>
    <w:p w14:paraId="011696CF" w14:textId="77777777" w:rsidR="002C3C51" w:rsidRDefault="002C3C51">
      <w:pPr>
        <w:pStyle w:val="ListParagraph"/>
        <w:numPr>
          <w:ilvl w:val="0"/>
          <w:numId w:val="1"/>
        </w:numPr>
        <w:spacing w:after="200"/>
      </w:pPr>
      <w:r>
        <w:rPr>
          <w:b/>
          <w:bCs/>
        </w:rPr>
        <w:t>Compliance infrastructure exists.</w:t>
      </w:r>
      <w:r>
        <w:t xml:space="preserve"> The drafting party has already built compliance checklists, training materials, and monitoring processes around its own templates. The receiving party must build these from scratch for each new counterparty’s paper.</w:t>
      </w:r>
    </w:p>
    <w:p w14:paraId="5AA44210" w14:textId="77777777" w:rsidR="002C3C51" w:rsidRDefault="002C3C51">
      <w:pPr>
        <w:pStyle w:val="ListParagraph"/>
        <w:numPr>
          <w:ilvl w:val="0"/>
          <w:numId w:val="1"/>
        </w:numPr>
        <w:spacing w:after="200"/>
      </w:pPr>
      <w:r>
        <w:rPr>
          <w:b/>
          <w:bCs/>
        </w:rPr>
        <w:t>Change management is controlled.</w:t>
      </w:r>
      <w:r>
        <w:t xml:space="preserve"> The drafting party controls when and how templates evolve. The receiving party faces unilateral modification risk when vendors reserve the right to update incorporated terms.</w:t>
      </w:r>
    </w:p>
    <w:p w14:paraId="6A8748DC" w14:textId="77777777" w:rsidR="002C3C51" w:rsidRDefault="002C3C51">
      <w:pPr>
        <w:spacing w:after="200"/>
      </w:pPr>
      <w:r>
        <w:t>The result is a substantial cost differential. Research indicates that the party negotiating on counterparty paper bears 50-70% higher complexity costs than the drafting party for the same agreement. A contract that imposes a 40% complexity tax on the receiving party may impose only 15-20% on the drafting party.</w:t>
      </w:r>
    </w:p>
    <w:p w14:paraId="63031E8D" w14:textId="77777777" w:rsidR="002C3C51" w:rsidRDefault="002C3C51">
      <w:pPr>
        <w:pStyle w:val="Heading2"/>
      </w:pPr>
      <w:r>
        <w:t>Quantifying the Own Paper Advantage</w:t>
      </w:r>
    </w:p>
    <w:p w14:paraId="09B7E004" w14:textId="77777777" w:rsidR="002C3C51" w:rsidRDefault="002C3C51">
      <w:pPr>
        <w:spacing w:after="200"/>
      </w:pPr>
      <w:r>
        <w:t>The own paper advantage varies by activity type and template maturity. Organizations with optimized, well-maintained templates realize the greatest advantage:</w:t>
      </w:r>
    </w:p>
    <w:tbl>
      <w:tblPr>
        <w:tblStyle w:val="GridTable1Light"/>
        <w:tblW w:w="0" w:type="auto"/>
        <w:tblLook w:val="04A0" w:firstRow="1" w:lastRow="0" w:firstColumn="1" w:lastColumn="0" w:noHBand="0" w:noVBand="1"/>
      </w:tblPr>
      <w:tblGrid>
        <w:gridCol w:w="2477"/>
        <w:gridCol w:w="2187"/>
        <w:gridCol w:w="2171"/>
        <w:gridCol w:w="2181"/>
      </w:tblGrid>
      <w:tr w:rsidR="00586181" w14:paraId="6770B1E3" w14:textId="77777777" w:rsidTr="002C3C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shd w:val="clear" w:color="auto" w:fill="D5E8F0"/>
          </w:tcPr>
          <w:p w14:paraId="6E19B64B" w14:textId="77777777" w:rsidR="00586181" w:rsidRDefault="002C3C51">
            <w:r>
              <w:t>Cost Category</w:t>
            </w:r>
          </w:p>
        </w:tc>
        <w:tc>
          <w:tcPr>
            <w:tcW w:w="2200" w:type="dxa"/>
            <w:shd w:val="clear" w:color="auto" w:fill="D5E8F0"/>
          </w:tcPr>
          <w:p w14:paraId="6B7347F7" w14:textId="77777777" w:rsidR="00586181" w:rsidRDefault="002C3C51">
            <w:pPr>
              <w:cnfStyle w:val="100000000000" w:firstRow="1" w:lastRow="0" w:firstColumn="0" w:lastColumn="0" w:oddVBand="0" w:evenVBand="0" w:oddHBand="0" w:evenHBand="0" w:firstRowFirstColumn="0" w:firstRowLastColumn="0" w:lastRowFirstColumn="0" w:lastRowLastColumn="0"/>
            </w:pPr>
            <w:r>
              <w:t>Counterparty Paper</w:t>
            </w:r>
          </w:p>
        </w:tc>
        <w:tc>
          <w:tcPr>
            <w:tcW w:w="2200" w:type="dxa"/>
            <w:shd w:val="clear" w:color="auto" w:fill="D5E8F0"/>
          </w:tcPr>
          <w:p w14:paraId="409CBE26" w14:textId="77777777" w:rsidR="00586181" w:rsidRDefault="002C3C51">
            <w:pPr>
              <w:cnfStyle w:val="100000000000" w:firstRow="1" w:lastRow="0" w:firstColumn="0" w:lastColumn="0" w:oddVBand="0" w:evenVBand="0" w:oddHBand="0" w:evenHBand="0" w:firstRowFirstColumn="0" w:firstRowLastColumn="0" w:lastRowFirstColumn="0" w:lastRowLastColumn="0"/>
            </w:pPr>
            <w:r>
              <w:t>Own Paper</w:t>
            </w:r>
          </w:p>
        </w:tc>
        <w:tc>
          <w:tcPr>
            <w:tcW w:w="2200" w:type="dxa"/>
            <w:shd w:val="clear" w:color="auto" w:fill="D5E8F0"/>
          </w:tcPr>
          <w:p w14:paraId="5837958A" w14:textId="77777777" w:rsidR="00586181" w:rsidRDefault="002C3C51">
            <w:pPr>
              <w:cnfStyle w:val="100000000000" w:firstRow="1" w:lastRow="0" w:firstColumn="0" w:lastColumn="0" w:oddVBand="0" w:evenVBand="0" w:oddHBand="0" w:evenHBand="0" w:firstRowFirstColumn="0" w:firstRowLastColumn="0" w:lastRowFirstColumn="0" w:lastRowLastColumn="0"/>
            </w:pPr>
            <w:r>
              <w:t>Reduction</w:t>
            </w:r>
          </w:p>
        </w:tc>
      </w:tr>
      <w:tr w:rsidR="00586181" w14:paraId="16893944" w14:textId="77777777" w:rsidTr="00FA2EA1">
        <w:tc>
          <w:tcPr>
            <w:cnfStyle w:val="001000000000" w:firstRow="0" w:lastRow="0" w:firstColumn="1" w:lastColumn="0" w:oddVBand="0" w:evenVBand="0" w:oddHBand="0" w:evenHBand="0" w:firstRowFirstColumn="0" w:firstRowLastColumn="0" w:lastRowFirstColumn="0" w:lastRowLastColumn="0"/>
            <w:tcW w:w="2500" w:type="dxa"/>
          </w:tcPr>
          <w:p w14:paraId="69653ABD" w14:textId="77777777" w:rsidR="00586181" w:rsidRDefault="002C3C51">
            <w:r>
              <w:t>Formation Costs</w:t>
            </w:r>
          </w:p>
        </w:tc>
        <w:tc>
          <w:tcPr>
            <w:tcW w:w="2200" w:type="dxa"/>
          </w:tcPr>
          <w:p w14:paraId="6B8B465D" w14:textId="77777777" w:rsidR="00586181" w:rsidRDefault="002C3C51">
            <w:pPr>
              <w:cnfStyle w:val="000000000000" w:firstRow="0" w:lastRow="0" w:firstColumn="0" w:lastColumn="0" w:oddVBand="0" w:evenVBand="0" w:oddHBand="0" w:evenHBand="0" w:firstRowFirstColumn="0" w:firstRowLastColumn="0" w:lastRowFirstColumn="0" w:lastRowLastColumn="0"/>
            </w:pPr>
            <w:r>
              <w:t>100% (baseline)</w:t>
            </w:r>
          </w:p>
        </w:tc>
        <w:tc>
          <w:tcPr>
            <w:tcW w:w="2200" w:type="dxa"/>
          </w:tcPr>
          <w:p w14:paraId="59175897" w14:textId="77777777" w:rsidR="00586181" w:rsidRDefault="002C3C51">
            <w:pPr>
              <w:cnfStyle w:val="000000000000" w:firstRow="0" w:lastRow="0" w:firstColumn="0" w:lastColumn="0" w:oddVBand="0" w:evenVBand="0" w:oddHBand="0" w:evenHBand="0" w:firstRowFirstColumn="0" w:firstRowLastColumn="0" w:lastRowFirstColumn="0" w:lastRowLastColumn="0"/>
            </w:pPr>
            <w:r>
              <w:t>30-50%</w:t>
            </w:r>
          </w:p>
        </w:tc>
        <w:tc>
          <w:tcPr>
            <w:tcW w:w="2200" w:type="dxa"/>
          </w:tcPr>
          <w:p w14:paraId="6FAE8DF7" w14:textId="77777777" w:rsidR="00586181" w:rsidRDefault="002C3C51">
            <w:pPr>
              <w:cnfStyle w:val="000000000000" w:firstRow="0" w:lastRow="0" w:firstColumn="0" w:lastColumn="0" w:oddVBand="0" w:evenVBand="0" w:oddHBand="0" w:evenHBand="0" w:firstRowFirstColumn="0" w:firstRowLastColumn="0" w:lastRowFirstColumn="0" w:lastRowLastColumn="0"/>
            </w:pPr>
            <w:r>
              <w:t>50-70%</w:t>
            </w:r>
          </w:p>
        </w:tc>
      </w:tr>
      <w:tr w:rsidR="00586181" w14:paraId="4E49C297" w14:textId="77777777" w:rsidTr="00FA2EA1">
        <w:tc>
          <w:tcPr>
            <w:cnfStyle w:val="001000000000" w:firstRow="0" w:lastRow="0" w:firstColumn="1" w:lastColumn="0" w:oddVBand="0" w:evenVBand="0" w:oddHBand="0" w:evenHBand="0" w:firstRowFirstColumn="0" w:firstRowLastColumn="0" w:lastRowFirstColumn="0" w:lastRowLastColumn="0"/>
            <w:tcW w:w="2500" w:type="dxa"/>
          </w:tcPr>
          <w:p w14:paraId="296694FC" w14:textId="77777777" w:rsidR="00586181" w:rsidRDefault="002C3C51">
            <w:r>
              <w:t>Operational Costs</w:t>
            </w:r>
          </w:p>
        </w:tc>
        <w:tc>
          <w:tcPr>
            <w:tcW w:w="2200" w:type="dxa"/>
          </w:tcPr>
          <w:p w14:paraId="5F6E52A0" w14:textId="77777777" w:rsidR="00586181" w:rsidRDefault="002C3C51">
            <w:pPr>
              <w:cnfStyle w:val="000000000000" w:firstRow="0" w:lastRow="0" w:firstColumn="0" w:lastColumn="0" w:oddVBand="0" w:evenVBand="0" w:oddHBand="0" w:evenHBand="0" w:firstRowFirstColumn="0" w:firstRowLastColumn="0" w:lastRowFirstColumn="0" w:lastRowLastColumn="0"/>
            </w:pPr>
            <w:r>
              <w:t>100% (baseline)</w:t>
            </w:r>
          </w:p>
        </w:tc>
        <w:tc>
          <w:tcPr>
            <w:tcW w:w="2200" w:type="dxa"/>
          </w:tcPr>
          <w:p w14:paraId="26649E1E" w14:textId="77777777" w:rsidR="00586181" w:rsidRDefault="002C3C51">
            <w:pPr>
              <w:cnfStyle w:val="000000000000" w:firstRow="0" w:lastRow="0" w:firstColumn="0" w:lastColumn="0" w:oddVBand="0" w:evenVBand="0" w:oddHBand="0" w:evenHBand="0" w:firstRowFirstColumn="0" w:firstRowLastColumn="0" w:lastRowFirstColumn="0" w:lastRowLastColumn="0"/>
            </w:pPr>
            <w:r>
              <w:t>30-50%</w:t>
            </w:r>
          </w:p>
        </w:tc>
        <w:tc>
          <w:tcPr>
            <w:tcW w:w="2200" w:type="dxa"/>
          </w:tcPr>
          <w:p w14:paraId="7D129E24" w14:textId="77777777" w:rsidR="00586181" w:rsidRDefault="002C3C51">
            <w:pPr>
              <w:cnfStyle w:val="000000000000" w:firstRow="0" w:lastRow="0" w:firstColumn="0" w:lastColumn="0" w:oddVBand="0" w:evenVBand="0" w:oddHBand="0" w:evenHBand="0" w:firstRowFirstColumn="0" w:firstRowLastColumn="0" w:lastRowFirstColumn="0" w:lastRowLastColumn="0"/>
            </w:pPr>
            <w:r>
              <w:t>50-70%</w:t>
            </w:r>
          </w:p>
        </w:tc>
      </w:tr>
      <w:tr w:rsidR="00586181" w14:paraId="10BD60AB" w14:textId="77777777" w:rsidTr="00FA2EA1">
        <w:tc>
          <w:tcPr>
            <w:cnfStyle w:val="001000000000" w:firstRow="0" w:lastRow="0" w:firstColumn="1" w:lastColumn="0" w:oddVBand="0" w:evenVBand="0" w:oddHBand="0" w:evenHBand="0" w:firstRowFirstColumn="0" w:firstRowLastColumn="0" w:lastRowFirstColumn="0" w:lastRowLastColumn="0"/>
            <w:tcW w:w="2500" w:type="dxa"/>
          </w:tcPr>
          <w:p w14:paraId="7EBAE9E7" w14:textId="77777777" w:rsidR="00586181" w:rsidRDefault="002C3C51">
            <w:r>
              <w:t>Ambiguity Resolution</w:t>
            </w:r>
          </w:p>
        </w:tc>
        <w:tc>
          <w:tcPr>
            <w:tcW w:w="2200" w:type="dxa"/>
          </w:tcPr>
          <w:p w14:paraId="63AC34F5" w14:textId="77777777" w:rsidR="00586181" w:rsidRDefault="002C3C51">
            <w:pPr>
              <w:cnfStyle w:val="000000000000" w:firstRow="0" w:lastRow="0" w:firstColumn="0" w:lastColumn="0" w:oddVBand="0" w:evenVBand="0" w:oddHBand="0" w:evenHBand="0" w:firstRowFirstColumn="0" w:firstRowLastColumn="0" w:lastRowFirstColumn="0" w:lastRowLastColumn="0"/>
            </w:pPr>
            <w:r>
              <w:t>100% (baseline)</w:t>
            </w:r>
          </w:p>
        </w:tc>
        <w:tc>
          <w:tcPr>
            <w:tcW w:w="2200" w:type="dxa"/>
          </w:tcPr>
          <w:p w14:paraId="60788686" w14:textId="77777777" w:rsidR="00586181" w:rsidRDefault="002C3C51">
            <w:pPr>
              <w:cnfStyle w:val="000000000000" w:firstRow="0" w:lastRow="0" w:firstColumn="0" w:lastColumn="0" w:oddVBand="0" w:evenVBand="0" w:oddHBand="0" w:evenHBand="0" w:firstRowFirstColumn="0" w:firstRowLastColumn="0" w:lastRowFirstColumn="0" w:lastRowLastColumn="0"/>
            </w:pPr>
            <w:r>
              <w:t>15-30%</w:t>
            </w:r>
          </w:p>
        </w:tc>
        <w:tc>
          <w:tcPr>
            <w:tcW w:w="2200" w:type="dxa"/>
          </w:tcPr>
          <w:p w14:paraId="0ACDB5A0" w14:textId="77777777" w:rsidR="00586181" w:rsidRDefault="002C3C51">
            <w:pPr>
              <w:cnfStyle w:val="000000000000" w:firstRow="0" w:lastRow="0" w:firstColumn="0" w:lastColumn="0" w:oddVBand="0" w:evenVBand="0" w:oddHBand="0" w:evenHBand="0" w:firstRowFirstColumn="0" w:firstRowLastColumn="0" w:lastRowFirstColumn="0" w:lastRowLastColumn="0"/>
            </w:pPr>
            <w:r>
              <w:t>70-85%</w:t>
            </w:r>
          </w:p>
        </w:tc>
      </w:tr>
    </w:tbl>
    <w:p w14:paraId="4C3233AC" w14:textId="77777777" w:rsidR="002C3C51" w:rsidRDefault="002C3C51" w:rsidP="00A44D7D">
      <w:pPr>
        <w:spacing w:after="200"/>
      </w:pPr>
      <w:r>
        <w:rPr>
          <w:i/>
          <w:iCs/>
        </w:rPr>
        <w:t>Table 2.9: The Own Paper Advantage by Cost Category</w:t>
      </w:r>
    </w:p>
    <w:p w14:paraId="3CF52620" w14:textId="77777777" w:rsidR="002C3C51" w:rsidRDefault="002C3C51">
      <w:pPr>
        <w:spacing w:after="200"/>
      </w:pPr>
      <w:r>
        <w:t>Ambiguity resolution shows the largest differential because institutional knowledge has the greatest impact here. When a defined term like “Material Adverse Change” appears, the drafting party’s legal team can consult prior interpretations, negotiation history, and approved fallback positions. The receiving party must research the term’s meaning from scratch, often requiring expensive external counsel familiar with the counterparty’s drafting conventions.</w:t>
      </w:r>
    </w:p>
    <w:p w14:paraId="23C46EE5" w14:textId="77777777" w:rsidR="002C3C51" w:rsidRDefault="002C3C51">
      <w:pPr>
        <w:pStyle w:val="Heading2"/>
      </w:pPr>
      <w:r>
        <w:t>The Incentive Misalignment</w:t>
      </w:r>
    </w:p>
    <w:p w14:paraId="41DF15CB" w14:textId="77777777" w:rsidR="002C3C51" w:rsidRDefault="002C3C51">
      <w:pPr>
        <w:spacing w:after="200"/>
      </w:pPr>
      <w:r>
        <w:t xml:space="preserve">This asymmetry creates a fundamental incentive misalignment: the party with the power to simplify contracts—the drafter—bears the smallest share of complexity costs. The party who </w:t>
      </w:r>
      <w:r>
        <w:lastRenderedPageBreak/>
        <w:t>would benefit most from simplification—the receiver—typically lacks the leverage to demand it.</w:t>
      </w:r>
    </w:p>
    <w:p w14:paraId="2653D4FB" w14:textId="77777777" w:rsidR="002C3C51" w:rsidRDefault="002C3C51">
      <w:pPr>
        <w:spacing w:after="200"/>
      </w:pPr>
      <w:r>
        <w:t>Consider a software vendor whose complex MSA imposes a 60% complexity tax on customers but only 20% on the vendor’s own operations. The vendor’s business case for simplification captures only the 20% internal savings—a marginal improvement that rarely justifies the investment in contract modernization. Meanwhile, customers collectively bear three times the complexity burden but lack coordinated voice to demand change.</w:t>
      </w:r>
    </w:p>
    <w:p w14:paraId="791E588D" w14:textId="77777777" w:rsidR="002C3C51" w:rsidRDefault="002C3C51">
      <w:pPr>
        <w:spacing w:after="200"/>
      </w:pPr>
      <w:r>
        <w:t>This explains why contract complexity persists despite widespread recognition of its costs. The parties with authority to simplify face diluted incentives, while those bearing the heaviest burden lack authority to act. Breaking this dynamic requires either market pressure from customers who refuse complex terms, regulatory intervention mandating plain language, or vendor recognition that customer acquisition and retention improve with simpler contracts.</w:t>
      </w:r>
    </w:p>
    <w:p w14:paraId="1C382258" w14:textId="77777777" w:rsidR="002C3C51" w:rsidRDefault="002C3C51">
      <w:pPr>
        <w:pStyle w:val="Heading2"/>
      </w:pPr>
      <w:r>
        <w:t>Strategic Response: Negotiating for Simplification</w:t>
      </w:r>
    </w:p>
    <w:p w14:paraId="308A4D08" w14:textId="77777777" w:rsidR="002C3C51" w:rsidRDefault="002C3C51">
      <w:pPr>
        <w:spacing w:after="200"/>
      </w:pPr>
      <w:r>
        <w:t>Organizations receiving counterparty paper should treat complexity reduction as a negotiation priority, not merely a drafting preference. Specific strategies include:</w:t>
      </w:r>
    </w:p>
    <w:p w14:paraId="44B9F530" w14:textId="77777777" w:rsidR="002C3C51" w:rsidRDefault="002C3C51">
      <w:pPr>
        <w:pStyle w:val="ListParagraph"/>
        <w:numPr>
          <w:ilvl w:val="0"/>
          <w:numId w:val="1"/>
        </w:numPr>
        <w:spacing w:after="200"/>
      </w:pPr>
      <w:r>
        <w:rPr>
          <w:b/>
          <w:bCs/>
        </w:rPr>
        <w:t>Quantify the asymmetry explicitly.</w:t>
      </w:r>
      <w:r>
        <w:t xml:space="preserve"> Calculate your organization’s complexity costs and present them to the counterparty. Vendors often underestimate the burden their templates impose because they never experience it themselves.</w:t>
      </w:r>
    </w:p>
    <w:p w14:paraId="2CFFFEA4" w14:textId="77777777" w:rsidR="002C3C51" w:rsidRDefault="002C3C51">
      <w:pPr>
        <w:pStyle w:val="ListParagraph"/>
        <w:numPr>
          <w:ilvl w:val="0"/>
          <w:numId w:val="1"/>
        </w:numPr>
        <w:spacing w:after="200"/>
      </w:pPr>
      <w:r>
        <w:rPr>
          <w:b/>
          <w:bCs/>
        </w:rPr>
        <w:t>Propose mutual simplification.</w:t>
      </w:r>
      <w:r>
        <w:t xml:space="preserve"> Frame simplification as benefiting both parties through faster negotiation cycles, reduced disputes, and improved relationship quality—not as a one-sided concession.</w:t>
      </w:r>
    </w:p>
    <w:p w14:paraId="73D8A900" w14:textId="77777777" w:rsidR="002C3C51" w:rsidRDefault="002C3C51">
      <w:pPr>
        <w:pStyle w:val="ListParagraph"/>
        <w:numPr>
          <w:ilvl w:val="0"/>
          <w:numId w:val="1"/>
        </w:numPr>
        <w:spacing w:after="200"/>
      </w:pPr>
      <w:r>
        <w:rPr>
          <w:b/>
          <w:bCs/>
        </w:rPr>
        <w:t>Offer to share simplification benefits.</w:t>
      </w:r>
      <w:r>
        <w:t xml:space="preserve"> If simplification reduces your costs by $40,000 per year, offer to split the savings through price adjustments or extended terms. This aligns the vendor’s incentives with yours.</w:t>
      </w:r>
    </w:p>
    <w:p w14:paraId="59D85385" w14:textId="77777777" w:rsidR="002C3C51" w:rsidRDefault="002C3C51">
      <w:pPr>
        <w:pStyle w:val="ListParagraph"/>
        <w:numPr>
          <w:ilvl w:val="0"/>
          <w:numId w:val="1"/>
        </w:numPr>
        <w:spacing w:after="200"/>
      </w:pPr>
      <w:r>
        <w:rPr>
          <w:b/>
          <w:bCs/>
        </w:rPr>
        <w:t>Coordinate with other customers.</w:t>
      </w:r>
      <w:r>
        <w:t xml:space="preserve"> Industry groups, user conferences, and procurement consortiums can amplify individual voices. When multiple customers demand simpler contracts, vendors face competitive pressure to respond.</w:t>
      </w:r>
    </w:p>
    <w:p w14:paraId="5B08EC28" w14:textId="77777777" w:rsidR="002C3C51" w:rsidRDefault="002C3C51">
      <w:pPr>
        <w:pStyle w:val="ListParagraph"/>
        <w:numPr>
          <w:ilvl w:val="0"/>
          <w:numId w:val="1"/>
        </w:numPr>
        <w:spacing w:after="200"/>
      </w:pPr>
      <w:r>
        <w:rPr>
          <w:b/>
          <w:bCs/>
        </w:rPr>
        <w:t>Factor complexity into vendor selection.</w:t>
      </w:r>
      <w:r>
        <w:t xml:space="preserve"> Include contract complexity as an explicit evaluation criterion in RFPs. A vendor offering 5% lower pricing but 30% higher complexity costs represents a net negative.</w:t>
      </w:r>
    </w:p>
    <w:p w14:paraId="0058A861" w14:textId="77777777" w:rsidR="002C3C51" w:rsidRDefault="002C3C51">
      <w:pPr>
        <w:spacing w:after="200"/>
      </w:pPr>
      <w:r>
        <w:t>The own paper advantage means that complexity reduction requires active effort from the disadvantaged party. Organizations that passively accept counterparty templates subsidize their vendors’ administrative convenience at their own expense.</w:t>
      </w:r>
    </w:p>
    <w:p w14:paraId="64404FA7" w14:textId="77777777" w:rsidR="002C3C51" w:rsidRDefault="002C3C51">
      <w:pPr>
        <w:pStyle w:val="Heading1"/>
      </w:pPr>
      <w:r>
        <w:t>The Complexity Fallacy: Does Length Equal Protection?</w:t>
      </w:r>
    </w:p>
    <w:p w14:paraId="123C9F46" w14:textId="77777777" w:rsidR="002C3C51" w:rsidRDefault="002C3C51">
      <w:pPr>
        <w:spacing w:after="200"/>
      </w:pPr>
      <w:r>
        <w:lastRenderedPageBreak/>
        <w:t>A persistent belief among legal professionals holds that detailed, comprehensive contracts provide superior protection against risk. The argument runs as follows: commercial relationships involve countless potential scenarios, and only exhaustive documentation can adequately allocate responsibility for each contingency. Under this view, contract complexity is not a bug but a feature—the unavoidable cost of legal certainty.</w:t>
      </w:r>
    </w:p>
    <w:p w14:paraId="3AB70DFB" w14:textId="77777777" w:rsidR="002C3C51" w:rsidRDefault="002C3C51">
      <w:pPr>
        <w:spacing w:after="200"/>
      </w:pPr>
      <w:r>
        <w:t>This assumption deserves scrutiny. Empirical evidence suggests the relationship between complexity and protection is far weaker than commonly believed—and may in fact be inverse.</w:t>
      </w:r>
    </w:p>
    <w:p w14:paraId="1BA02FF3" w14:textId="77777777" w:rsidR="002C3C51" w:rsidRDefault="002C3C51">
      <w:pPr>
        <w:pStyle w:val="Heading2"/>
      </w:pPr>
      <w:r>
        <w:t>The Illusion of Contractual Certainty</w:t>
      </w:r>
    </w:p>
    <w:p w14:paraId="6B5C47FB" w14:textId="7677DF31" w:rsidR="002C3C51" w:rsidRDefault="002C3C51">
      <w:pPr>
        <w:spacing w:after="200"/>
      </w:pPr>
      <w:r>
        <w:t xml:space="preserve">The Scottish &amp; Newcastle case study, documented </w:t>
      </w:r>
      <w:r w:rsidR="00B82944">
        <w:t xml:space="preserve">more fully </w:t>
      </w:r>
      <w:r>
        <w:t>in Chapter 5, provides striking evidence against the complexity-equals-protection thesis. S&amp;N’s legal team observed that the more detailed a contract, the greater the likelihood of ambiguity or internal inconsistency. They witnessed parties spending millions of pounds over many years attempting to interpret contracts running to several hundred pages—documents drafted by prestigious law firms that ultimately trapped both parties with no easy resolution.</w:t>
      </w:r>
    </w:p>
    <w:p w14:paraId="4E4245B2" w14:textId="77777777" w:rsidR="002C3C51" w:rsidRDefault="002C3C51">
      <w:pPr>
        <w:spacing w:after="200"/>
      </w:pPr>
      <w:r>
        <w:t>This finding inverts conventional wisdom. Contracts drafted to provide certainty instead generated years of costly uncertainty. The complexity intended to eliminate disputes became the source of disputes. Each additional clause created additional opportunities for contradiction, ambiguity, and misinterpretation.</w:t>
      </w:r>
    </w:p>
    <w:p w14:paraId="5F788B83" w14:textId="77777777" w:rsidR="002C3C51" w:rsidRDefault="002C3C51">
      <w:pPr>
        <w:pStyle w:val="Heading2"/>
      </w:pPr>
      <w:r>
        <w:t>Complexity Creates Risk</w:t>
      </w:r>
    </w:p>
    <w:p w14:paraId="2E8D163B" w14:textId="64F535B4" w:rsidR="002C3C51" w:rsidRDefault="002C3C51">
      <w:pPr>
        <w:spacing w:after="200"/>
      </w:pPr>
      <w:r>
        <w:t>The structural complexity data presented earlier in this chapter quantifies the problem. Analysis of over 35,000 SEC-filed agreements found that 97% of merger agreements contained at least one cross-reference error, and 70% contained ten or more such errors</w:t>
      </w:r>
      <w:r w:rsidR="00315B40">
        <w:rPr>
          <w:rStyle w:val="FootnoteReference"/>
        </w:rPr>
        <w:footnoteReference w:id="9"/>
      </w:r>
      <w:r>
        <w:t>. These are not casual documents—they are high-stakes transactions drafted by sophisticated counsel with unlimited budgets for precision. Yet complexity itself introduces defects that simpler documents would avoid.</w:t>
      </w:r>
    </w:p>
    <w:p w14:paraId="759A8FA6" w14:textId="77777777" w:rsidR="002C3C51" w:rsidRDefault="002C3C51">
      <w:pPr>
        <w:spacing w:after="200"/>
      </w:pPr>
      <w:r>
        <w:t>Consider the mechanisms by which complexity creates rather than mitigates risk:</w:t>
      </w:r>
    </w:p>
    <w:p w14:paraId="4585D8AD" w14:textId="77777777" w:rsidR="002C3C51" w:rsidRDefault="002C3C51">
      <w:pPr>
        <w:pStyle w:val="ListParagraph"/>
        <w:numPr>
          <w:ilvl w:val="0"/>
          <w:numId w:val="1"/>
        </w:numPr>
        <w:spacing w:after="200"/>
      </w:pPr>
      <w:r>
        <w:rPr>
          <w:b/>
          <w:bCs/>
        </w:rPr>
        <w:t>Structural defects multiply with length.</w:t>
      </w:r>
      <w:r>
        <w:t xml:space="preserve"> Every cross-reference is a potential broken link. Every defined term is a potential inconsistency. A 100-page agreement with 300 cross-references has 300 opportunities for error; a 10-</w:t>
      </w:r>
      <w:r>
        <w:lastRenderedPageBreak/>
        <w:t>page agreement with 20 cross-references has 20. The probability that at least one defect exists approaches certainty as document length increases.</w:t>
      </w:r>
    </w:p>
    <w:p w14:paraId="3AD64AFA" w14:textId="77777777" w:rsidR="002C3C51" w:rsidRDefault="002C3C51">
      <w:pPr>
        <w:pStyle w:val="ListParagraph"/>
        <w:numPr>
          <w:ilvl w:val="0"/>
          <w:numId w:val="1"/>
        </w:numPr>
        <w:spacing w:after="200"/>
      </w:pPr>
      <w:r>
        <w:rPr>
          <w:b/>
          <w:bCs/>
        </w:rPr>
        <w:t>Exhaustive enumeration invites the excluded middle.</w:t>
      </w:r>
      <w:r>
        <w:t xml:space="preserve"> When a contract attempts to list every covered scenario, courts may conclude that unlisted scenarios are excluded—the legal doctrine of </w:t>
      </w:r>
      <w:r>
        <w:rPr>
          <w:i/>
          <w:iCs/>
        </w:rPr>
        <w:t>expressio unius est exclusio alterius</w:t>
      </w:r>
      <w:r>
        <w:t>. Paradoxically, a general provision covering “all claims arising from the services” may provide broader protection than an exhaustive list that inadvertently omits a category.</w:t>
      </w:r>
    </w:p>
    <w:p w14:paraId="4A072266" w14:textId="77777777" w:rsidR="002C3C51" w:rsidRDefault="002C3C51">
      <w:pPr>
        <w:pStyle w:val="ListParagraph"/>
        <w:numPr>
          <w:ilvl w:val="0"/>
          <w:numId w:val="1"/>
        </w:numPr>
        <w:spacing w:after="200"/>
      </w:pPr>
      <w:r>
        <w:rPr>
          <w:b/>
          <w:bCs/>
        </w:rPr>
        <w:t>Internal contradictions create litigation opportunity.</w:t>
      </w:r>
      <w:r>
        <w:t xml:space="preserve"> Long documents drafted over extended periods by multiple authors frequently contain provisions that conflict. When Section 4.2 grants a right that Section 7.8 appears to limit, both parties can cite the contract in support of their position. The resulting ambiguity must be resolved through expensive litigation or arbitration.</w:t>
      </w:r>
    </w:p>
    <w:p w14:paraId="0EBF8B22" w14:textId="77777777" w:rsidR="002C3C51" w:rsidRDefault="002C3C51">
      <w:pPr>
        <w:pStyle w:val="ListParagraph"/>
        <w:numPr>
          <w:ilvl w:val="0"/>
          <w:numId w:val="1"/>
        </w:numPr>
        <w:spacing w:after="200"/>
      </w:pPr>
      <w:r>
        <w:rPr>
          <w:b/>
          <w:bCs/>
        </w:rPr>
        <w:t>Complexity obscures material terms.</w:t>
      </w:r>
      <w:r>
        <w:t xml:space="preserve"> When critical provisions are buried in dense paragraphs surrounded by boilerplate, parties may not understand their actual obligations. A clear two-page agreement that both parties read and understand provides more practical protection than a 50-page agreement that neither party fully comprehends.</w:t>
      </w:r>
    </w:p>
    <w:p w14:paraId="6549564A" w14:textId="77777777" w:rsidR="002C3C51" w:rsidRDefault="002C3C51">
      <w:pPr>
        <w:pStyle w:val="Heading2"/>
      </w:pPr>
      <w:r>
        <w:t>The Wrong Risk Problem</w:t>
      </w:r>
    </w:p>
    <w:p w14:paraId="498044E6" w14:textId="77777777" w:rsidR="002C3C51" w:rsidRDefault="002C3C51">
      <w:pPr>
        <w:spacing w:after="200"/>
      </w:pPr>
      <w:r>
        <w:t>Perhaps most damaging, complexity often focuses attention on the wrong risks. S&amp;N documented a telling example: their external lawyers spent weeks amending stock clauses—changing “best endeavours” to “all reasonable commercial endeavours,” inserting change of control provisions, debating liability caps. Meanwhile, they missed the critical legal issue: insolvency risk on a retrospective rebate clause. When the supplier went bankrupt, S&amp;N lost over £200,000 because the rebate was an ordinary unsecured claim in liquidation. Simple protections—monthly payments into escrow or trust—would have prevented the loss entirely.</w:t>
      </w:r>
    </w:p>
    <w:p w14:paraId="58E01A99" w14:textId="77777777" w:rsidR="002C3C51" w:rsidRDefault="002C3C51">
      <w:pPr>
        <w:spacing w:after="200"/>
      </w:pPr>
      <w:r>
        <w:t>This pattern recurs across industries. Legal teams invest enormous effort negotiating the precise wording of indemnification provisions while ignoring whether the counterparty has the financial capacity to honor those indemnifications. They debate the scope of limitation of liability clauses while overlooking operational risks that no contract clause can address. Complexity consumes the bandwidth that should be devoted to identifying and managing material risks.</w:t>
      </w:r>
    </w:p>
    <w:p w14:paraId="286940C4" w14:textId="77777777" w:rsidR="002C3C51" w:rsidRDefault="002C3C51">
      <w:pPr>
        <w:pStyle w:val="Heading2"/>
      </w:pPr>
      <w:r>
        <w:t>Relationship Incentives Outperform Contractual Enforcement</w:t>
      </w:r>
    </w:p>
    <w:p w14:paraId="68E6693B" w14:textId="77777777" w:rsidR="002C3C51" w:rsidRDefault="002C3C51">
      <w:pPr>
        <w:spacing w:after="200"/>
      </w:pPr>
      <w:r>
        <w:t xml:space="preserve">The complexity thesis assumes that contractual enforcement is the primary mechanism for ensuring performance. But in continuing commercial relationships, forcing compliance through courts typically produces begrudging performance, work-to-rule behavior, or </w:t>
      </w:r>
      <w:r>
        <w:lastRenderedPageBreak/>
        <w:t>protracted litigation with uncertain outcomes. The available remedies—typically monetary damages—are difficult to quantify and rarely compensate adequately for business disruption.</w:t>
      </w:r>
    </w:p>
    <w:p w14:paraId="6A5FE7F4" w14:textId="77777777" w:rsidR="002C3C51" w:rsidRDefault="002C3C51">
      <w:pPr>
        <w:spacing w:after="200"/>
      </w:pPr>
      <w:r>
        <w:t>S&amp;N recognized a more powerful enforcement mechanism: what they termed “commercial affinity”—the attractive force keeping parties together through mutual benefit rather than legal compulsion. A supplier motivated by profit retention will strive to satisfy customers more effectively than any penalty clause can mandate. When S&amp;N replaced a 200-page outsourcing contract (complete with detailed KPIs and liquidated damages) with a simple provision allowing either party to terminate on twelve months’ notice, the relationship improved dramatically. The “nuclear button” of easy exit created stronger incentives for good performance than the complex enforcement apparatus it replaced.</w:t>
      </w:r>
    </w:p>
    <w:p w14:paraId="7C526E94" w14:textId="77777777" w:rsidR="002C3C51" w:rsidRDefault="002C3C51">
      <w:pPr>
        <w:pStyle w:val="Heading2"/>
      </w:pPr>
      <w:r>
        <w:t>The Evidence from Plain Language Initiatives</w:t>
      </w:r>
    </w:p>
    <w:p w14:paraId="01691609" w14:textId="3F3495A1" w:rsidR="002C3C51" w:rsidRDefault="002C3C51">
      <w:pPr>
        <w:spacing w:after="200"/>
      </w:pPr>
      <w:r>
        <w:t>Organizations that have adopted plain language contracting report outcomes that contradict the complexity thesis. GE Aviation’s digital services unit transformed seven contracts averaging 25 pages each—the longest being 54 pages—into a single five-page plain-language agreement. Negotiation time dropped by 60%. Customers signed without changes. Disputes over contract wording essentially disappeared. If complexity were necessary for protection, these simplified agreements should have generated more disputes, not fewer</w:t>
      </w:r>
      <w:r w:rsidR="00E56F0E">
        <w:rPr>
          <w:rStyle w:val="FootnoteReference"/>
        </w:rPr>
        <w:footnoteReference w:id="10"/>
      </w:r>
      <w:r>
        <w:t>.</w:t>
      </w:r>
    </w:p>
    <w:p w14:paraId="377F0AE5" w14:textId="7C43ACE5" w:rsidR="002C3C51" w:rsidRDefault="002C3C51">
      <w:pPr>
        <w:spacing w:after="200"/>
      </w:pPr>
      <w:r>
        <w:t>WorldCC research indicates that plain language contracts reduce negotiation cycles by up to 50% while improving relationship quality and reducing disputes. The Canada Public Services and Procurement Contract Modernization Initiative demonstrated that even highly regulated government procurement can achieve radical simplification without sacrificing legal effectiveness</w:t>
      </w:r>
      <w:r w:rsidR="00B5408C">
        <w:rPr>
          <w:rStyle w:val="FootnoteReference"/>
        </w:rPr>
        <w:footnoteReference w:id="11"/>
      </w:r>
      <w:r>
        <w:t>.</w:t>
      </w:r>
    </w:p>
    <w:p w14:paraId="1FD1D2CE" w14:textId="77777777" w:rsidR="002C3C51" w:rsidRDefault="002C3C51">
      <w:pPr>
        <w:pStyle w:val="Heading2"/>
      </w:pPr>
      <w:r>
        <w:t>Reframing the Question</w:t>
      </w:r>
    </w:p>
    <w:p w14:paraId="4F90DF15" w14:textId="77777777" w:rsidR="002C3C51" w:rsidRDefault="002C3C51">
      <w:pPr>
        <w:spacing w:after="200"/>
      </w:pPr>
      <w:r>
        <w:t>The question is not whether contracts should address risk—they should. The question is whether complexity is the optimal method for doing so. The evidence suggests it is not. Effective risk management requires identifying material risks (which complexity often obscures), allocating those risks to parties best positioned to manage them (which requires clear language both parties understand), creating incentives for performance (which relationship structures achieve better than penalty clauses), and enabling efficient dispute resolution (which ambiguous language defeats).</w:t>
      </w:r>
    </w:p>
    <w:p w14:paraId="03CB15F4" w14:textId="77777777" w:rsidR="002C3C51" w:rsidRDefault="002C3C51">
      <w:pPr>
        <w:spacing w:after="200"/>
      </w:pPr>
      <w:r>
        <w:lastRenderedPageBreak/>
        <w:t>A well-drafted simple contract achieves all four objectives more effectively than a poorly-drafted complex one. The goal is not minimal documentation but optimal documentation—contracts that are as simple as possible while remaining as comprehensive as necessary. The complexity tax represents the cost of exceeding that optimum, not the price of adequate protection.</w:t>
      </w:r>
    </w:p>
    <w:p w14:paraId="2115E5A5" w14:textId="77777777" w:rsidR="004F1012" w:rsidRDefault="002C3C51">
      <w:pPr>
        <w:pStyle w:val="Heading1"/>
      </w:pPr>
      <w:r>
        <w:t>The Litigation Risk of Structural Errors</w:t>
      </w:r>
    </w:p>
    <w:p w14:paraId="6017A0AA" w14:textId="77777777" w:rsidR="004F1012" w:rsidRDefault="002C3C51">
      <w:pPr>
        <w:spacing w:after="200"/>
      </w:pPr>
      <w:r>
        <w:t>Beyond administrative costs, structural complexity creates direct litigation risk. When contracts contain broken cross-references, undefined terms, or inconsistent definitions, courts must interpret ambiguous provisions—often with results that surprise both parties.</w:t>
      </w:r>
    </w:p>
    <w:p w14:paraId="057B7CAB" w14:textId="77777777" w:rsidR="004F1012" w:rsidRDefault="002C3C51">
      <w:pPr>
        <w:pStyle w:val="Heading2"/>
      </w:pPr>
      <w:r>
        <w:t>Labyrinth, Inc. v. Urich (2023)</w:t>
      </w:r>
    </w:p>
    <w:p w14:paraId="6D6A569A" w14:textId="02304BA1" w:rsidR="004F1012" w:rsidRDefault="002C3C51">
      <w:pPr>
        <w:spacing w:after="200"/>
      </w:pPr>
      <w:r>
        <w:t>In this Delaware Chancery Court opinion</w:t>
      </w:r>
      <w:r w:rsidR="00C6787B">
        <w:rPr>
          <w:rStyle w:val="FootnoteReference"/>
        </w:rPr>
        <w:footnoteReference w:id="12"/>
      </w:r>
      <w:r>
        <w:t>,</w:t>
      </w:r>
      <w:r w:rsidR="00C6787B">
        <w:t xml:space="preserve"> </w:t>
      </w:r>
      <w:r>
        <w:t xml:space="preserve">the court refused to dismiss fraud claims based partly on a stock purchase agreement containing critical cross-references to sections that did not exist. The agreement's indemnification </w:t>
      </w:r>
      <w:r w:rsidR="00BC3488">
        <w:t xml:space="preserve">provision </w:t>
      </w:r>
      <w:proofErr w:type="gramStart"/>
      <w:r w:rsidR="00BC3488">
        <w:t>referenced</w:t>
      </w:r>
      <w:proofErr w:type="gramEnd"/>
      <w:r>
        <w:t xml:space="preserve"> "Section 10.12" </w:t>
      </w:r>
      <w:proofErr w:type="gramStart"/>
      <w:r>
        <w:t>for</w:t>
      </w:r>
      <w:proofErr w:type="gramEnd"/>
      <w:r>
        <w:t xml:space="preserve"> an important limitation—but Section 10.12 did not exist in the document. Chancellor Zurn noted that while the error might seem minor, the ambiguity required factual inquiry to determine the parties' actual intent, allowing the case to proceed.</w:t>
      </w:r>
    </w:p>
    <w:p w14:paraId="238951C6" w14:textId="77777777" w:rsidR="004F1012" w:rsidRDefault="002C3C51">
      <w:pPr>
        <w:pStyle w:val="Heading2"/>
      </w:pPr>
      <w:r>
        <w:t>Charles R. Tips Family Trust v. PB Commercial LLC</w:t>
      </w:r>
    </w:p>
    <w:p w14:paraId="6612EE45" w14:textId="77777777" w:rsidR="004F1012" w:rsidRDefault="002C3C51">
      <w:pPr>
        <w:spacing w:after="200"/>
      </w:pPr>
      <w:r>
        <w:t>More dramatically, a Texas Court of Appeals</w:t>
      </w:r>
      <w:r>
        <w:rPr>
          <w:rStyle w:val="FootnoteReference"/>
        </w:rPr>
        <w:footnoteReference w:id="13"/>
      </w:r>
      <w:r>
        <w:t>ruled on a loan document stating the principal amount as "ONE MILLION SEVEN THOUSAND AND NO/100 ($1,700,000) DOLLARS." Although the borroweractually received $1,700,000, the court applied the rule that written terms prevail over numerals, holding that the borrower was only obligated to repay $1,007,000. A simple number/word mismatch—the kind of error that proliferates in complex documents—resulted in a $693,000 windfall for the borrower.</w:t>
      </w:r>
    </w:p>
    <w:p w14:paraId="7F4BC8FF" w14:textId="77777777" w:rsidR="00F91B73" w:rsidRPr="00E9233E" w:rsidRDefault="002C3C51" w:rsidP="00E9233E">
      <w:pPr>
        <w:spacing w:after="200"/>
      </w:pPr>
      <w:r>
        <w:t xml:space="preserve">These cases illustrate a broader pattern. Every structural </w:t>
      </w:r>
      <w:proofErr w:type="gramStart"/>
      <w:r>
        <w:t>error—</w:t>
      </w:r>
      <w:proofErr w:type="gramEnd"/>
      <w:r>
        <w:t>every broken cross-reference, every undefined term, every duplicate definition—represents potential litigation exposure.</w:t>
      </w:r>
    </w:p>
    <w:p w14:paraId="196AC91D" w14:textId="77777777" w:rsidR="00E9233E" w:rsidRDefault="00E9233E">
      <w:pPr>
        <w:spacing w:before="0" w:after="0" w:line="240" w:lineRule="auto"/>
        <w:rPr>
          <w:b/>
          <w:bCs/>
          <w:color w:val="1F4E79"/>
          <w:sz w:val="32"/>
          <w:szCs w:val="32"/>
        </w:rPr>
      </w:pPr>
      <w:r>
        <w:br w:type="page"/>
      </w:r>
    </w:p>
    <w:p w14:paraId="30B2155C" w14:textId="77777777" w:rsidR="004F1012" w:rsidRDefault="002C3C51">
      <w:pPr>
        <w:pStyle w:val="Heading1"/>
      </w:pPr>
      <w:r>
        <w:lastRenderedPageBreak/>
        <w:t>Advanced Modeling: The Independence Problem</w:t>
      </w:r>
    </w:p>
    <w:p w14:paraId="3AEA2A43" w14:textId="77777777" w:rsidR="004F1012" w:rsidRDefault="002C3C51">
      <w:pPr>
        <w:spacing w:after="200"/>
      </w:pPr>
      <w:r>
        <w:t xml:space="preserve">A fundamental question in </w:t>
      </w:r>
      <w:proofErr w:type="gramStart"/>
      <w:r>
        <w:t>complexity</w:t>
      </w:r>
      <w:proofErr w:type="gramEnd"/>
      <w:r>
        <w:t xml:space="preserve"> cost modeling is whether the three pillars operate independently or share common causes. This distinction significantly affects how multipliers combine.</w:t>
      </w:r>
    </w:p>
    <w:p w14:paraId="44641CE3" w14:textId="77777777" w:rsidR="004F1012" w:rsidRDefault="002C3C51">
      <w:pPr>
        <w:pStyle w:val="Heading2"/>
      </w:pPr>
      <w:r>
        <w:t>The Correlation Challenge</w:t>
      </w:r>
    </w:p>
    <w:p w14:paraId="4FB5146B" w14:textId="77777777" w:rsidR="004F1012" w:rsidRDefault="002C3C51">
      <w:pPr>
        <w:spacing w:after="200"/>
      </w:pPr>
      <w:r>
        <w:t>When multipliers are combined using pure multiplication, the model assumes each factor operates in isolation:</w:t>
      </w:r>
    </w:p>
    <w:p w14:paraId="70DD328C" w14:textId="77777777" w:rsidR="004F1012" w:rsidRDefault="002C3C51">
      <w:pPr>
        <w:shd w:val="clear" w:color="auto" w:fill="F3F4F6"/>
        <w:spacing w:before="200" w:after="200"/>
        <w:jc w:val="center"/>
      </w:pPr>
      <w:r>
        <w:rPr>
          <w:b/>
          <w:bCs/>
        </w:rPr>
        <w:t>Combined Multiplier = Language × Ambiguity × Structural</w:t>
      </w:r>
    </w:p>
    <w:p w14:paraId="70E9115A" w14:textId="77777777" w:rsidR="004F1012" w:rsidRDefault="002C3C51">
      <w:pPr>
        <w:spacing w:after="200"/>
      </w:pPr>
      <w:r>
        <w:t>For example, with multipliers of 1.45× (language), 1.32× (ambiguity), and 1.40× (structural), the multiplicative model yields: 1.45 × 1.32 × 1.40 = 2.68×</w:t>
      </w:r>
    </w:p>
    <w:p w14:paraId="384BAA7F" w14:textId="77777777" w:rsidR="004F1012" w:rsidRDefault="002C3C51">
      <w:pPr>
        <w:spacing w:after="200"/>
      </w:pPr>
      <w:r>
        <w:t>However, research and practical observation reveal that these factors are not independent. The following correlations exist: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3"/>
        <w:gridCol w:w="1943"/>
        <w:gridCol w:w="5120"/>
      </w:tblGrid>
      <w:tr w:rsidR="009626BA" w14:paraId="7F88989F" w14:textId="77777777">
        <w:trPr>
          <w:tblHeader/>
        </w:trPr>
        <w:tc>
          <w:tcPr>
            <w:tcW w:w="2000" w:type="dxa"/>
            <w:shd w:val="clear" w:color="auto" w:fill="D5E8F0"/>
          </w:tcPr>
          <w:p w14:paraId="49D8AD44" w14:textId="77777777" w:rsidR="004F1012" w:rsidRDefault="002C3C51">
            <w:pPr>
              <w:jc w:val="center"/>
            </w:pPr>
            <w:r>
              <w:rPr>
                <w:b/>
                <w:bCs/>
                <w:szCs w:val="22"/>
              </w:rPr>
              <w:t>Correlation</w:t>
            </w:r>
          </w:p>
        </w:tc>
        <w:tc>
          <w:tcPr>
            <w:tcW w:w="2000" w:type="dxa"/>
            <w:shd w:val="clear" w:color="auto" w:fill="D5E8F0"/>
          </w:tcPr>
          <w:p w14:paraId="187BEF75" w14:textId="77777777" w:rsidR="004F1012" w:rsidRDefault="002C3C51">
            <w:pPr>
              <w:jc w:val="center"/>
            </w:pPr>
            <w:r>
              <w:rPr>
                <w:b/>
                <w:bCs/>
                <w:szCs w:val="22"/>
              </w:rPr>
              <w:t>Direction</w:t>
            </w:r>
          </w:p>
        </w:tc>
        <w:tc>
          <w:tcPr>
            <w:tcW w:w="5360" w:type="dxa"/>
            <w:shd w:val="clear" w:color="auto" w:fill="D5E8F0"/>
          </w:tcPr>
          <w:p w14:paraId="659E289A" w14:textId="77777777" w:rsidR="004F1012" w:rsidRDefault="002C3C51">
            <w:pPr>
              <w:jc w:val="center"/>
            </w:pPr>
            <w:r>
              <w:rPr>
                <w:b/>
                <w:bCs/>
                <w:szCs w:val="22"/>
              </w:rPr>
              <w:t>Mechanism</w:t>
            </w:r>
          </w:p>
        </w:tc>
      </w:tr>
      <w:tr w:rsidR="009626BA" w14:paraId="142DF346" w14:textId="77777777">
        <w:tc>
          <w:tcPr>
            <w:tcW w:w="2000" w:type="dxa"/>
          </w:tcPr>
          <w:p w14:paraId="3654158E" w14:textId="77777777" w:rsidR="004F1012" w:rsidRDefault="002C3C51">
            <w:pPr>
              <w:jc w:val="center"/>
            </w:pPr>
            <w:r>
              <w:rPr>
                <w:szCs w:val="22"/>
              </w:rPr>
              <w:t>A → B</w:t>
            </w:r>
          </w:p>
        </w:tc>
        <w:tc>
          <w:tcPr>
            <w:tcW w:w="2000" w:type="dxa"/>
          </w:tcPr>
          <w:p w14:paraId="52CBC3EC" w14:textId="77777777" w:rsidR="004F1012" w:rsidRDefault="002C3C51">
            <w:r>
              <w:rPr>
                <w:szCs w:val="22"/>
              </w:rPr>
              <w:t>Language → Structure</w:t>
            </w:r>
          </w:p>
        </w:tc>
        <w:tc>
          <w:tcPr>
            <w:tcW w:w="5360" w:type="dxa"/>
          </w:tcPr>
          <w:p w14:paraId="6E281EAE" w14:textId="77777777" w:rsidR="004F1012" w:rsidRDefault="002C3C51">
            <w:r>
              <w:rPr>
                <w:szCs w:val="22"/>
              </w:rPr>
              <w:t>Complex sentences often create structural complexity (nested clauses, cross-references)</w:t>
            </w:r>
          </w:p>
        </w:tc>
      </w:tr>
      <w:tr w:rsidR="009626BA" w14:paraId="4F3DE842" w14:textId="77777777">
        <w:tc>
          <w:tcPr>
            <w:tcW w:w="2000" w:type="dxa"/>
          </w:tcPr>
          <w:p w14:paraId="41DA73DC" w14:textId="77777777" w:rsidR="004F1012" w:rsidRDefault="002C3C51">
            <w:pPr>
              <w:jc w:val="center"/>
            </w:pPr>
            <w:r>
              <w:rPr>
                <w:szCs w:val="22"/>
              </w:rPr>
              <w:t>A → C</w:t>
            </w:r>
          </w:p>
        </w:tc>
        <w:tc>
          <w:tcPr>
            <w:tcW w:w="2000" w:type="dxa"/>
          </w:tcPr>
          <w:p w14:paraId="749B97EF" w14:textId="77777777" w:rsidR="004F1012" w:rsidRDefault="002C3C51">
            <w:r>
              <w:rPr>
                <w:szCs w:val="22"/>
              </w:rPr>
              <w:t>Language → Standards</w:t>
            </w:r>
          </w:p>
        </w:tc>
        <w:tc>
          <w:tcPr>
            <w:tcW w:w="5360" w:type="dxa"/>
          </w:tcPr>
          <w:p w14:paraId="1020A3F0" w14:textId="77777777" w:rsidR="004F1012" w:rsidRDefault="002C3C51">
            <w:r>
              <w:rPr>
                <w:szCs w:val="22"/>
              </w:rPr>
              <w:t>Dense language causes ambiguity, which leads to standards compliance gaps</w:t>
            </w:r>
          </w:p>
        </w:tc>
      </w:tr>
      <w:tr w:rsidR="009626BA" w14:paraId="792EF8F5" w14:textId="77777777">
        <w:tc>
          <w:tcPr>
            <w:tcW w:w="2000" w:type="dxa"/>
          </w:tcPr>
          <w:p w14:paraId="1503FD0D" w14:textId="77777777" w:rsidR="004F1012" w:rsidRDefault="002C3C51">
            <w:pPr>
              <w:jc w:val="center"/>
            </w:pPr>
            <w:r>
              <w:rPr>
                <w:szCs w:val="22"/>
              </w:rPr>
              <w:t>B → C</w:t>
            </w:r>
          </w:p>
        </w:tc>
        <w:tc>
          <w:tcPr>
            <w:tcW w:w="2000" w:type="dxa"/>
          </w:tcPr>
          <w:p w14:paraId="550FA3BA" w14:textId="77777777" w:rsidR="004F1012" w:rsidRDefault="002C3C51">
            <w:r>
              <w:rPr>
                <w:szCs w:val="22"/>
              </w:rPr>
              <w:t>Structure → Standards</w:t>
            </w:r>
          </w:p>
        </w:tc>
        <w:tc>
          <w:tcPr>
            <w:tcW w:w="5360" w:type="dxa"/>
          </w:tcPr>
          <w:p w14:paraId="540905C3" w14:textId="77777777" w:rsidR="004F1012" w:rsidRDefault="002C3C51">
            <w:r>
              <w:rPr>
                <w:szCs w:val="22"/>
              </w:rPr>
              <w:t>Poor structure (deep nesting, unclear cross-references) correlates with unclear terms</w:t>
            </w:r>
          </w:p>
        </w:tc>
      </w:tr>
    </w:tbl>
    <w:p w14:paraId="1A11B728" w14:textId="77777777" w:rsidR="004F1012" w:rsidRDefault="002C3C51">
      <w:pPr>
        <w:spacing w:after="200"/>
      </w:pPr>
      <w:r>
        <w:rPr>
          <w:i/>
          <w:iCs/>
        </w:rPr>
        <w:t>Table 2.10: Pillar Interdependencies</w:t>
      </w:r>
    </w:p>
    <w:p w14:paraId="34AC3F97" w14:textId="77777777" w:rsidR="004F1012" w:rsidRDefault="002C3C51">
      <w:pPr>
        <w:spacing w:after="200"/>
      </w:pPr>
      <w:r>
        <w:rPr>
          <w:b/>
          <w:bCs/>
        </w:rPr>
        <w:t xml:space="preserve">The result: </w:t>
      </w:r>
      <w:r>
        <w:rPr>
          <w:i/>
          <w:iCs/>
        </w:rPr>
        <w:t xml:space="preserve">Pure multiplication </w:t>
      </w:r>
      <w:r>
        <w:t>overstates the complexity tax when factors share common root causes. A poorly drafted contract doesn't independently fail on language, structure, and standards—it fails because poor drafting quality affects all three dimensions simultaneously.</w:t>
      </w:r>
    </w:p>
    <w:p w14:paraId="4F105753" w14:textId="77777777" w:rsidR="004F1012" w:rsidRDefault="002C3C51">
      <w:pPr>
        <w:pStyle w:val="Heading2"/>
      </w:pPr>
      <w:r>
        <w:t>The Hybrid Correlation Model</w:t>
      </w:r>
    </w:p>
    <w:p w14:paraId="40F2F254" w14:textId="77777777" w:rsidR="004F1012" w:rsidRDefault="002C3C51">
      <w:pPr>
        <w:spacing w:after="200"/>
      </w:pPr>
      <w:r>
        <w:t>To address pillar interdependence, we implement a hybrid model that blends multiplicative (independent) and additive (correlated) approaches.</w:t>
      </w:r>
    </w:p>
    <w:p w14:paraId="43475EED" w14:textId="77777777" w:rsidR="004F1012" w:rsidRDefault="002C3C51">
      <w:pPr>
        <w:pStyle w:val="Heading3"/>
      </w:pPr>
      <w:r>
        <w:t>Mathematical Foundation</w:t>
      </w:r>
    </w:p>
    <w:p w14:paraId="24117ED8" w14:textId="77777777" w:rsidR="004F1012" w:rsidRDefault="002C3C51">
      <w:pPr>
        <w:spacing w:after="200"/>
      </w:pPr>
      <w:r>
        <w:rPr>
          <w:b/>
          <w:bCs/>
        </w:rPr>
        <w:t xml:space="preserve">Multiplicative Model </w:t>
      </w:r>
      <w:r>
        <w:t>(assumes pillars are independent—no overlap):</w:t>
      </w:r>
    </w:p>
    <w:p w14:paraId="4E3BE8A7" w14:textId="77777777" w:rsidR="004F1012" w:rsidRDefault="002C3C51">
      <w:pPr>
        <w:spacing w:after="100"/>
        <w:ind w:left="720"/>
      </w:pPr>
      <w:r>
        <w:rPr>
          <w:szCs w:val="22"/>
        </w:rPr>
        <w:lastRenderedPageBreak/>
        <w:t xml:space="preserve">M = </w:t>
      </w:r>
      <w:proofErr w:type="spellStart"/>
      <w:r>
        <w:rPr>
          <w:szCs w:val="22"/>
        </w:rPr>
        <w:t>langMult</w:t>
      </w:r>
      <w:proofErr w:type="spellEnd"/>
      <w:r>
        <w:rPr>
          <w:szCs w:val="22"/>
        </w:rPr>
        <w:t xml:space="preserve"> × </w:t>
      </w:r>
      <w:proofErr w:type="spellStart"/>
      <w:r>
        <w:rPr>
          <w:szCs w:val="22"/>
        </w:rPr>
        <w:t>ambMult</w:t>
      </w:r>
      <w:proofErr w:type="spellEnd"/>
      <w:r>
        <w:rPr>
          <w:szCs w:val="22"/>
        </w:rPr>
        <w:t xml:space="preserve"> × </w:t>
      </w:r>
      <w:proofErr w:type="spellStart"/>
      <w:r>
        <w:rPr>
          <w:szCs w:val="22"/>
        </w:rPr>
        <w:t>structMult</w:t>
      </w:r>
      <w:proofErr w:type="spellEnd"/>
    </w:p>
    <w:p w14:paraId="6B5933BE" w14:textId="77777777" w:rsidR="004F1012" w:rsidRDefault="002C3C51">
      <w:pPr>
        <w:spacing w:after="200"/>
      </w:pPr>
      <w:r>
        <w:rPr>
          <w:b/>
          <w:bCs/>
        </w:rPr>
        <w:t xml:space="preserve">Additive Model </w:t>
      </w:r>
      <w:r>
        <w:t>(assumes pillars share common causes—full overlap):</w:t>
      </w:r>
    </w:p>
    <w:p w14:paraId="58230180" w14:textId="77777777" w:rsidR="004F1012" w:rsidRDefault="002C3C51">
      <w:pPr>
        <w:spacing w:after="100"/>
        <w:ind w:left="720"/>
      </w:pPr>
      <w:r>
        <w:rPr>
          <w:szCs w:val="22"/>
        </w:rPr>
        <w:t>A = 1 + (</w:t>
      </w:r>
      <w:proofErr w:type="spellStart"/>
      <w:r>
        <w:rPr>
          <w:szCs w:val="22"/>
        </w:rPr>
        <w:t>langMult</w:t>
      </w:r>
      <w:proofErr w:type="spellEnd"/>
      <w:r>
        <w:rPr>
          <w:szCs w:val="22"/>
        </w:rPr>
        <w:t xml:space="preserve"> − 1) + (</w:t>
      </w:r>
      <w:proofErr w:type="spellStart"/>
      <w:r>
        <w:rPr>
          <w:szCs w:val="22"/>
        </w:rPr>
        <w:t>ambMult</w:t>
      </w:r>
      <w:proofErr w:type="spellEnd"/>
      <w:r>
        <w:rPr>
          <w:szCs w:val="22"/>
        </w:rPr>
        <w:t xml:space="preserve"> − 1) + (</w:t>
      </w:r>
      <w:proofErr w:type="spellStart"/>
      <w:r>
        <w:rPr>
          <w:szCs w:val="22"/>
        </w:rPr>
        <w:t>structMult</w:t>
      </w:r>
      <w:proofErr w:type="spellEnd"/>
      <w:r>
        <w:rPr>
          <w:szCs w:val="22"/>
        </w:rPr>
        <w:t xml:space="preserve"> − 1)</w:t>
      </w:r>
    </w:p>
    <w:p w14:paraId="51FD608B" w14:textId="77777777" w:rsidR="004F1012" w:rsidRDefault="002C3C51">
      <w:pPr>
        <w:spacing w:after="200"/>
      </w:pPr>
      <w:r>
        <w:rPr>
          <w:b/>
          <w:bCs/>
        </w:rPr>
        <w:t xml:space="preserve">Hybrid Model </w:t>
      </w:r>
      <w:r>
        <w:t>(blends based on correlation factor ρ):</w:t>
      </w:r>
    </w:p>
    <w:p w14:paraId="006D948F" w14:textId="77777777" w:rsidR="004F1012" w:rsidRDefault="002C3C51">
      <w:pPr>
        <w:shd w:val="clear" w:color="auto" w:fill="F3F4F6"/>
        <w:spacing w:before="200" w:after="200"/>
        <w:jc w:val="center"/>
      </w:pPr>
      <w:r>
        <w:rPr>
          <w:b/>
          <w:bCs/>
        </w:rPr>
        <w:t>H = M × (1 − ρ) + A × ρ</w:t>
      </w:r>
    </w:p>
    <w:p w14:paraId="06E8E02F" w14:textId="77777777" w:rsidR="004F1012" w:rsidRDefault="002C3C51">
      <w:pPr>
        <w:spacing w:after="200"/>
      </w:pPr>
      <w:r>
        <w:t>Where ρ (rho) is the correlation factor:</w:t>
      </w:r>
    </w:p>
    <w:p w14:paraId="2EED2153" w14:textId="77777777" w:rsidR="004F1012" w:rsidRDefault="002C3C51">
      <w:pPr>
        <w:pStyle w:val="ListParagraph"/>
        <w:numPr>
          <w:ilvl w:val="0"/>
          <w:numId w:val="2"/>
        </w:numPr>
        <w:spacing w:after="80"/>
      </w:pPr>
      <w:r>
        <w:t>ρ = 0: Pure multiplicative (assumes independence)</w:t>
      </w:r>
    </w:p>
    <w:p w14:paraId="5A243F9C" w14:textId="77777777" w:rsidR="004F1012" w:rsidRDefault="002C3C51">
      <w:pPr>
        <w:pStyle w:val="ListParagraph"/>
        <w:numPr>
          <w:ilvl w:val="0"/>
          <w:numId w:val="2"/>
        </w:numPr>
        <w:spacing w:after="80"/>
      </w:pPr>
      <w:r>
        <w:t>ρ = 0.5: Hybrid (recommended default—acknowledges partial correlation)</w:t>
      </w:r>
    </w:p>
    <w:p w14:paraId="3BA92CAF" w14:textId="77777777" w:rsidR="004F1012" w:rsidRDefault="002C3C51">
      <w:pPr>
        <w:pStyle w:val="ListParagraph"/>
        <w:numPr>
          <w:ilvl w:val="0"/>
          <w:numId w:val="2"/>
        </w:numPr>
        <w:spacing w:after="200"/>
      </w:pPr>
      <w:r>
        <w:t>ρ = 1: Pure additive (assumes full correlation)</w:t>
      </w:r>
    </w:p>
    <w:p w14:paraId="64241209" w14:textId="77777777" w:rsidR="004F1012" w:rsidRDefault="002C3C51">
      <w:pPr>
        <w:pStyle w:val="Heading3"/>
      </w:pPr>
      <w:r>
        <w:t>Impact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5"/>
        <w:gridCol w:w="2873"/>
        <w:gridCol w:w="2758"/>
      </w:tblGrid>
      <w:tr w:rsidR="009626BA" w14:paraId="5E35FC26" w14:textId="77777777">
        <w:trPr>
          <w:tblHeader/>
        </w:trPr>
        <w:tc>
          <w:tcPr>
            <w:tcW w:w="3500" w:type="dxa"/>
            <w:shd w:val="clear" w:color="auto" w:fill="D5E8F0"/>
          </w:tcPr>
          <w:p w14:paraId="56D4C2A7" w14:textId="77777777" w:rsidR="004F1012" w:rsidRDefault="002C3C51">
            <w:pPr>
              <w:jc w:val="center"/>
            </w:pPr>
            <w:r>
              <w:rPr>
                <w:b/>
                <w:bCs/>
                <w:szCs w:val="22"/>
              </w:rPr>
              <w:t>Correlation Model</w:t>
            </w:r>
          </w:p>
        </w:tc>
        <w:tc>
          <w:tcPr>
            <w:tcW w:w="3000" w:type="dxa"/>
            <w:shd w:val="clear" w:color="auto" w:fill="D5E8F0"/>
          </w:tcPr>
          <w:p w14:paraId="3B3C6346" w14:textId="77777777" w:rsidR="004F1012" w:rsidRDefault="002C3C51">
            <w:pPr>
              <w:jc w:val="center"/>
            </w:pPr>
            <w:r>
              <w:rPr>
                <w:b/>
                <w:bCs/>
                <w:szCs w:val="22"/>
              </w:rPr>
              <w:t>Combined Multiplier</w:t>
            </w:r>
          </w:p>
        </w:tc>
        <w:tc>
          <w:tcPr>
            <w:tcW w:w="2860" w:type="dxa"/>
            <w:shd w:val="clear" w:color="auto" w:fill="D5E8F0"/>
          </w:tcPr>
          <w:p w14:paraId="16B94FC5" w14:textId="77777777" w:rsidR="004F1012" w:rsidRDefault="002C3C51">
            <w:pPr>
              <w:jc w:val="center"/>
            </w:pPr>
            <w:r>
              <w:rPr>
                <w:b/>
                <w:bCs/>
                <w:szCs w:val="22"/>
              </w:rPr>
              <w:t>vs Independent</w:t>
            </w:r>
          </w:p>
        </w:tc>
      </w:tr>
      <w:tr w:rsidR="009626BA" w14:paraId="5C475103" w14:textId="77777777">
        <w:tc>
          <w:tcPr>
            <w:tcW w:w="3500" w:type="dxa"/>
          </w:tcPr>
          <w:p w14:paraId="581737DD" w14:textId="77777777" w:rsidR="004F1012" w:rsidRDefault="002C3C51">
            <w:r>
              <w:rPr>
                <w:szCs w:val="22"/>
              </w:rPr>
              <w:t>Independent (ρ=0)</w:t>
            </w:r>
          </w:p>
        </w:tc>
        <w:tc>
          <w:tcPr>
            <w:tcW w:w="3000" w:type="dxa"/>
          </w:tcPr>
          <w:p w14:paraId="0DC6EF02" w14:textId="77777777" w:rsidR="004F1012" w:rsidRDefault="002C3C51">
            <w:pPr>
              <w:jc w:val="center"/>
            </w:pPr>
            <w:r>
              <w:rPr>
                <w:szCs w:val="22"/>
              </w:rPr>
              <w:t>2.68×</w:t>
            </w:r>
          </w:p>
        </w:tc>
        <w:tc>
          <w:tcPr>
            <w:tcW w:w="2860" w:type="dxa"/>
          </w:tcPr>
          <w:p w14:paraId="23CBCB69" w14:textId="77777777" w:rsidR="004F1012" w:rsidRDefault="002C3C51">
            <w:pPr>
              <w:jc w:val="center"/>
            </w:pPr>
            <w:r>
              <w:rPr>
                <w:szCs w:val="22"/>
              </w:rPr>
              <w:t>baseline</w:t>
            </w:r>
          </w:p>
        </w:tc>
      </w:tr>
      <w:tr w:rsidR="009626BA" w14:paraId="07F57DF4" w14:textId="77777777">
        <w:tc>
          <w:tcPr>
            <w:tcW w:w="3500" w:type="dxa"/>
          </w:tcPr>
          <w:p w14:paraId="36FBC013" w14:textId="77777777" w:rsidR="004F1012" w:rsidRDefault="002C3C51">
            <w:r>
              <w:rPr>
                <w:szCs w:val="22"/>
              </w:rPr>
              <w:t>Low (ρ=0.25)</w:t>
            </w:r>
          </w:p>
        </w:tc>
        <w:tc>
          <w:tcPr>
            <w:tcW w:w="3000" w:type="dxa"/>
          </w:tcPr>
          <w:p w14:paraId="73046686" w14:textId="77777777" w:rsidR="004F1012" w:rsidRDefault="002C3C51">
            <w:pPr>
              <w:jc w:val="center"/>
            </w:pPr>
            <w:r>
              <w:rPr>
                <w:szCs w:val="22"/>
              </w:rPr>
              <w:t>2.55×</w:t>
            </w:r>
          </w:p>
        </w:tc>
        <w:tc>
          <w:tcPr>
            <w:tcW w:w="2860" w:type="dxa"/>
          </w:tcPr>
          <w:p w14:paraId="0ADE29C7" w14:textId="77777777" w:rsidR="004F1012" w:rsidRDefault="002C3C51">
            <w:pPr>
              <w:jc w:val="center"/>
            </w:pPr>
            <w:r>
              <w:rPr>
                <w:szCs w:val="22"/>
              </w:rPr>
              <w:t>-5%</w:t>
            </w:r>
          </w:p>
        </w:tc>
      </w:tr>
      <w:tr w:rsidR="009626BA" w14:paraId="319FFADD" w14:textId="77777777">
        <w:tc>
          <w:tcPr>
            <w:tcW w:w="3500" w:type="dxa"/>
            <w:shd w:val="clear" w:color="auto" w:fill="D4EDDA"/>
          </w:tcPr>
          <w:p w14:paraId="6FEDB821" w14:textId="77777777" w:rsidR="004F1012" w:rsidRDefault="002C3C51">
            <w:pPr>
              <w:jc w:val="center"/>
            </w:pPr>
            <w:r>
              <w:rPr>
                <w:b/>
                <w:bCs/>
                <w:szCs w:val="22"/>
              </w:rPr>
              <w:t>Moderate (ρ=</w:t>
            </w:r>
            <w:proofErr w:type="gramStart"/>
            <w:r>
              <w:rPr>
                <w:b/>
                <w:bCs/>
                <w:szCs w:val="22"/>
              </w:rPr>
              <w:t>0.5) —</w:t>
            </w:r>
            <w:proofErr w:type="gramEnd"/>
            <w:r>
              <w:rPr>
                <w:b/>
                <w:bCs/>
                <w:szCs w:val="22"/>
              </w:rPr>
              <w:t xml:space="preserve"> RECOMMENDED</w:t>
            </w:r>
          </w:p>
        </w:tc>
        <w:tc>
          <w:tcPr>
            <w:tcW w:w="3000" w:type="dxa"/>
            <w:shd w:val="clear" w:color="auto" w:fill="D4EDDA"/>
          </w:tcPr>
          <w:p w14:paraId="0DBDB690" w14:textId="77777777" w:rsidR="004F1012" w:rsidRDefault="002C3C51">
            <w:pPr>
              <w:jc w:val="center"/>
            </w:pPr>
            <w:r>
              <w:rPr>
                <w:b/>
                <w:bCs/>
                <w:szCs w:val="22"/>
              </w:rPr>
              <w:t>2.43×</w:t>
            </w:r>
          </w:p>
        </w:tc>
        <w:tc>
          <w:tcPr>
            <w:tcW w:w="2860" w:type="dxa"/>
            <w:shd w:val="clear" w:color="auto" w:fill="D4EDDA"/>
          </w:tcPr>
          <w:p w14:paraId="42116D6E" w14:textId="77777777" w:rsidR="004F1012" w:rsidRDefault="002C3C51">
            <w:pPr>
              <w:jc w:val="center"/>
            </w:pPr>
            <w:r>
              <w:rPr>
                <w:b/>
                <w:bCs/>
                <w:szCs w:val="22"/>
              </w:rPr>
              <w:t>-9%</w:t>
            </w:r>
          </w:p>
        </w:tc>
      </w:tr>
      <w:tr w:rsidR="009626BA" w14:paraId="20423179" w14:textId="77777777">
        <w:tc>
          <w:tcPr>
            <w:tcW w:w="3500" w:type="dxa"/>
          </w:tcPr>
          <w:p w14:paraId="6167CB52" w14:textId="77777777" w:rsidR="004F1012" w:rsidRDefault="002C3C51">
            <w:r>
              <w:rPr>
                <w:szCs w:val="22"/>
              </w:rPr>
              <w:t>High (ρ=0.75)</w:t>
            </w:r>
          </w:p>
        </w:tc>
        <w:tc>
          <w:tcPr>
            <w:tcW w:w="3000" w:type="dxa"/>
          </w:tcPr>
          <w:p w14:paraId="65EFFD3A" w14:textId="77777777" w:rsidR="004F1012" w:rsidRDefault="002C3C51">
            <w:pPr>
              <w:jc w:val="center"/>
            </w:pPr>
            <w:r>
              <w:rPr>
                <w:szCs w:val="22"/>
              </w:rPr>
              <w:t>2.30×</w:t>
            </w:r>
          </w:p>
        </w:tc>
        <w:tc>
          <w:tcPr>
            <w:tcW w:w="2860" w:type="dxa"/>
          </w:tcPr>
          <w:p w14:paraId="42D27E40" w14:textId="77777777" w:rsidR="004F1012" w:rsidRDefault="002C3C51">
            <w:pPr>
              <w:jc w:val="center"/>
            </w:pPr>
            <w:r>
              <w:rPr>
                <w:szCs w:val="22"/>
              </w:rPr>
              <w:t>-14%</w:t>
            </w:r>
          </w:p>
        </w:tc>
      </w:tr>
      <w:tr w:rsidR="009626BA" w14:paraId="3FCE70CD" w14:textId="77777777">
        <w:tc>
          <w:tcPr>
            <w:tcW w:w="3500" w:type="dxa"/>
          </w:tcPr>
          <w:p w14:paraId="2670A8BB" w14:textId="77777777" w:rsidR="004F1012" w:rsidRDefault="002C3C51">
            <w:r>
              <w:rPr>
                <w:szCs w:val="22"/>
              </w:rPr>
              <w:t>Full (ρ=1.0)</w:t>
            </w:r>
          </w:p>
        </w:tc>
        <w:tc>
          <w:tcPr>
            <w:tcW w:w="3000" w:type="dxa"/>
          </w:tcPr>
          <w:p w14:paraId="4B05C322" w14:textId="77777777" w:rsidR="004F1012" w:rsidRDefault="002C3C51">
            <w:pPr>
              <w:jc w:val="center"/>
            </w:pPr>
            <w:r>
              <w:rPr>
                <w:szCs w:val="22"/>
              </w:rPr>
              <w:t>2.17×</w:t>
            </w:r>
          </w:p>
        </w:tc>
        <w:tc>
          <w:tcPr>
            <w:tcW w:w="2860" w:type="dxa"/>
          </w:tcPr>
          <w:p w14:paraId="371BC7D8" w14:textId="77777777" w:rsidR="004F1012" w:rsidRDefault="002C3C51">
            <w:pPr>
              <w:jc w:val="center"/>
            </w:pPr>
            <w:r>
              <w:rPr>
                <w:szCs w:val="22"/>
              </w:rPr>
              <w:t>-19%</w:t>
            </w:r>
          </w:p>
        </w:tc>
      </w:tr>
    </w:tbl>
    <w:p w14:paraId="6DCA3F50" w14:textId="77777777" w:rsidR="004F1012" w:rsidRDefault="002C3C51">
      <w:pPr>
        <w:spacing w:after="200"/>
      </w:pPr>
      <w:r>
        <w:rPr>
          <w:i/>
          <w:iCs/>
        </w:rPr>
        <w:t>Table 2.11: Hybrid Correlation Model Impact</w:t>
      </w:r>
    </w:p>
    <w:p w14:paraId="02EBCDE9" w14:textId="77777777" w:rsidR="004F1012" w:rsidRDefault="002C3C51">
      <w:pPr>
        <w:pStyle w:val="Heading3"/>
      </w:pPr>
      <w:r>
        <w:t>When to Adjust Correlation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6"/>
        <w:gridCol w:w="1973"/>
        <w:gridCol w:w="3687"/>
      </w:tblGrid>
      <w:tr w:rsidR="009626BA" w14:paraId="26BEBD84" w14:textId="77777777">
        <w:trPr>
          <w:tblHeader/>
        </w:trPr>
        <w:tc>
          <w:tcPr>
            <w:tcW w:w="3500" w:type="dxa"/>
            <w:shd w:val="clear" w:color="auto" w:fill="D5E8F0"/>
          </w:tcPr>
          <w:p w14:paraId="2B472236" w14:textId="77777777" w:rsidR="004F1012" w:rsidRDefault="002C3C51">
            <w:pPr>
              <w:jc w:val="center"/>
            </w:pPr>
            <w:r>
              <w:rPr>
                <w:b/>
                <w:bCs/>
                <w:szCs w:val="22"/>
              </w:rPr>
              <w:t>Scenario</w:t>
            </w:r>
          </w:p>
        </w:tc>
        <w:tc>
          <w:tcPr>
            <w:tcW w:w="2000" w:type="dxa"/>
            <w:shd w:val="clear" w:color="auto" w:fill="D5E8F0"/>
          </w:tcPr>
          <w:p w14:paraId="62F83ECB" w14:textId="77777777" w:rsidR="004F1012" w:rsidRDefault="002C3C51">
            <w:pPr>
              <w:jc w:val="center"/>
            </w:pPr>
            <w:r>
              <w:rPr>
                <w:b/>
                <w:bCs/>
                <w:szCs w:val="22"/>
              </w:rPr>
              <w:t>Recommended ρ</w:t>
            </w:r>
          </w:p>
        </w:tc>
        <w:tc>
          <w:tcPr>
            <w:tcW w:w="3860" w:type="dxa"/>
            <w:shd w:val="clear" w:color="auto" w:fill="D5E8F0"/>
          </w:tcPr>
          <w:p w14:paraId="688DE608" w14:textId="77777777" w:rsidR="004F1012" w:rsidRDefault="002C3C51">
            <w:pPr>
              <w:jc w:val="center"/>
            </w:pPr>
            <w:r>
              <w:rPr>
                <w:b/>
                <w:bCs/>
                <w:szCs w:val="22"/>
              </w:rPr>
              <w:t>Rationale</w:t>
            </w:r>
          </w:p>
        </w:tc>
      </w:tr>
      <w:tr w:rsidR="009626BA" w14:paraId="151CB8B8" w14:textId="77777777">
        <w:tc>
          <w:tcPr>
            <w:tcW w:w="3500" w:type="dxa"/>
          </w:tcPr>
          <w:p w14:paraId="7E79270C" w14:textId="77777777" w:rsidR="004F1012" w:rsidRDefault="002C3C51">
            <w:r>
              <w:rPr>
                <w:szCs w:val="22"/>
              </w:rPr>
              <w:t>Well-drafted contracts</w:t>
            </w:r>
          </w:p>
        </w:tc>
        <w:tc>
          <w:tcPr>
            <w:tcW w:w="2000" w:type="dxa"/>
          </w:tcPr>
          <w:p w14:paraId="08DBFD1C" w14:textId="77777777" w:rsidR="004F1012" w:rsidRDefault="002C3C51">
            <w:pPr>
              <w:jc w:val="center"/>
            </w:pPr>
            <w:r>
              <w:rPr>
                <w:szCs w:val="22"/>
              </w:rPr>
              <w:t>0.6-0.7</w:t>
            </w:r>
          </w:p>
        </w:tc>
        <w:tc>
          <w:tcPr>
            <w:tcW w:w="3860" w:type="dxa"/>
          </w:tcPr>
          <w:p w14:paraId="7A89D77C" w14:textId="77777777" w:rsidR="004F1012" w:rsidRDefault="002C3C51">
            <w:r>
              <w:rPr>
                <w:szCs w:val="22"/>
              </w:rPr>
              <w:t>Good drafting improves all dimensions together</w:t>
            </w:r>
          </w:p>
        </w:tc>
      </w:tr>
      <w:tr w:rsidR="009626BA" w14:paraId="7CA903A4" w14:textId="77777777">
        <w:tc>
          <w:tcPr>
            <w:tcW w:w="3500" w:type="dxa"/>
          </w:tcPr>
          <w:p w14:paraId="09E72A50" w14:textId="77777777" w:rsidR="004F1012" w:rsidRDefault="002C3C51">
            <w:r>
              <w:rPr>
                <w:szCs w:val="22"/>
              </w:rPr>
              <w:t>Chaotic legacy contracts</w:t>
            </w:r>
          </w:p>
        </w:tc>
        <w:tc>
          <w:tcPr>
            <w:tcW w:w="2000" w:type="dxa"/>
          </w:tcPr>
          <w:p w14:paraId="044EECC6" w14:textId="77777777" w:rsidR="004F1012" w:rsidRDefault="002C3C51">
            <w:pPr>
              <w:jc w:val="center"/>
            </w:pPr>
            <w:r>
              <w:rPr>
                <w:szCs w:val="22"/>
              </w:rPr>
              <w:t>0.3-0.4</w:t>
            </w:r>
          </w:p>
        </w:tc>
        <w:tc>
          <w:tcPr>
            <w:tcW w:w="3860" w:type="dxa"/>
          </w:tcPr>
          <w:p w14:paraId="62DE13C3" w14:textId="77777777" w:rsidR="004F1012" w:rsidRDefault="002C3C51">
            <w:r>
              <w:rPr>
                <w:szCs w:val="22"/>
              </w:rPr>
              <w:t>Problems may be more randomly distributed</w:t>
            </w:r>
          </w:p>
        </w:tc>
      </w:tr>
      <w:tr w:rsidR="009626BA" w14:paraId="1F5655AB" w14:textId="77777777">
        <w:tc>
          <w:tcPr>
            <w:tcW w:w="3500" w:type="dxa"/>
          </w:tcPr>
          <w:p w14:paraId="7AFDA8AE" w14:textId="77777777" w:rsidR="004F1012" w:rsidRDefault="002C3C51">
            <w:r>
              <w:rPr>
                <w:szCs w:val="22"/>
              </w:rPr>
              <w:t>Highly technical domains</w:t>
            </w:r>
          </w:p>
        </w:tc>
        <w:tc>
          <w:tcPr>
            <w:tcW w:w="2000" w:type="dxa"/>
          </w:tcPr>
          <w:p w14:paraId="703D1006" w14:textId="77777777" w:rsidR="004F1012" w:rsidRDefault="002C3C51">
            <w:pPr>
              <w:jc w:val="center"/>
            </w:pPr>
            <w:r>
              <w:rPr>
                <w:szCs w:val="22"/>
              </w:rPr>
              <w:t>0.4-0.5</w:t>
            </w:r>
          </w:p>
        </w:tc>
        <w:tc>
          <w:tcPr>
            <w:tcW w:w="3860" w:type="dxa"/>
          </w:tcPr>
          <w:p w14:paraId="719C96E9" w14:textId="77777777" w:rsidR="004F1012" w:rsidRDefault="002C3C51">
            <w:r>
              <w:rPr>
                <w:szCs w:val="22"/>
              </w:rPr>
              <w:t>Technical complexity may be unavoidable</w:t>
            </w:r>
          </w:p>
        </w:tc>
      </w:tr>
      <w:tr w:rsidR="009626BA" w14:paraId="3C2428AC" w14:textId="77777777">
        <w:tc>
          <w:tcPr>
            <w:tcW w:w="3500" w:type="dxa"/>
          </w:tcPr>
          <w:p w14:paraId="4E213FB0" w14:textId="77777777" w:rsidR="004F1012" w:rsidRDefault="002C3C51">
            <w:r>
              <w:rPr>
                <w:szCs w:val="22"/>
              </w:rPr>
              <w:lastRenderedPageBreak/>
              <w:t>Negotiated compromises</w:t>
            </w:r>
          </w:p>
        </w:tc>
        <w:tc>
          <w:tcPr>
            <w:tcW w:w="2000" w:type="dxa"/>
          </w:tcPr>
          <w:p w14:paraId="6C95101C" w14:textId="77777777" w:rsidR="004F1012" w:rsidRDefault="002C3C51">
            <w:pPr>
              <w:jc w:val="center"/>
            </w:pPr>
            <w:r>
              <w:rPr>
                <w:szCs w:val="22"/>
              </w:rPr>
              <w:t>0.5-0.6</w:t>
            </w:r>
          </w:p>
        </w:tc>
        <w:tc>
          <w:tcPr>
            <w:tcW w:w="3860" w:type="dxa"/>
          </w:tcPr>
          <w:p w14:paraId="2D9805D3" w14:textId="77777777" w:rsidR="004F1012" w:rsidRDefault="002C3C51">
            <w:r>
              <w:rPr>
                <w:szCs w:val="22"/>
              </w:rPr>
              <w:t>Complexity accumulates through revision</w:t>
            </w:r>
          </w:p>
        </w:tc>
      </w:tr>
    </w:tbl>
    <w:p w14:paraId="52393117" w14:textId="77777777" w:rsidR="004F1012" w:rsidRDefault="002C3C51" w:rsidP="00F91B73">
      <w:pPr>
        <w:spacing w:after="200"/>
      </w:pPr>
      <w:r>
        <w:rPr>
          <w:i/>
          <w:iCs/>
        </w:rPr>
        <w:t>Table 2.12: Correlation Factor Selection by Scenario</w:t>
      </w:r>
    </w:p>
    <w:p w14:paraId="771D1AB1" w14:textId="77777777" w:rsidR="004F1012" w:rsidRDefault="002C3C51">
      <w:pPr>
        <w:pStyle w:val="Heading1"/>
      </w:pPr>
      <w:r>
        <w:t>Advanced Configuration Framework</w:t>
      </w:r>
    </w:p>
    <w:p w14:paraId="3295E240" w14:textId="77777777" w:rsidR="004F1012" w:rsidRDefault="002C3C51">
      <w:pPr>
        <w:spacing w:after="200"/>
      </w:pPr>
      <w:r>
        <w:t>The Dynamic Contract Complexity Calculator provides six categories of configurable parameters, allowing organizations to calibrate the model to their specific context.</w:t>
      </w:r>
    </w:p>
    <w:p w14:paraId="3B158518" w14:textId="77777777" w:rsidR="004F1012" w:rsidRDefault="002C3C51">
      <w:pPr>
        <w:pStyle w:val="Heading2"/>
      </w:pPr>
      <w:r>
        <w:t>Activity Hours Profile</w:t>
      </w:r>
    </w:p>
    <w:p w14:paraId="439FCD60" w14:textId="77777777" w:rsidR="004F1012" w:rsidRDefault="002C3C51">
      <w:pPr>
        <w:spacing w:after="200"/>
      </w:pPr>
      <w:r>
        <w:t xml:space="preserve">Activity hours determine the base time investment for each contract management task before </w:t>
      </w:r>
      <w:proofErr w:type="gramStart"/>
      <w:r>
        <w:t>complexity</w:t>
      </w:r>
      <w:proofErr w:type="gramEnd"/>
      <w:r>
        <w:t xml:space="preserve"> multipliers are applied.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1633"/>
        <w:gridCol w:w="1940"/>
        <w:gridCol w:w="2073"/>
      </w:tblGrid>
      <w:tr w:rsidR="009626BA" w14:paraId="12675822" w14:textId="77777777">
        <w:trPr>
          <w:tblHeader/>
        </w:trPr>
        <w:tc>
          <w:tcPr>
            <w:tcW w:w="3500" w:type="dxa"/>
            <w:shd w:val="clear" w:color="auto" w:fill="D5E8F0"/>
          </w:tcPr>
          <w:p w14:paraId="6496A5AD" w14:textId="77777777" w:rsidR="004F1012" w:rsidRDefault="002C3C51">
            <w:pPr>
              <w:jc w:val="center"/>
            </w:pPr>
            <w:r>
              <w:rPr>
                <w:b/>
                <w:bCs/>
                <w:szCs w:val="22"/>
              </w:rPr>
              <w:t>Activity</w:t>
            </w:r>
          </w:p>
        </w:tc>
        <w:tc>
          <w:tcPr>
            <w:tcW w:w="1700" w:type="dxa"/>
            <w:shd w:val="clear" w:color="auto" w:fill="D5E8F0"/>
          </w:tcPr>
          <w:p w14:paraId="025EDAD5" w14:textId="77777777" w:rsidR="004F1012" w:rsidRDefault="002C3C51">
            <w:pPr>
              <w:jc w:val="center"/>
            </w:pPr>
            <w:r>
              <w:rPr>
                <w:b/>
                <w:bCs/>
                <w:szCs w:val="22"/>
              </w:rPr>
              <w:t>Light</w:t>
            </w:r>
          </w:p>
        </w:tc>
        <w:tc>
          <w:tcPr>
            <w:tcW w:w="2000" w:type="dxa"/>
            <w:shd w:val="clear" w:color="auto" w:fill="D5E8F0"/>
          </w:tcPr>
          <w:p w14:paraId="0BFDCFF6" w14:textId="77777777" w:rsidR="004F1012" w:rsidRDefault="002C3C51">
            <w:pPr>
              <w:jc w:val="center"/>
            </w:pPr>
            <w:r>
              <w:rPr>
                <w:b/>
                <w:bCs/>
                <w:szCs w:val="22"/>
              </w:rPr>
              <w:t>Standard</w:t>
            </w:r>
          </w:p>
        </w:tc>
        <w:tc>
          <w:tcPr>
            <w:tcW w:w="2160" w:type="dxa"/>
            <w:shd w:val="clear" w:color="auto" w:fill="D5E8F0"/>
          </w:tcPr>
          <w:p w14:paraId="231FB4C9" w14:textId="77777777" w:rsidR="004F1012" w:rsidRDefault="002C3C51">
            <w:pPr>
              <w:jc w:val="center"/>
            </w:pPr>
            <w:r>
              <w:rPr>
                <w:b/>
                <w:bCs/>
                <w:szCs w:val="22"/>
              </w:rPr>
              <w:t>Heavy</w:t>
            </w:r>
          </w:p>
        </w:tc>
      </w:tr>
      <w:tr w:rsidR="009626BA" w14:paraId="2F64C811" w14:textId="77777777">
        <w:tc>
          <w:tcPr>
            <w:tcW w:w="3500" w:type="dxa"/>
          </w:tcPr>
          <w:p w14:paraId="21ACC1C5" w14:textId="77777777" w:rsidR="004F1012" w:rsidRDefault="002C3C51">
            <w:r>
              <w:rPr>
                <w:szCs w:val="22"/>
              </w:rPr>
              <w:t>Initial Review</w:t>
            </w:r>
          </w:p>
        </w:tc>
        <w:tc>
          <w:tcPr>
            <w:tcW w:w="1700" w:type="dxa"/>
          </w:tcPr>
          <w:p w14:paraId="7B92613E" w14:textId="77777777" w:rsidR="004F1012" w:rsidRDefault="002C3C51">
            <w:pPr>
              <w:jc w:val="center"/>
            </w:pPr>
            <w:r>
              <w:rPr>
                <w:szCs w:val="22"/>
              </w:rPr>
              <w:t xml:space="preserve">4 </w:t>
            </w:r>
            <w:proofErr w:type="spellStart"/>
            <w:r>
              <w:rPr>
                <w:szCs w:val="22"/>
              </w:rPr>
              <w:t>hrs</w:t>
            </w:r>
            <w:proofErr w:type="spellEnd"/>
          </w:p>
        </w:tc>
        <w:tc>
          <w:tcPr>
            <w:tcW w:w="2000" w:type="dxa"/>
          </w:tcPr>
          <w:p w14:paraId="39A97256" w14:textId="77777777" w:rsidR="004F1012" w:rsidRDefault="002C3C51">
            <w:pPr>
              <w:jc w:val="center"/>
            </w:pPr>
            <w:r>
              <w:rPr>
                <w:szCs w:val="22"/>
              </w:rPr>
              <w:t xml:space="preserve">8 </w:t>
            </w:r>
            <w:proofErr w:type="spellStart"/>
            <w:r>
              <w:rPr>
                <w:szCs w:val="22"/>
              </w:rPr>
              <w:t>hrs</w:t>
            </w:r>
            <w:proofErr w:type="spellEnd"/>
          </w:p>
        </w:tc>
        <w:tc>
          <w:tcPr>
            <w:tcW w:w="2160" w:type="dxa"/>
          </w:tcPr>
          <w:p w14:paraId="34941134" w14:textId="77777777" w:rsidR="004F1012" w:rsidRDefault="002C3C51">
            <w:pPr>
              <w:jc w:val="center"/>
            </w:pPr>
            <w:r>
              <w:rPr>
                <w:szCs w:val="22"/>
              </w:rPr>
              <w:t xml:space="preserve">12 </w:t>
            </w:r>
            <w:proofErr w:type="spellStart"/>
            <w:r>
              <w:rPr>
                <w:szCs w:val="22"/>
              </w:rPr>
              <w:t>hrs</w:t>
            </w:r>
            <w:proofErr w:type="spellEnd"/>
          </w:p>
        </w:tc>
      </w:tr>
      <w:tr w:rsidR="009626BA" w14:paraId="5449BC58" w14:textId="77777777">
        <w:tc>
          <w:tcPr>
            <w:tcW w:w="3500" w:type="dxa"/>
          </w:tcPr>
          <w:p w14:paraId="485BF54A" w14:textId="77777777" w:rsidR="004F1012" w:rsidRDefault="002C3C51">
            <w:r>
              <w:rPr>
                <w:szCs w:val="22"/>
              </w:rPr>
              <w:t>Negotiation</w:t>
            </w:r>
          </w:p>
        </w:tc>
        <w:tc>
          <w:tcPr>
            <w:tcW w:w="1700" w:type="dxa"/>
          </w:tcPr>
          <w:p w14:paraId="0ADDEBCE" w14:textId="77777777" w:rsidR="004F1012" w:rsidRDefault="002C3C51">
            <w:pPr>
              <w:jc w:val="center"/>
            </w:pPr>
            <w:r>
              <w:rPr>
                <w:szCs w:val="22"/>
              </w:rPr>
              <w:t xml:space="preserve">6 </w:t>
            </w:r>
            <w:proofErr w:type="spellStart"/>
            <w:r>
              <w:rPr>
                <w:szCs w:val="22"/>
              </w:rPr>
              <w:t>hrs</w:t>
            </w:r>
            <w:proofErr w:type="spellEnd"/>
          </w:p>
        </w:tc>
        <w:tc>
          <w:tcPr>
            <w:tcW w:w="2000" w:type="dxa"/>
          </w:tcPr>
          <w:p w14:paraId="7EAC0218" w14:textId="77777777" w:rsidR="004F1012" w:rsidRDefault="002C3C51">
            <w:pPr>
              <w:jc w:val="center"/>
            </w:pPr>
            <w:r>
              <w:rPr>
                <w:szCs w:val="22"/>
              </w:rPr>
              <w:t xml:space="preserve">12 </w:t>
            </w:r>
            <w:proofErr w:type="spellStart"/>
            <w:r>
              <w:rPr>
                <w:szCs w:val="22"/>
              </w:rPr>
              <w:t>hrs</w:t>
            </w:r>
            <w:proofErr w:type="spellEnd"/>
          </w:p>
        </w:tc>
        <w:tc>
          <w:tcPr>
            <w:tcW w:w="2160" w:type="dxa"/>
          </w:tcPr>
          <w:p w14:paraId="27D93EC4" w14:textId="77777777" w:rsidR="004F1012" w:rsidRDefault="002C3C51">
            <w:pPr>
              <w:jc w:val="center"/>
            </w:pPr>
            <w:r>
              <w:rPr>
                <w:szCs w:val="22"/>
              </w:rPr>
              <w:t xml:space="preserve">20 </w:t>
            </w:r>
            <w:proofErr w:type="spellStart"/>
            <w:r>
              <w:rPr>
                <w:szCs w:val="22"/>
              </w:rPr>
              <w:t>hrs</w:t>
            </w:r>
            <w:proofErr w:type="spellEnd"/>
          </w:p>
        </w:tc>
      </w:tr>
      <w:tr w:rsidR="009626BA" w14:paraId="04067D8F" w14:textId="77777777">
        <w:tc>
          <w:tcPr>
            <w:tcW w:w="3500" w:type="dxa"/>
          </w:tcPr>
          <w:p w14:paraId="2BCB5F53" w14:textId="77777777" w:rsidR="004F1012" w:rsidRDefault="002C3C51">
            <w:r>
              <w:rPr>
                <w:szCs w:val="22"/>
              </w:rPr>
              <w:t>Socialization</w:t>
            </w:r>
          </w:p>
        </w:tc>
        <w:tc>
          <w:tcPr>
            <w:tcW w:w="1700" w:type="dxa"/>
          </w:tcPr>
          <w:p w14:paraId="3414C773" w14:textId="77777777" w:rsidR="004F1012" w:rsidRDefault="002C3C51">
            <w:pPr>
              <w:jc w:val="center"/>
            </w:pPr>
            <w:r>
              <w:rPr>
                <w:szCs w:val="22"/>
              </w:rPr>
              <w:t xml:space="preserve">2 </w:t>
            </w:r>
            <w:proofErr w:type="spellStart"/>
            <w:r>
              <w:rPr>
                <w:szCs w:val="22"/>
              </w:rPr>
              <w:t>hrs</w:t>
            </w:r>
            <w:proofErr w:type="spellEnd"/>
          </w:p>
        </w:tc>
        <w:tc>
          <w:tcPr>
            <w:tcW w:w="2000" w:type="dxa"/>
          </w:tcPr>
          <w:p w14:paraId="1C344785" w14:textId="77777777" w:rsidR="004F1012" w:rsidRDefault="002C3C51">
            <w:pPr>
              <w:jc w:val="center"/>
            </w:pPr>
            <w:r>
              <w:rPr>
                <w:szCs w:val="22"/>
              </w:rPr>
              <w:t xml:space="preserve">4 </w:t>
            </w:r>
            <w:proofErr w:type="spellStart"/>
            <w:r>
              <w:rPr>
                <w:szCs w:val="22"/>
              </w:rPr>
              <w:t>hrs</w:t>
            </w:r>
            <w:proofErr w:type="spellEnd"/>
          </w:p>
        </w:tc>
        <w:tc>
          <w:tcPr>
            <w:tcW w:w="2160" w:type="dxa"/>
          </w:tcPr>
          <w:p w14:paraId="1CA86A66" w14:textId="77777777" w:rsidR="004F1012" w:rsidRDefault="002C3C51">
            <w:pPr>
              <w:jc w:val="center"/>
            </w:pPr>
            <w:r>
              <w:rPr>
                <w:szCs w:val="22"/>
              </w:rPr>
              <w:t xml:space="preserve">6 </w:t>
            </w:r>
            <w:proofErr w:type="spellStart"/>
            <w:r>
              <w:rPr>
                <w:szCs w:val="22"/>
              </w:rPr>
              <w:t>hrs</w:t>
            </w:r>
            <w:proofErr w:type="spellEnd"/>
          </w:p>
        </w:tc>
      </w:tr>
      <w:tr w:rsidR="009626BA" w14:paraId="37899347" w14:textId="77777777">
        <w:tc>
          <w:tcPr>
            <w:tcW w:w="3500" w:type="dxa"/>
          </w:tcPr>
          <w:p w14:paraId="080B9AC3" w14:textId="77777777" w:rsidR="004F1012" w:rsidRDefault="002C3C51">
            <w:r>
              <w:rPr>
                <w:szCs w:val="22"/>
              </w:rPr>
              <w:t>Compliance Setup</w:t>
            </w:r>
          </w:p>
        </w:tc>
        <w:tc>
          <w:tcPr>
            <w:tcW w:w="1700" w:type="dxa"/>
          </w:tcPr>
          <w:p w14:paraId="403CED14" w14:textId="77777777" w:rsidR="004F1012" w:rsidRDefault="002C3C51">
            <w:pPr>
              <w:jc w:val="center"/>
            </w:pPr>
            <w:r>
              <w:rPr>
                <w:szCs w:val="22"/>
              </w:rPr>
              <w:t xml:space="preserve">1.5 </w:t>
            </w:r>
            <w:proofErr w:type="spellStart"/>
            <w:r>
              <w:rPr>
                <w:szCs w:val="22"/>
              </w:rPr>
              <w:t>hrs</w:t>
            </w:r>
            <w:proofErr w:type="spellEnd"/>
          </w:p>
        </w:tc>
        <w:tc>
          <w:tcPr>
            <w:tcW w:w="2000" w:type="dxa"/>
          </w:tcPr>
          <w:p w14:paraId="7C5FE19E" w14:textId="77777777" w:rsidR="004F1012" w:rsidRDefault="002C3C51">
            <w:pPr>
              <w:jc w:val="center"/>
            </w:pPr>
            <w:r>
              <w:rPr>
                <w:szCs w:val="22"/>
              </w:rPr>
              <w:t xml:space="preserve">3 </w:t>
            </w:r>
            <w:proofErr w:type="spellStart"/>
            <w:r>
              <w:rPr>
                <w:szCs w:val="22"/>
              </w:rPr>
              <w:t>hrs</w:t>
            </w:r>
            <w:proofErr w:type="spellEnd"/>
          </w:p>
        </w:tc>
        <w:tc>
          <w:tcPr>
            <w:tcW w:w="2160" w:type="dxa"/>
          </w:tcPr>
          <w:p w14:paraId="055F63F0" w14:textId="77777777" w:rsidR="004F1012" w:rsidRDefault="002C3C51">
            <w:pPr>
              <w:jc w:val="center"/>
            </w:pPr>
            <w:r>
              <w:rPr>
                <w:szCs w:val="22"/>
              </w:rPr>
              <w:t xml:space="preserve">5 </w:t>
            </w:r>
            <w:proofErr w:type="spellStart"/>
            <w:r>
              <w:rPr>
                <w:szCs w:val="22"/>
              </w:rPr>
              <w:t>hrs</w:t>
            </w:r>
            <w:proofErr w:type="spellEnd"/>
          </w:p>
        </w:tc>
      </w:tr>
      <w:tr w:rsidR="009626BA" w14:paraId="1959495A" w14:textId="77777777">
        <w:tc>
          <w:tcPr>
            <w:tcW w:w="3500" w:type="dxa"/>
          </w:tcPr>
          <w:p w14:paraId="33E3E143" w14:textId="77777777" w:rsidR="004F1012" w:rsidRDefault="002C3C51">
            <w:r>
              <w:rPr>
                <w:szCs w:val="22"/>
              </w:rPr>
              <w:t>Ambiguity Resolution</w:t>
            </w:r>
          </w:p>
        </w:tc>
        <w:tc>
          <w:tcPr>
            <w:tcW w:w="1700" w:type="dxa"/>
          </w:tcPr>
          <w:p w14:paraId="48459258" w14:textId="77777777" w:rsidR="004F1012" w:rsidRDefault="002C3C51">
            <w:pPr>
              <w:jc w:val="center"/>
            </w:pPr>
            <w:r>
              <w:rPr>
                <w:szCs w:val="22"/>
              </w:rPr>
              <w:t xml:space="preserve">1.5 </w:t>
            </w:r>
            <w:proofErr w:type="spellStart"/>
            <w:r>
              <w:rPr>
                <w:szCs w:val="22"/>
              </w:rPr>
              <w:t>hrs</w:t>
            </w:r>
            <w:proofErr w:type="spellEnd"/>
          </w:p>
        </w:tc>
        <w:tc>
          <w:tcPr>
            <w:tcW w:w="2000" w:type="dxa"/>
          </w:tcPr>
          <w:p w14:paraId="300C0CFE" w14:textId="77777777" w:rsidR="004F1012" w:rsidRDefault="002C3C51">
            <w:pPr>
              <w:jc w:val="center"/>
            </w:pPr>
            <w:r>
              <w:rPr>
                <w:szCs w:val="22"/>
              </w:rPr>
              <w:t xml:space="preserve">3 </w:t>
            </w:r>
            <w:proofErr w:type="spellStart"/>
            <w:r>
              <w:rPr>
                <w:szCs w:val="22"/>
              </w:rPr>
              <w:t>hrs</w:t>
            </w:r>
            <w:proofErr w:type="spellEnd"/>
          </w:p>
        </w:tc>
        <w:tc>
          <w:tcPr>
            <w:tcW w:w="2160" w:type="dxa"/>
          </w:tcPr>
          <w:p w14:paraId="595B29A3" w14:textId="77777777" w:rsidR="004F1012" w:rsidRDefault="002C3C51">
            <w:pPr>
              <w:jc w:val="center"/>
            </w:pPr>
            <w:r>
              <w:rPr>
                <w:szCs w:val="22"/>
              </w:rPr>
              <w:t xml:space="preserve">5 </w:t>
            </w:r>
            <w:proofErr w:type="spellStart"/>
            <w:r>
              <w:rPr>
                <w:szCs w:val="22"/>
              </w:rPr>
              <w:t>hrs</w:t>
            </w:r>
            <w:proofErr w:type="spellEnd"/>
          </w:p>
        </w:tc>
      </w:tr>
    </w:tbl>
    <w:p w14:paraId="115FD432" w14:textId="77777777" w:rsidR="004F1012" w:rsidRDefault="002C3C51">
      <w:pPr>
        <w:spacing w:after="200"/>
      </w:pPr>
      <w:r>
        <w:rPr>
          <w:i/>
          <w:iCs/>
        </w:rPr>
        <w:t>Table 2.13: Activity Hours Profile Configuration</w:t>
      </w:r>
    </w:p>
    <w:p w14:paraId="245C351E" w14:textId="77777777" w:rsidR="004F1012" w:rsidRDefault="002C3C51">
      <w:pPr>
        <w:pStyle w:val="Heading2"/>
      </w:pPr>
      <w:r>
        <w:t>Complexity Sensitivity Configuration</w:t>
      </w:r>
    </w:p>
    <w:p w14:paraId="006E8729" w14:textId="77777777" w:rsidR="004F1012" w:rsidRDefault="002C3C51">
      <w:pPr>
        <w:spacing w:after="200"/>
      </w:pPr>
      <w:r>
        <w:t>These parameters control how aggressively the model penalizes complexity factors: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7"/>
        <w:gridCol w:w="1731"/>
        <w:gridCol w:w="1943"/>
        <w:gridCol w:w="1505"/>
      </w:tblGrid>
      <w:tr w:rsidR="009626BA" w14:paraId="74435275" w14:textId="77777777">
        <w:trPr>
          <w:tblHeader/>
        </w:trPr>
        <w:tc>
          <w:tcPr>
            <w:tcW w:w="4000" w:type="dxa"/>
            <w:shd w:val="clear" w:color="auto" w:fill="D5E8F0"/>
          </w:tcPr>
          <w:p w14:paraId="2B43D968" w14:textId="77777777" w:rsidR="004F1012" w:rsidRDefault="002C3C51">
            <w:pPr>
              <w:jc w:val="center"/>
            </w:pPr>
            <w:r>
              <w:rPr>
                <w:b/>
                <w:bCs/>
                <w:szCs w:val="22"/>
              </w:rPr>
              <w:t>Parameter</w:t>
            </w:r>
          </w:p>
        </w:tc>
        <w:tc>
          <w:tcPr>
            <w:tcW w:w="1800" w:type="dxa"/>
            <w:shd w:val="clear" w:color="auto" w:fill="D5E8F0"/>
          </w:tcPr>
          <w:p w14:paraId="64F83662" w14:textId="77777777" w:rsidR="004F1012" w:rsidRDefault="002C3C51">
            <w:pPr>
              <w:jc w:val="center"/>
            </w:pPr>
            <w:r>
              <w:rPr>
                <w:b/>
                <w:bCs/>
                <w:szCs w:val="22"/>
              </w:rPr>
              <w:t>Low</w:t>
            </w:r>
          </w:p>
        </w:tc>
        <w:tc>
          <w:tcPr>
            <w:tcW w:w="2000" w:type="dxa"/>
            <w:shd w:val="clear" w:color="auto" w:fill="D5E8F0"/>
          </w:tcPr>
          <w:p w14:paraId="214B3D82" w14:textId="77777777" w:rsidR="004F1012" w:rsidRDefault="002C3C51">
            <w:pPr>
              <w:jc w:val="center"/>
            </w:pPr>
            <w:r>
              <w:rPr>
                <w:b/>
                <w:bCs/>
                <w:szCs w:val="22"/>
              </w:rPr>
              <w:t>Standard</w:t>
            </w:r>
          </w:p>
        </w:tc>
        <w:tc>
          <w:tcPr>
            <w:tcW w:w="1560" w:type="dxa"/>
            <w:shd w:val="clear" w:color="auto" w:fill="D5E8F0"/>
          </w:tcPr>
          <w:p w14:paraId="5E837599" w14:textId="77777777" w:rsidR="004F1012" w:rsidRDefault="002C3C51">
            <w:pPr>
              <w:jc w:val="center"/>
            </w:pPr>
            <w:r>
              <w:rPr>
                <w:b/>
                <w:bCs/>
                <w:szCs w:val="22"/>
              </w:rPr>
              <w:t>High</w:t>
            </w:r>
          </w:p>
        </w:tc>
      </w:tr>
      <w:tr w:rsidR="009626BA" w14:paraId="73C45673" w14:textId="77777777">
        <w:tc>
          <w:tcPr>
            <w:tcW w:w="4000" w:type="dxa"/>
          </w:tcPr>
          <w:p w14:paraId="55BF5793" w14:textId="77777777" w:rsidR="004F1012" w:rsidRDefault="002C3C51">
            <w:r>
              <w:rPr>
                <w:szCs w:val="22"/>
              </w:rPr>
              <w:t>FK Coefficient (per grade)</w:t>
            </w:r>
          </w:p>
        </w:tc>
        <w:tc>
          <w:tcPr>
            <w:tcW w:w="1800" w:type="dxa"/>
          </w:tcPr>
          <w:p w14:paraId="288F9305" w14:textId="77777777" w:rsidR="004F1012" w:rsidRDefault="002C3C51">
            <w:pPr>
              <w:jc w:val="center"/>
            </w:pPr>
            <w:r>
              <w:rPr>
                <w:szCs w:val="22"/>
              </w:rPr>
              <w:t>0.05</w:t>
            </w:r>
          </w:p>
        </w:tc>
        <w:tc>
          <w:tcPr>
            <w:tcW w:w="2000" w:type="dxa"/>
          </w:tcPr>
          <w:p w14:paraId="270800E2" w14:textId="77777777" w:rsidR="004F1012" w:rsidRDefault="002C3C51">
            <w:pPr>
              <w:jc w:val="center"/>
            </w:pPr>
            <w:r>
              <w:rPr>
                <w:szCs w:val="22"/>
              </w:rPr>
              <w:t>0.075</w:t>
            </w:r>
          </w:p>
        </w:tc>
        <w:tc>
          <w:tcPr>
            <w:tcW w:w="1560" w:type="dxa"/>
          </w:tcPr>
          <w:p w14:paraId="79169E50" w14:textId="77777777" w:rsidR="004F1012" w:rsidRDefault="002C3C51">
            <w:pPr>
              <w:jc w:val="center"/>
            </w:pPr>
            <w:r>
              <w:rPr>
                <w:szCs w:val="22"/>
              </w:rPr>
              <w:t>0.10</w:t>
            </w:r>
          </w:p>
        </w:tc>
      </w:tr>
      <w:tr w:rsidR="009626BA" w14:paraId="264D29E7" w14:textId="77777777">
        <w:tc>
          <w:tcPr>
            <w:tcW w:w="4000" w:type="dxa"/>
          </w:tcPr>
          <w:p w14:paraId="4E356F7D" w14:textId="77777777" w:rsidR="004F1012" w:rsidRDefault="002C3C51">
            <w:r>
              <w:rPr>
                <w:szCs w:val="22"/>
              </w:rPr>
              <w:t>Ambiguity Coefficient</w:t>
            </w:r>
          </w:p>
        </w:tc>
        <w:tc>
          <w:tcPr>
            <w:tcW w:w="1800" w:type="dxa"/>
          </w:tcPr>
          <w:p w14:paraId="7302F608" w14:textId="77777777" w:rsidR="004F1012" w:rsidRDefault="002C3C51">
            <w:pPr>
              <w:jc w:val="center"/>
            </w:pPr>
            <w:r>
              <w:rPr>
                <w:szCs w:val="22"/>
              </w:rPr>
              <w:t>0.05</w:t>
            </w:r>
          </w:p>
        </w:tc>
        <w:tc>
          <w:tcPr>
            <w:tcW w:w="2000" w:type="dxa"/>
          </w:tcPr>
          <w:p w14:paraId="53A59920" w14:textId="77777777" w:rsidR="004F1012" w:rsidRDefault="002C3C51">
            <w:pPr>
              <w:jc w:val="center"/>
            </w:pPr>
            <w:r>
              <w:rPr>
                <w:szCs w:val="22"/>
              </w:rPr>
              <w:t>0.08</w:t>
            </w:r>
          </w:p>
        </w:tc>
        <w:tc>
          <w:tcPr>
            <w:tcW w:w="1560" w:type="dxa"/>
          </w:tcPr>
          <w:p w14:paraId="12F04329" w14:textId="77777777" w:rsidR="004F1012" w:rsidRDefault="002C3C51">
            <w:pPr>
              <w:jc w:val="center"/>
            </w:pPr>
            <w:r>
              <w:rPr>
                <w:szCs w:val="22"/>
              </w:rPr>
              <w:t>0.12</w:t>
            </w:r>
          </w:p>
        </w:tc>
      </w:tr>
      <w:tr w:rsidR="009626BA" w14:paraId="2E037FEF" w14:textId="77777777">
        <w:tc>
          <w:tcPr>
            <w:tcW w:w="4000" w:type="dxa"/>
          </w:tcPr>
          <w:p w14:paraId="794D4A9F" w14:textId="77777777" w:rsidR="004F1012" w:rsidRDefault="002C3C51">
            <w:r>
              <w:rPr>
                <w:szCs w:val="22"/>
              </w:rPr>
              <w:t>Cross-Ref Coefficient</w:t>
            </w:r>
          </w:p>
        </w:tc>
        <w:tc>
          <w:tcPr>
            <w:tcW w:w="1800" w:type="dxa"/>
          </w:tcPr>
          <w:p w14:paraId="2534AF72" w14:textId="77777777" w:rsidR="004F1012" w:rsidRDefault="002C3C51">
            <w:pPr>
              <w:jc w:val="center"/>
            </w:pPr>
            <w:r>
              <w:rPr>
                <w:szCs w:val="22"/>
              </w:rPr>
              <w:t>0.015</w:t>
            </w:r>
          </w:p>
        </w:tc>
        <w:tc>
          <w:tcPr>
            <w:tcW w:w="2000" w:type="dxa"/>
          </w:tcPr>
          <w:p w14:paraId="713B81A7" w14:textId="77777777" w:rsidR="004F1012" w:rsidRDefault="002C3C51">
            <w:pPr>
              <w:jc w:val="center"/>
            </w:pPr>
            <w:r>
              <w:rPr>
                <w:szCs w:val="22"/>
              </w:rPr>
              <w:t>0.025</w:t>
            </w:r>
          </w:p>
        </w:tc>
        <w:tc>
          <w:tcPr>
            <w:tcW w:w="1560" w:type="dxa"/>
          </w:tcPr>
          <w:p w14:paraId="12E9CA53" w14:textId="77777777" w:rsidR="004F1012" w:rsidRDefault="002C3C51">
            <w:pPr>
              <w:jc w:val="center"/>
            </w:pPr>
            <w:r>
              <w:rPr>
                <w:szCs w:val="22"/>
              </w:rPr>
              <w:t>0.035</w:t>
            </w:r>
          </w:p>
        </w:tc>
      </w:tr>
      <w:tr w:rsidR="009626BA" w14:paraId="42D30A2B" w14:textId="77777777">
        <w:tc>
          <w:tcPr>
            <w:tcW w:w="4000" w:type="dxa"/>
          </w:tcPr>
          <w:p w14:paraId="574FCCFD" w14:textId="77777777" w:rsidR="004F1012" w:rsidRDefault="002C3C51">
            <w:r>
              <w:rPr>
                <w:szCs w:val="22"/>
              </w:rPr>
              <w:lastRenderedPageBreak/>
              <w:t>Multiplier Cap</w:t>
            </w:r>
          </w:p>
        </w:tc>
        <w:tc>
          <w:tcPr>
            <w:tcW w:w="1800" w:type="dxa"/>
          </w:tcPr>
          <w:p w14:paraId="2B77E598" w14:textId="77777777" w:rsidR="004F1012" w:rsidRDefault="002C3C51">
            <w:pPr>
              <w:jc w:val="center"/>
            </w:pPr>
            <w:r>
              <w:rPr>
                <w:szCs w:val="22"/>
              </w:rPr>
              <w:t>2.0×</w:t>
            </w:r>
          </w:p>
        </w:tc>
        <w:tc>
          <w:tcPr>
            <w:tcW w:w="2000" w:type="dxa"/>
          </w:tcPr>
          <w:p w14:paraId="31AFD056" w14:textId="77777777" w:rsidR="004F1012" w:rsidRDefault="002C3C51">
            <w:pPr>
              <w:jc w:val="center"/>
            </w:pPr>
            <w:r>
              <w:rPr>
                <w:szCs w:val="22"/>
              </w:rPr>
              <w:t>2.5×</w:t>
            </w:r>
          </w:p>
        </w:tc>
        <w:tc>
          <w:tcPr>
            <w:tcW w:w="1560" w:type="dxa"/>
          </w:tcPr>
          <w:p w14:paraId="40D83E19" w14:textId="77777777" w:rsidR="004F1012" w:rsidRDefault="002C3C51">
            <w:pPr>
              <w:jc w:val="center"/>
            </w:pPr>
            <w:r>
              <w:rPr>
                <w:szCs w:val="22"/>
              </w:rPr>
              <w:t>3.0×</w:t>
            </w:r>
          </w:p>
        </w:tc>
      </w:tr>
    </w:tbl>
    <w:p w14:paraId="3539D93B" w14:textId="77777777" w:rsidR="004F1012" w:rsidRDefault="002C3C51">
      <w:pPr>
        <w:spacing w:after="200"/>
      </w:pPr>
      <w:r>
        <w:rPr>
          <w:i/>
          <w:iCs/>
        </w:rPr>
        <w:t>Table 2.14: Complexity Sensitivity Configuration</w:t>
      </w:r>
    </w:p>
    <w:p w14:paraId="074F7C76" w14:textId="77777777" w:rsidR="004F1012" w:rsidRDefault="002C3C51">
      <w:pPr>
        <w:pStyle w:val="Heading2"/>
      </w:pPr>
      <w:r>
        <w:t>Own Paper Advantage Configuration</w:t>
      </w:r>
    </w:p>
    <w:p w14:paraId="0F666E0C" w14:textId="77777777" w:rsidR="004F1012" w:rsidRDefault="002C3C51">
      <w:pPr>
        <w:spacing w:after="200"/>
      </w:pPr>
      <w:r>
        <w:t>When using your own contract template versus counterparty paper, costs are reduced based on template maturity: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5"/>
        <w:gridCol w:w="1926"/>
        <w:gridCol w:w="2028"/>
        <w:gridCol w:w="1717"/>
      </w:tblGrid>
      <w:tr w:rsidR="009626BA" w14:paraId="0E6FB0DA" w14:textId="77777777">
        <w:trPr>
          <w:tblHeader/>
        </w:trPr>
        <w:tc>
          <w:tcPr>
            <w:tcW w:w="3500" w:type="dxa"/>
            <w:shd w:val="clear" w:color="auto" w:fill="D5E8F0"/>
          </w:tcPr>
          <w:p w14:paraId="67987828" w14:textId="77777777" w:rsidR="004F1012" w:rsidRDefault="002C3C51">
            <w:pPr>
              <w:jc w:val="center"/>
            </w:pPr>
            <w:r>
              <w:rPr>
                <w:b/>
                <w:bCs/>
                <w:szCs w:val="22"/>
              </w:rPr>
              <w:t>Discount Type</w:t>
            </w:r>
          </w:p>
        </w:tc>
        <w:tc>
          <w:tcPr>
            <w:tcW w:w="2000" w:type="dxa"/>
            <w:shd w:val="clear" w:color="auto" w:fill="D5E8F0"/>
          </w:tcPr>
          <w:p w14:paraId="5F468067" w14:textId="77777777" w:rsidR="004F1012" w:rsidRDefault="002C3C51">
            <w:pPr>
              <w:jc w:val="center"/>
            </w:pPr>
            <w:r>
              <w:rPr>
                <w:b/>
                <w:bCs/>
                <w:szCs w:val="22"/>
              </w:rPr>
              <w:t>Minimal</w:t>
            </w:r>
          </w:p>
        </w:tc>
        <w:tc>
          <w:tcPr>
            <w:tcW w:w="2100" w:type="dxa"/>
            <w:shd w:val="clear" w:color="auto" w:fill="D5E8F0"/>
          </w:tcPr>
          <w:p w14:paraId="2EB8E282" w14:textId="77777777" w:rsidR="004F1012" w:rsidRDefault="002C3C51">
            <w:pPr>
              <w:jc w:val="center"/>
            </w:pPr>
            <w:r>
              <w:rPr>
                <w:b/>
                <w:bCs/>
                <w:szCs w:val="22"/>
              </w:rPr>
              <w:t>Standard</w:t>
            </w:r>
          </w:p>
        </w:tc>
        <w:tc>
          <w:tcPr>
            <w:tcW w:w="1760" w:type="dxa"/>
            <w:shd w:val="clear" w:color="auto" w:fill="D5E8F0"/>
          </w:tcPr>
          <w:p w14:paraId="05D66F12" w14:textId="77777777" w:rsidR="004F1012" w:rsidRDefault="002C3C51">
            <w:pPr>
              <w:jc w:val="center"/>
            </w:pPr>
            <w:r>
              <w:rPr>
                <w:b/>
                <w:bCs/>
                <w:szCs w:val="22"/>
              </w:rPr>
              <w:t>Optimized</w:t>
            </w:r>
          </w:p>
        </w:tc>
      </w:tr>
      <w:tr w:rsidR="009626BA" w14:paraId="37D6B0E8" w14:textId="77777777">
        <w:tc>
          <w:tcPr>
            <w:tcW w:w="3500" w:type="dxa"/>
          </w:tcPr>
          <w:p w14:paraId="6DE04E38" w14:textId="77777777" w:rsidR="004F1012" w:rsidRDefault="002C3C51">
            <w:r>
              <w:rPr>
                <w:szCs w:val="22"/>
              </w:rPr>
              <w:t>Formation Discount</w:t>
            </w:r>
          </w:p>
        </w:tc>
        <w:tc>
          <w:tcPr>
            <w:tcW w:w="2000" w:type="dxa"/>
          </w:tcPr>
          <w:p w14:paraId="5125AEEE" w14:textId="77777777" w:rsidR="004F1012" w:rsidRDefault="002C3C51">
            <w:pPr>
              <w:jc w:val="center"/>
            </w:pPr>
            <w:r>
              <w:rPr>
                <w:szCs w:val="22"/>
              </w:rPr>
              <w:t>25%</w:t>
            </w:r>
          </w:p>
        </w:tc>
        <w:tc>
          <w:tcPr>
            <w:tcW w:w="2100" w:type="dxa"/>
          </w:tcPr>
          <w:p w14:paraId="2DB4D294" w14:textId="77777777" w:rsidR="004F1012" w:rsidRDefault="002C3C51">
            <w:pPr>
              <w:jc w:val="center"/>
            </w:pPr>
            <w:r>
              <w:rPr>
                <w:szCs w:val="22"/>
              </w:rPr>
              <w:t>50%</w:t>
            </w:r>
          </w:p>
        </w:tc>
        <w:tc>
          <w:tcPr>
            <w:tcW w:w="1760" w:type="dxa"/>
          </w:tcPr>
          <w:p w14:paraId="0CFF43BF" w14:textId="77777777" w:rsidR="004F1012" w:rsidRDefault="002C3C51">
            <w:pPr>
              <w:jc w:val="center"/>
            </w:pPr>
            <w:r>
              <w:rPr>
                <w:szCs w:val="22"/>
              </w:rPr>
              <w:t>70%</w:t>
            </w:r>
          </w:p>
        </w:tc>
      </w:tr>
      <w:tr w:rsidR="009626BA" w14:paraId="5A9813CE" w14:textId="77777777">
        <w:tc>
          <w:tcPr>
            <w:tcW w:w="3500" w:type="dxa"/>
          </w:tcPr>
          <w:p w14:paraId="424D88CD" w14:textId="77777777" w:rsidR="004F1012" w:rsidRDefault="002C3C51">
            <w:r>
              <w:rPr>
                <w:szCs w:val="22"/>
              </w:rPr>
              <w:t>Operations Discount</w:t>
            </w:r>
          </w:p>
        </w:tc>
        <w:tc>
          <w:tcPr>
            <w:tcW w:w="2000" w:type="dxa"/>
          </w:tcPr>
          <w:p w14:paraId="3385F61E" w14:textId="77777777" w:rsidR="004F1012" w:rsidRDefault="002C3C51">
            <w:pPr>
              <w:jc w:val="center"/>
            </w:pPr>
            <w:r>
              <w:rPr>
                <w:szCs w:val="22"/>
              </w:rPr>
              <w:t>25%</w:t>
            </w:r>
          </w:p>
        </w:tc>
        <w:tc>
          <w:tcPr>
            <w:tcW w:w="2100" w:type="dxa"/>
          </w:tcPr>
          <w:p w14:paraId="353FA7FA" w14:textId="77777777" w:rsidR="004F1012" w:rsidRDefault="002C3C51">
            <w:pPr>
              <w:jc w:val="center"/>
            </w:pPr>
            <w:r>
              <w:rPr>
                <w:szCs w:val="22"/>
              </w:rPr>
              <w:t>50%</w:t>
            </w:r>
          </w:p>
        </w:tc>
        <w:tc>
          <w:tcPr>
            <w:tcW w:w="1760" w:type="dxa"/>
          </w:tcPr>
          <w:p w14:paraId="661BFBCF" w14:textId="77777777" w:rsidR="004F1012" w:rsidRDefault="002C3C51">
            <w:pPr>
              <w:jc w:val="center"/>
            </w:pPr>
            <w:r>
              <w:rPr>
                <w:szCs w:val="22"/>
              </w:rPr>
              <w:t>70%</w:t>
            </w:r>
          </w:p>
        </w:tc>
      </w:tr>
      <w:tr w:rsidR="009626BA" w14:paraId="41FE6C0F" w14:textId="77777777">
        <w:tc>
          <w:tcPr>
            <w:tcW w:w="3500" w:type="dxa"/>
          </w:tcPr>
          <w:p w14:paraId="173CBD59" w14:textId="77777777" w:rsidR="004F1012" w:rsidRDefault="002C3C51">
            <w:r>
              <w:rPr>
                <w:szCs w:val="22"/>
              </w:rPr>
              <w:t>Ambiguity Discount</w:t>
            </w:r>
          </w:p>
        </w:tc>
        <w:tc>
          <w:tcPr>
            <w:tcW w:w="2000" w:type="dxa"/>
          </w:tcPr>
          <w:p w14:paraId="1038CE4F" w14:textId="77777777" w:rsidR="004F1012" w:rsidRDefault="002C3C51">
            <w:pPr>
              <w:jc w:val="center"/>
            </w:pPr>
            <w:r>
              <w:rPr>
                <w:szCs w:val="22"/>
              </w:rPr>
              <w:t>40%</w:t>
            </w:r>
          </w:p>
        </w:tc>
        <w:tc>
          <w:tcPr>
            <w:tcW w:w="2100" w:type="dxa"/>
          </w:tcPr>
          <w:p w14:paraId="6E4F7168" w14:textId="77777777" w:rsidR="004F1012" w:rsidRDefault="002C3C51">
            <w:pPr>
              <w:jc w:val="center"/>
            </w:pPr>
            <w:r>
              <w:rPr>
                <w:szCs w:val="22"/>
              </w:rPr>
              <w:t>70%</w:t>
            </w:r>
          </w:p>
        </w:tc>
        <w:tc>
          <w:tcPr>
            <w:tcW w:w="1760" w:type="dxa"/>
          </w:tcPr>
          <w:p w14:paraId="78BE9245" w14:textId="77777777" w:rsidR="004F1012" w:rsidRDefault="002C3C51">
            <w:pPr>
              <w:jc w:val="center"/>
            </w:pPr>
            <w:r>
              <w:rPr>
                <w:szCs w:val="22"/>
              </w:rPr>
              <w:t>85%</w:t>
            </w:r>
          </w:p>
        </w:tc>
      </w:tr>
    </w:tbl>
    <w:p w14:paraId="58845330" w14:textId="77777777" w:rsidR="004F1012" w:rsidRDefault="002C3C51">
      <w:pPr>
        <w:spacing w:after="200"/>
      </w:pPr>
      <w:r>
        <w:rPr>
          <w:i/>
          <w:iCs/>
        </w:rPr>
        <w:t>Table 2.15: Own Paper Advantage Configuration</w:t>
      </w:r>
    </w:p>
    <w:p w14:paraId="67784D2C" w14:textId="77777777" w:rsidR="004F1012" w:rsidRDefault="002C3C51">
      <w:r>
        <w:br w:type="page"/>
      </w:r>
    </w:p>
    <w:p w14:paraId="0D35910A" w14:textId="77777777" w:rsidR="004F1012" w:rsidRDefault="002C3C51">
      <w:pPr>
        <w:pStyle w:val="Heading1"/>
      </w:pPr>
      <w:r>
        <w:lastRenderedPageBreak/>
        <w:t>Case Study: The Hidden Tax Revealed</w:t>
      </w:r>
    </w:p>
    <w:p w14:paraId="5B09F05E" w14:textId="1B14CDA5" w:rsidR="004F1012" w:rsidRDefault="00E944B8">
      <w:pPr>
        <w:spacing w:after="200"/>
      </w:pPr>
      <w:proofErr w:type="spellStart"/>
      <w:r>
        <w:t>xIQ</w:t>
      </w:r>
      <w:proofErr w:type="spellEnd"/>
      <w:r w:rsidR="00DD4796">
        <w:t xml:space="preserve"> </w:t>
      </w:r>
      <w:r w:rsidR="002C3C51">
        <w:t>analysis of a major enterprise software vendor's Main Services Agreement reveals all three pillars of complexity cost in action. The agreement exhibited:</w:t>
      </w:r>
    </w:p>
    <w:p w14:paraId="275727C8" w14:textId="77777777" w:rsidR="004F1012" w:rsidRDefault="002C3C51">
      <w:pPr>
        <w:shd w:val="clear" w:color="auto" w:fill="F8F9FA"/>
        <w:spacing w:before="150" w:after="150"/>
        <w:ind w:left="720" w:right="720"/>
      </w:pPr>
      <w:r>
        <w:rPr>
          <w:i/>
          <w:iCs/>
          <w:szCs w:val="22"/>
        </w:rPr>
        <w:t>Language complexity: FK Grade 19.7, 31.4-word average sentences, 38% passive voice</w:t>
      </w:r>
    </w:p>
    <w:p w14:paraId="559DF122" w14:textId="77777777" w:rsidR="004F1012" w:rsidRDefault="002C3C51">
      <w:pPr>
        <w:shd w:val="clear" w:color="auto" w:fill="F8F9FA"/>
        <w:spacing w:before="150" w:after="150"/>
        <w:ind w:left="720" w:right="720"/>
      </w:pPr>
      <w:r>
        <w:rPr>
          <w:i/>
          <w:iCs/>
          <w:szCs w:val="22"/>
        </w:rPr>
        <w:t>Structural complexity: Multiple nested documents and referenced policies</w:t>
      </w:r>
    </w:p>
    <w:p w14:paraId="27387826" w14:textId="77777777" w:rsidR="004F1012" w:rsidRDefault="002C3C51">
      <w:pPr>
        <w:shd w:val="clear" w:color="auto" w:fill="F8F9FA"/>
        <w:spacing w:before="150" w:after="150"/>
        <w:ind w:left="720" w:right="720"/>
      </w:pPr>
      <w:r>
        <w:rPr>
          <w:i/>
          <w:iCs/>
          <w:szCs w:val="22"/>
        </w:rPr>
        <w:t xml:space="preserve">Standards deviation: </w:t>
      </w:r>
      <w:proofErr w:type="spellStart"/>
      <w:r>
        <w:rPr>
          <w:i/>
          <w:iCs/>
          <w:szCs w:val="22"/>
        </w:rPr>
        <w:t>WorldCC</w:t>
      </w:r>
      <w:proofErr w:type="spellEnd"/>
      <w:r>
        <w:rPr>
          <w:i/>
          <w:iCs/>
          <w:szCs w:val="22"/>
        </w:rPr>
        <w:t xml:space="preserve"> score 48% (WEAK), </w:t>
      </w:r>
      <w:proofErr w:type="spellStart"/>
      <w:r>
        <w:rPr>
          <w:i/>
          <w:iCs/>
          <w:szCs w:val="22"/>
        </w:rPr>
        <w:t>ContractStandards</w:t>
      </w:r>
      <w:proofErr w:type="spellEnd"/>
      <w:r>
        <w:rPr>
          <w:i/>
          <w:iCs/>
          <w:szCs w:val="22"/>
        </w:rPr>
        <w:t xml:space="preserve"> 54% (MARGINAL)</w:t>
      </w:r>
    </w:p>
    <w:p w14:paraId="3C6618A1" w14:textId="77777777" w:rsidR="004F1012" w:rsidRDefault="002C3C51">
      <w:pPr>
        <w:shd w:val="clear" w:color="auto" w:fill="F8F9FA"/>
        <w:spacing w:before="150" w:after="150"/>
        <w:ind w:left="720" w:right="720"/>
      </w:pPr>
      <w:r>
        <w:rPr>
          <w:i/>
          <w:iCs/>
          <w:szCs w:val="22"/>
        </w:rPr>
        <w:t>Ambiguity: 23 undefined critical terms requiring interpretation</w:t>
      </w:r>
    </w:p>
    <w:p w14:paraId="33CBB5A0" w14:textId="77777777" w:rsidR="004F1012" w:rsidRDefault="002C3C51">
      <w:pPr>
        <w:spacing w:after="200"/>
      </w:pPr>
      <w:r>
        <w:t xml:space="preserve">Annual complexity tax: approximately 75% of annual contract value. Over three years: nearly double the nominal license fees at present value. </w:t>
      </w:r>
      <w:r>
        <w:rPr>
          <w:b/>
          <w:bCs/>
        </w:rPr>
        <w:t xml:space="preserve">The complexity tax nearly equals or exceeds the license fees over three </w:t>
      </w:r>
      <w:proofErr w:type="gramStart"/>
      <w:r>
        <w:rPr>
          <w:b/>
          <w:bCs/>
        </w:rPr>
        <w:t>years—</w:t>
      </w:r>
      <w:proofErr w:type="gramEnd"/>
      <w:r>
        <w:rPr>
          <w:b/>
          <w:bCs/>
        </w:rPr>
        <w:t>meaning the complexity tax nearly doubles the true cost of the contract.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2895"/>
        <w:gridCol w:w="2752"/>
      </w:tblGrid>
      <w:tr w:rsidR="009626BA" w14:paraId="5685B583" w14:textId="77777777">
        <w:trPr>
          <w:tblHeader/>
        </w:trPr>
        <w:tc>
          <w:tcPr>
            <w:tcW w:w="3500" w:type="dxa"/>
            <w:shd w:val="clear" w:color="auto" w:fill="D5E8F0"/>
          </w:tcPr>
          <w:p w14:paraId="29038C80" w14:textId="77777777" w:rsidR="004F1012" w:rsidRDefault="002C3C51">
            <w:pPr>
              <w:jc w:val="center"/>
            </w:pPr>
            <w:r>
              <w:rPr>
                <w:b/>
                <w:bCs/>
                <w:szCs w:val="22"/>
              </w:rPr>
              <w:t>Metric</w:t>
            </w:r>
          </w:p>
        </w:tc>
        <w:tc>
          <w:tcPr>
            <w:tcW w:w="3000" w:type="dxa"/>
            <w:shd w:val="clear" w:color="auto" w:fill="D5E8F0"/>
          </w:tcPr>
          <w:p w14:paraId="0831C805" w14:textId="77777777" w:rsidR="004F1012" w:rsidRDefault="002C3C51">
            <w:pPr>
              <w:jc w:val="center"/>
            </w:pPr>
            <w:r>
              <w:rPr>
                <w:b/>
                <w:bCs/>
                <w:szCs w:val="22"/>
              </w:rPr>
              <w:t>Complex Agreement</w:t>
            </w:r>
          </w:p>
        </w:tc>
        <w:tc>
          <w:tcPr>
            <w:tcW w:w="2860" w:type="dxa"/>
            <w:shd w:val="clear" w:color="auto" w:fill="D5E8F0"/>
          </w:tcPr>
          <w:p w14:paraId="78D32029" w14:textId="77777777" w:rsidR="004F1012" w:rsidRDefault="002C3C51">
            <w:pPr>
              <w:jc w:val="center"/>
            </w:pPr>
            <w:r>
              <w:rPr>
                <w:b/>
                <w:bCs/>
                <w:szCs w:val="22"/>
              </w:rPr>
              <w:t>Market Standard</w:t>
            </w:r>
          </w:p>
        </w:tc>
      </w:tr>
      <w:tr w:rsidR="009626BA" w14:paraId="3E149AA3" w14:textId="77777777">
        <w:tc>
          <w:tcPr>
            <w:tcW w:w="3500" w:type="dxa"/>
          </w:tcPr>
          <w:p w14:paraId="62913CBA" w14:textId="77777777" w:rsidR="004F1012" w:rsidRDefault="002C3C51">
            <w:r>
              <w:rPr>
                <w:szCs w:val="22"/>
              </w:rPr>
              <w:t>FK Grade Level</w:t>
            </w:r>
          </w:p>
        </w:tc>
        <w:tc>
          <w:tcPr>
            <w:tcW w:w="3000" w:type="dxa"/>
          </w:tcPr>
          <w:p w14:paraId="78D3991D" w14:textId="77777777" w:rsidR="004F1012" w:rsidRDefault="002C3C51">
            <w:pPr>
              <w:jc w:val="center"/>
            </w:pPr>
            <w:r>
              <w:rPr>
                <w:szCs w:val="22"/>
              </w:rPr>
              <w:t>19.7</w:t>
            </w:r>
          </w:p>
        </w:tc>
        <w:tc>
          <w:tcPr>
            <w:tcW w:w="2860" w:type="dxa"/>
          </w:tcPr>
          <w:p w14:paraId="68A5DCCD" w14:textId="77777777" w:rsidR="004F1012" w:rsidRDefault="002C3C51">
            <w:pPr>
              <w:jc w:val="center"/>
            </w:pPr>
            <w:r>
              <w:rPr>
                <w:szCs w:val="22"/>
              </w:rPr>
              <w:t>12-13</w:t>
            </w:r>
          </w:p>
        </w:tc>
      </w:tr>
      <w:tr w:rsidR="009626BA" w14:paraId="495F9F7E" w14:textId="77777777">
        <w:tc>
          <w:tcPr>
            <w:tcW w:w="3500" w:type="dxa"/>
          </w:tcPr>
          <w:p w14:paraId="377D23DA" w14:textId="77777777" w:rsidR="004F1012" w:rsidRDefault="002C3C51">
            <w:proofErr w:type="spellStart"/>
            <w:r>
              <w:rPr>
                <w:szCs w:val="22"/>
              </w:rPr>
              <w:t>WorldCC</w:t>
            </w:r>
            <w:proofErr w:type="spellEnd"/>
            <w:r>
              <w:rPr>
                <w:szCs w:val="22"/>
              </w:rPr>
              <w:t xml:space="preserve"> Compliance</w:t>
            </w:r>
          </w:p>
        </w:tc>
        <w:tc>
          <w:tcPr>
            <w:tcW w:w="3000" w:type="dxa"/>
          </w:tcPr>
          <w:p w14:paraId="56D5245B" w14:textId="77777777" w:rsidR="004F1012" w:rsidRDefault="002C3C51">
            <w:pPr>
              <w:jc w:val="center"/>
            </w:pPr>
            <w:r>
              <w:rPr>
                <w:szCs w:val="22"/>
              </w:rPr>
              <w:t>48% (WEAK)</w:t>
            </w:r>
          </w:p>
        </w:tc>
        <w:tc>
          <w:tcPr>
            <w:tcW w:w="2860" w:type="dxa"/>
          </w:tcPr>
          <w:p w14:paraId="49E09FCF" w14:textId="77777777" w:rsidR="004F1012" w:rsidRDefault="002C3C51">
            <w:pPr>
              <w:jc w:val="center"/>
            </w:pPr>
            <w:r>
              <w:rPr>
                <w:szCs w:val="22"/>
              </w:rPr>
              <w:t>78%+ (GOOD)</w:t>
            </w:r>
          </w:p>
        </w:tc>
      </w:tr>
      <w:tr w:rsidR="009626BA" w14:paraId="567FE443" w14:textId="77777777">
        <w:tc>
          <w:tcPr>
            <w:tcW w:w="3500" w:type="dxa"/>
          </w:tcPr>
          <w:p w14:paraId="74766FB3" w14:textId="77777777" w:rsidR="004F1012" w:rsidRDefault="002C3C51">
            <w:r>
              <w:rPr>
                <w:szCs w:val="22"/>
              </w:rPr>
              <w:t>Annual Complexity Cost</w:t>
            </w:r>
          </w:p>
        </w:tc>
        <w:tc>
          <w:tcPr>
            <w:tcW w:w="3000" w:type="dxa"/>
          </w:tcPr>
          <w:p w14:paraId="7EA81870" w14:textId="77777777" w:rsidR="004F1012" w:rsidRDefault="002C3C51">
            <w:pPr>
              <w:jc w:val="center"/>
            </w:pPr>
            <w:r>
              <w:rPr>
                <w:szCs w:val="22"/>
              </w:rPr>
              <w:t>$225,000 annual</w:t>
            </w:r>
          </w:p>
        </w:tc>
        <w:tc>
          <w:tcPr>
            <w:tcW w:w="2860" w:type="dxa"/>
          </w:tcPr>
          <w:p w14:paraId="11BE8EFB" w14:textId="77777777" w:rsidR="004F1012" w:rsidRDefault="002C3C51">
            <w:pPr>
              <w:jc w:val="center"/>
            </w:pPr>
            <w:r>
              <w:rPr>
                <w:szCs w:val="22"/>
              </w:rPr>
              <w:t>$39,000 annual</w:t>
            </w:r>
          </w:p>
        </w:tc>
      </w:tr>
      <w:tr w:rsidR="009626BA" w14:paraId="6212B1DC" w14:textId="77777777">
        <w:tc>
          <w:tcPr>
            <w:tcW w:w="3500" w:type="dxa"/>
          </w:tcPr>
          <w:p w14:paraId="0364B735" w14:textId="77777777" w:rsidR="004F1012" w:rsidRDefault="002C3C51">
            <w:r>
              <w:rPr>
                <w:b/>
                <w:bCs/>
                <w:szCs w:val="22"/>
              </w:rPr>
              <w:t>3-Year Complexity Tax</w:t>
            </w:r>
          </w:p>
        </w:tc>
        <w:tc>
          <w:tcPr>
            <w:tcW w:w="3000" w:type="dxa"/>
            <w:shd w:val="clear" w:color="auto" w:fill="F8D7DA"/>
          </w:tcPr>
          <w:p w14:paraId="49D53010" w14:textId="77777777" w:rsidR="004F1012" w:rsidRDefault="002C3C51">
            <w:pPr>
              <w:jc w:val="center"/>
            </w:pPr>
            <w:r>
              <w:rPr>
                <w:b/>
                <w:bCs/>
                <w:szCs w:val="22"/>
              </w:rPr>
              <w:t>$585,000 (3-year)</w:t>
            </w:r>
          </w:p>
        </w:tc>
        <w:tc>
          <w:tcPr>
            <w:tcW w:w="2860" w:type="dxa"/>
            <w:shd w:val="clear" w:color="auto" w:fill="D4EDDA"/>
          </w:tcPr>
          <w:p w14:paraId="12A1BE6A" w14:textId="77777777" w:rsidR="004F1012" w:rsidRDefault="002C3C51">
            <w:pPr>
              <w:jc w:val="center"/>
            </w:pPr>
            <w:r>
              <w:rPr>
                <w:b/>
                <w:bCs/>
                <w:szCs w:val="22"/>
              </w:rPr>
              <w:t>$101,000 (3-year)</w:t>
            </w:r>
          </w:p>
        </w:tc>
      </w:tr>
      <w:tr w:rsidR="009626BA" w14:paraId="5B3DCA2E" w14:textId="77777777">
        <w:tc>
          <w:tcPr>
            <w:tcW w:w="3500" w:type="dxa"/>
          </w:tcPr>
          <w:p w14:paraId="023E3E76" w14:textId="77777777" w:rsidR="004F1012" w:rsidRDefault="002C3C51">
            <w:r>
              <w:rPr>
                <w:b/>
                <w:bCs/>
                <w:szCs w:val="22"/>
              </w:rPr>
              <w:t>Excess Cost vs. Market</w:t>
            </w:r>
          </w:p>
        </w:tc>
        <w:tc>
          <w:tcPr>
            <w:tcW w:w="3000" w:type="dxa"/>
            <w:shd w:val="clear" w:color="auto" w:fill="F8D7DA"/>
          </w:tcPr>
          <w:p w14:paraId="28EED9CF" w14:textId="77777777" w:rsidR="004F1012" w:rsidRDefault="002C3C51">
            <w:pPr>
              <w:jc w:val="center"/>
            </w:pPr>
            <w:r>
              <w:rPr>
                <w:b/>
                <w:bCs/>
                <w:szCs w:val="22"/>
              </w:rPr>
              <w:t>$485,000</w:t>
            </w:r>
          </w:p>
        </w:tc>
        <w:tc>
          <w:tcPr>
            <w:tcW w:w="2860" w:type="dxa"/>
          </w:tcPr>
          <w:p w14:paraId="6E26A2BB" w14:textId="77777777" w:rsidR="004F1012" w:rsidRDefault="002C3C51">
            <w:pPr>
              <w:jc w:val="center"/>
            </w:pPr>
            <w:r>
              <w:rPr>
                <w:szCs w:val="22"/>
              </w:rPr>
              <w:t>—</w:t>
            </w:r>
          </w:p>
        </w:tc>
      </w:tr>
    </w:tbl>
    <w:p w14:paraId="6C82366D" w14:textId="77777777" w:rsidR="004F1012" w:rsidRDefault="002C3C51">
      <w:pPr>
        <w:spacing w:after="200"/>
      </w:pPr>
      <w:r>
        <w:rPr>
          <w:i/>
          <w:iCs/>
        </w:rPr>
        <w:t>Table 2.16: Case Study Cost Comparison</w:t>
      </w:r>
    </w:p>
    <w:p w14:paraId="5A6EED21" w14:textId="77777777" w:rsidR="004F1012" w:rsidRDefault="002C3C51">
      <w:pPr>
        <w:pStyle w:val="Heading1"/>
      </w:pPr>
      <w:r>
        <w:t>Case Study: Microsoft vs. Oracle License Complexity</w:t>
      </w:r>
    </w:p>
    <w:p w14:paraId="6C8BFCCD" w14:textId="77777777" w:rsidR="004F1012" w:rsidRDefault="002C3C51">
      <w:pPr>
        <w:spacing w:after="200"/>
      </w:pPr>
      <w:r>
        <w:t>To understand how complexity translates into quantifiable costs, consider two enterprise software licensing agreements of similar scope: Microsoft's Enterprise Agreement and Oracle's Master License Agreement.</w:t>
      </w:r>
    </w:p>
    <w:p w14:paraId="516E414D" w14:textId="77777777" w:rsidR="004F1012" w:rsidRDefault="002C3C51">
      <w:pPr>
        <w:pStyle w:val="Heading2"/>
      </w:pPr>
      <w:r>
        <w:t>The Microsoft Approach: Structured Simplicity</w:t>
      </w:r>
    </w:p>
    <w:p w14:paraId="0DCC187E" w14:textId="77777777" w:rsidR="004F1012" w:rsidRDefault="002C3C51">
      <w:pPr>
        <w:spacing w:after="200"/>
      </w:pPr>
      <w:r>
        <w:t>Microsoft's Enterprise Agreement, typically 35-45 pages, demonstrates disciplined complexity management:</w:t>
      </w:r>
    </w:p>
    <w:p w14:paraId="69D4545D" w14:textId="77777777" w:rsidR="004F1012" w:rsidRDefault="002C3C51">
      <w:pPr>
        <w:pStyle w:val="ListParagraph"/>
        <w:numPr>
          <w:ilvl w:val="0"/>
          <w:numId w:val="2"/>
        </w:numPr>
        <w:spacing w:after="60"/>
      </w:pPr>
      <w:r>
        <w:lastRenderedPageBreak/>
        <w:t>Linguistic Clarity: Flesch-Kincaid Grade Level of 11.2, with 78% of sentences under 20 words</w:t>
      </w:r>
    </w:p>
    <w:p w14:paraId="11B575A4" w14:textId="77777777" w:rsidR="004F1012" w:rsidRDefault="002C3C51">
      <w:pPr>
        <w:pStyle w:val="ListParagraph"/>
        <w:numPr>
          <w:ilvl w:val="0"/>
          <w:numId w:val="2"/>
        </w:numPr>
        <w:spacing w:after="60"/>
      </w:pPr>
      <w:r>
        <w:t>Structural Organization: Hierarchical numbering system with clear section boundaries</w:t>
      </w:r>
    </w:p>
    <w:p w14:paraId="796EBFBC" w14:textId="77777777" w:rsidR="004F1012" w:rsidRDefault="002C3C51">
      <w:pPr>
        <w:pStyle w:val="ListParagraph"/>
        <w:numPr>
          <w:ilvl w:val="0"/>
          <w:numId w:val="2"/>
        </w:numPr>
        <w:spacing w:after="60"/>
      </w:pPr>
      <w:r>
        <w:t>Defined Terms: 42 defined terms, each used consistently throughout</w:t>
      </w:r>
    </w:p>
    <w:p w14:paraId="28BE811D" w14:textId="77777777" w:rsidR="004F1012" w:rsidRDefault="002C3C51">
      <w:pPr>
        <w:pStyle w:val="ListParagraph"/>
        <w:numPr>
          <w:ilvl w:val="0"/>
          <w:numId w:val="2"/>
        </w:numPr>
        <w:spacing w:after="200"/>
      </w:pPr>
      <w:r>
        <w:t>Cross-References: Average of 1.3 per page, primarily forward-pointing</w:t>
      </w:r>
    </w:p>
    <w:p w14:paraId="2F6C0C14" w14:textId="77777777" w:rsidR="004F1012" w:rsidRDefault="002C3C51">
      <w:pPr>
        <w:spacing w:after="200"/>
      </w:pPr>
      <w:r>
        <w:t xml:space="preserve">Result: 18 hours initial review, 6 hours annual renewal. Ambiguity </w:t>
      </w:r>
      <w:proofErr w:type="gramStart"/>
      <w:r>
        <w:t>requiring</w:t>
      </w:r>
      <w:proofErr w:type="gramEnd"/>
      <w:r>
        <w:t xml:space="preserve"> legal consultation in fewer than 5% of operational decisions.</w:t>
      </w:r>
    </w:p>
    <w:p w14:paraId="5F182D3C" w14:textId="77777777" w:rsidR="004F1012" w:rsidRDefault="002C3C51">
      <w:pPr>
        <w:pStyle w:val="Heading2"/>
      </w:pPr>
      <w:r>
        <w:t>The Oracle Approach: Accumulated Complexity</w:t>
      </w:r>
    </w:p>
    <w:p w14:paraId="3D8C4C0F" w14:textId="77777777" w:rsidR="004F1012" w:rsidRDefault="002C3C51">
      <w:pPr>
        <w:spacing w:after="200"/>
      </w:pPr>
      <w:r>
        <w:t>Oracle's Master License Agreement, often 80-120 pages with multiple incorporated schedules:</w:t>
      </w:r>
    </w:p>
    <w:p w14:paraId="4A4EBF8E" w14:textId="77777777" w:rsidR="004F1012" w:rsidRDefault="002C3C51">
      <w:pPr>
        <w:pStyle w:val="ListParagraph"/>
        <w:numPr>
          <w:ilvl w:val="0"/>
          <w:numId w:val="2"/>
        </w:numPr>
        <w:spacing w:after="60"/>
      </w:pPr>
      <w:r>
        <w:t>Linguistic Complexity: Flesch-Kincaid Grade Level of 16.4, with 47% of sentences exceeding 25 words</w:t>
      </w:r>
    </w:p>
    <w:p w14:paraId="4A1777D6" w14:textId="77777777" w:rsidR="004F1012" w:rsidRDefault="002C3C51">
      <w:pPr>
        <w:pStyle w:val="ListParagraph"/>
        <w:numPr>
          <w:ilvl w:val="0"/>
          <w:numId w:val="2"/>
        </w:numPr>
        <w:spacing w:after="60"/>
      </w:pPr>
      <w:r>
        <w:t>Structural Fragmentation: Multiple incorporated documents creating network dependencies</w:t>
      </w:r>
    </w:p>
    <w:p w14:paraId="015D3100" w14:textId="77777777" w:rsidR="004F1012" w:rsidRDefault="002C3C51">
      <w:pPr>
        <w:pStyle w:val="ListParagraph"/>
        <w:numPr>
          <w:ilvl w:val="0"/>
          <w:numId w:val="2"/>
        </w:numPr>
        <w:spacing w:after="60"/>
      </w:pPr>
      <w:r>
        <w:t>Defined Terms: 89 defined terms, with inconsistent usage and circular definitions</w:t>
      </w:r>
    </w:p>
    <w:p w14:paraId="6F2D81D2" w14:textId="77777777" w:rsidR="004F1012" w:rsidRDefault="002C3C51">
      <w:pPr>
        <w:pStyle w:val="ListParagraph"/>
        <w:numPr>
          <w:ilvl w:val="0"/>
          <w:numId w:val="2"/>
        </w:numPr>
        <w:spacing w:after="200"/>
      </w:pPr>
      <w:r>
        <w:t>Cross-References: Average of 4.7 per page, frequently creating closed loops</w:t>
      </w:r>
    </w:p>
    <w:p w14:paraId="3FDA57AA" w14:textId="77777777" w:rsidR="004F1012" w:rsidRDefault="002C3C51">
      <w:pPr>
        <w:spacing w:after="200"/>
      </w:pPr>
      <w:r>
        <w:t>Result: 47 hours initial review, 15 hours annual renewal. Legal consultation required in approximately 35% of operational decisions.</w:t>
      </w:r>
    </w:p>
    <w:p w14:paraId="3661FC3C" w14:textId="77777777" w:rsidR="004F1012" w:rsidRDefault="002C3C51">
      <w:pPr>
        <w:pStyle w:val="Heading3"/>
      </w:pPr>
      <w:r>
        <w:t>The Complexity Tax: Quantified</w:t>
      </w:r>
    </w:p>
    <w:p w14:paraId="68165DB7" w14:textId="77777777" w:rsidR="004F1012" w:rsidRDefault="002C3C51">
      <w:pPr>
        <w:spacing w:after="200"/>
      </w:pPr>
      <w:r>
        <w:t>For a mid-sized enterprise ($500M revenue, 2,000 employees) over a 3-year agreement term:</w:t>
      </w:r>
    </w:p>
    <w:p w14:paraId="3D16201B" w14:textId="77777777" w:rsidR="004F1012" w:rsidRDefault="002C3C51">
      <w:pPr>
        <w:pStyle w:val="ListParagraph"/>
        <w:numPr>
          <w:ilvl w:val="0"/>
          <w:numId w:val="2"/>
        </w:numPr>
        <w:spacing w:after="60"/>
      </w:pPr>
      <w:r>
        <w:t>Microsoft EA: $18,000 over three years (initial review plus ongoing costs)</w:t>
      </w:r>
    </w:p>
    <w:p w14:paraId="14DA717F" w14:textId="77777777" w:rsidR="004F1012" w:rsidRDefault="002C3C51">
      <w:pPr>
        <w:pStyle w:val="ListParagraph"/>
        <w:numPr>
          <w:ilvl w:val="0"/>
          <w:numId w:val="2"/>
        </w:numPr>
        <w:spacing w:after="60"/>
      </w:pPr>
      <w:r>
        <w:t>Oracle MLA: $53,000 over three years (initial review plus ongoing costs)</w:t>
      </w:r>
    </w:p>
    <w:p w14:paraId="1B40C5C5" w14:textId="77777777" w:rsidR="004F1012" w:rsidRDefault="002C3C51">
      <w:pPr>
        <w:pStyle w:val="ListParagraph"/>
        <w:numPr>
          <w:ilvl w:val="0"/>
          <w:numId w:val="2"/>
        </w:numPr>
        <w:spacing w:after="200"/>
      </w:pPr>
      <w:r>
        <w:rPr>
          <w:b/>
          <w:bCs/>
        </w:rPr>
        <w:t>Total Complexity Tax: $35,000 additional cost for Oracle (196% higher than Microsoft)</w:t>
      </w:r>
    </w:p>
    <w:p w14:paraId="1EEFC5A0" w14:textId="77777777" w:rsidR="004F1012" w:rsidRDefault="002C3C51">
      <w:pPr>
        <w:spacing w:after="200"/>
      </w:pPr>
      <w:r>
        <w:t>For an enterprise with 20 such agreements, the aggregate complexity tax exceeds $700,000.</w:t>
      </w:r>
    </w:p>
    <w:p w14:paraId="6F7D414C" w14:textId="77777777" w:rsidR="004F1012" w:rsidRDefault="002C3C51">
      <w:r>
        <w:br w:type="page"/>
      </w:r>
    </w:p>
    <w:p w14:paraId="333EE6F6" w14:textId="77777777" w:rsidR="004F1012" w:rsidRDefault="002C3C51">
      <w:pPr>
        <w:pStyle w:val="Heading1"/>
      </w:pPr>
      <w:r>
        <w:lastRenderedPageBreak/>
        <w:t>Strategic Implications</w:t>
      </w:r>
    </w:p>
    <w:p w14:paraId="0F2F4A01" w14:textId="0AD27989" w:rsidR="004F1012" w:rsidRDefault="002C3C51">
      <w:pPr>
        <w:spacing w:after="200"/>
      </w:pPr>
      <w:r>
        <w:t xml:space="preserve">Recognition of the three-pillar complexity tax transforms negotiation strategy. </w:t>
      </w:r>
      <w:proofErr w:type="spellStart"/>
      <w:r>
        <w:t>WorldCC</w:t>
      </w:r>
      <w:proofErr w:type="spellEnd"/>
      <w:r>
        <w:t xml:space="preserve"> research indicates that plain language contracts reduce negotiation cycles by up to 50%. </w:t>
      </w:r>
      <w:proofErr w:type="spellStart"/>
      <w:r w:rsidR="00E944B8">
        <w:t>xIQ</w:t>
      </w:r>
      <w:r>
        <w:t>analysis</w:t>
      </w:r>
      <w:proofErr w:type="spellEnd"/>
      <w:r>
        <w:t xml:space="preserve"> suggests every $1 invested in negotiating simpler terms returns $8-16 in avoided complexity costs.</w:t>
      </w:r>
    </w:p>
    <w:p w14:paraId="2436CBA7" w14:textId="77777777" w:rsidR="004F1012" w:rsidRDefault="002C3C51">
      <w:pPr>
        <w:pStyle w:val="Heading2"/>
      </w:pPr>
      <w:r>
        <w:t>Prioritize Readability Over Brevity</w:t>
      </w:r>
    </w:p>
    <w:p w14:paraId="652F7D7D" w14:textId="77777777" w:rsidR="004F1012" w:rsidRDefault="002C3C51">
      <w:pPr>
        <w:spacing w:after="200"/>
      </w:pPr>
      <w:r>
        <w:t>Accept longer documents if they achieve lower reading grades. A 25-page plain-language agreement costs less than a 15-page complex one. When vendors offer "streamlined" terms, verify the complexity trade-off—shorter is not always simpler.</w:t>
      </w:r>
    </w:p>
    <w:p w14:paraId="69EE0A9C" w14:textId="77777777" w:rsidR="004F1012" w:rsidRDefault="002C3C51">
      <w:pPr>
        <w:pStyle w:val="Heading2"/>
      </w:pPr>
      <w:proofErr w:type="gramStart"/>
      <w:r>
        <w:t>Resist Nested</w:t>
      </w:r>
      <w:proofErr w:type="gramEnd"/>
      <w:r>
        <w:t xml:space="preserve"> Document Structures</w:t>
      </w:r>
    </w:p>
    <w:p w14:paraId="6C19F995" w14:textId="77777777" w:rsidR="004F1012" w:rsidRDefault="002C3C51">
      <w:pPr>
        <w:spacing w:after="200"/>
      </w:pPr>
      <w:r>
        <w:t>Each level of document incorporation adds 15-25% to administrative costs. Negotiate for consolidated terms or demand clear integration of all referenced documents into a single reviewable package. If nesting is unavoidable, require version-locked references rather than "as amended from time to time" language.</w:t>
      </w:r>
    </w:p>
    <w:p w14:paraId="3B88AD15" w14:textId="77777777" w:rsidR="004F1012" w:rsidRDefault="002C3C51">
      <w:pPr>
        <w:pStyle w:val="Heading2"/>
      </w:pPr>
      <w:r>
        <w:t>Benchmark Against Standards</w:t>
      </w:r>
    </w:p>
    <w:p w14:paraId="0564E476" w14:textId="77777777" w:rsidR="004F1012" w:rsidRDefault="002C3C51">
      <w:pPr>
        <w:spacing w:after="200"/>
      </w:pPr>
      <w:r>
        <w:t xml:space="preserve">Use </w:t>
      </w:r>
      <w:proofErr w:type="spellStart"/>
      <w:r>
        <w:t>WorldCC</w:t>
      </w:r>
      <w:proofErr w:type="spellEnd"/>
      <w:r>
        <w:t xml:space="preserve"> and </w:t>
      </w:r>
      <w:proofErr w:type="spellStart"/>
      <w:r>
        <w:t>ContractStandards</w:t>
      </w:r>
      <w:proofErr w:type="spellEnd"/>
      <w:r>
        <w:t xml:space="preserve"> scores as negotiation metrics. Demand terms that achieve at least 75% compliance </w:t>
      </w:r>
      <w:proofErr w:type="gramStart"/>
      <w:r>
        <w:t>on</w:t>
      </w:r>
      <w:proofErr w:type="gramEnd"/>
      <w:r>
        <w:t xml:space="preserve"> both frameworks—the level associated with market-standard costs.</w:t>
      </w:r>
    </w:p>
    <w:p w14:paraId="0A9D3094" w14:textId="77777777" w:rsidR="004F1012" w:rsidRDefault="002C3C51">
      <w:pPr>
        <w:pStyle w:val="Heading2"/>
      </w:pPr>
      <w:r>
        <w:t>Define Critical Terms</w:t>
      </w:r>
    </w:p>
    <w:p w14:paraId="4B5D4999" w14:textId="77777777" w:rsidR="004F1012" w:rsidRDefault="002C3C51">
      <w:pPr>
        <w:spacing w:after="200"/>
      </w:pPr>
      <w:r>
        <w:t>Every undefined term is a future ambiguity resolution cost. Invest negotiation time in definitions; it pays returns throughout the contract lifecycle. Target zero undefined uses of "reasonable," "material," "substantial," and "prompt."</w:t>
      </w:r>
    </w:p>
    <w:p w14:paraId="54DD5663" w14:textId="77777777" w:rsidR="004F1012" w:rsidRDefault="002C3C51">
      <w:pPr>
        <w:pStyle w:val="Heading2"/>
      </w:pPr>
      <w:r>
        <w:t>Verify Structural Integrity</w:t>
      </w:r>
    </w:p>
    <w:p w14:paraId="4A47EBB5" w14:textId="77777777" w:rsidR="004F1012" w:rsidRDefault="002C3C51">
      <w:pPr>
        <w:spacing w:after="200"/>
      </w:pPr>
      <w:r>
        <w:t xml:space="preserve">Before signing, confirm that all cross-references point to existing sections, all defined terms are </w:t>
      </w:r>
      <w:proofErr w:type="gramStart"/>
      <w:r>
        <w:t>actually defined</w:t>
      </w:r>
      <w:proofErr w:type="gramEnd"/>
      <w:r>
        <w:t>, and all incorporated documents are identified and accessible. Given that 97% of merger agreements contain cross-reference errors, this verification step is essential risk management.</w:t>
      </w:r>
    </w:p>
    <w:p w14:paraId="442A4D21" w14:textId="77777777" w:rsidR="004F1012" w:rsidRDefault="002C3C51">
      <w:r>
        <w:br w:type="page"/>
      </w:r>
    </w:p>
    <w:p w14:paraId="25DDC4AE" w14:textId="77777777" w:rsidR="004F1012" w:rsidRDefault="002C3C51">
      <w:pPr>
        <w:pStyle w:val="Heading1"/>
      </w:pPr>
      <w:r>
        <w:lastRenderedPageBreak/>
        <w:t>Key Takeaways</w:t>
      </w:r>
    </w:p>
    <w:p w14:paraId="47CF0AF2" w14:textId="77777777" w:rsidR="004F1012" w:rsidRDefault="002C3C51">
      <w:pPr>
        <w:pStyle w:val="ListParagraph"/>
        <w:numPr>
          <w:ilvl w:val="0"/>
          <w:numId w:val="5"/>
        </w:numPr>
        <w:spacing w:after="150"/>
      </w:pPr>
      <w:r>
        <w:rPr>
          <w:b/>
          <w:bCs/>
        </w:rPr>
        <w:t xml:space="preserve">Length is not </w:t>
      </w:r>
      <w:proofErr w:type="gramStart"/>
      <w:r>
        <w:rPr>
          <w:b/>
          <w:bCs/>
        </w:rPr>
        <w:t>complexity</w:t>
      </w:r>
      <w:proofErr w:type="gramEnd"/>
      <w:r>
        <w:rPr>
          <w:b/>
          <w:bCs/>
        </w:rPr>
        <w:t xml:space="preserve">. </w:t>
      </w:r>
      <w:r>
        <w:t>A 20-page plain-language agreement costs 4.7× less than a 17-page complex one. Never trade complexity for brevity.</w:t>
      </w:r>
    </w:p>
    <w:p w14:paraId="6CE3C78B" w14:textId="77777777" w:rsidR="004F1012" w:rsidRDefault="002C3C51">
      <w:pPr>
        <w:pStyle w:val="ListParagraph"/>
        <w:numPr>
          <w:ilvl w:val="0"/>
          <w:numId w:val="5"/>
        </w:numPr>
        <w:spacing w:after="150"/>
      </w:pPr>
      <w:r>
        <w:rPr>
          <w:b/>
          <w:bCs/>
        </w:rPr>
        <w:t xml:space="preserve">Grade 8 is the optimal baseline. </w:t>
      </w:r>
      <w:r>
        <w:t>Plain language isn't just nice to have—it's the foundation for minimizing administrative costs. Target Grade 12 maximum.</w:t>
      </w:r>
    </w:p>
    <w:p w14:paraId="796B1355" w14:textId="77777777" w:rsidR="004F1012" w:rsidRDefault="002C3C51">
      <w:pPr>
        <w:pStyle w:val="ListParagraph"/>
        <w:numPr>
          <w:ilvl w:val="0"/>
          <w:numId w:val="5"/>
        </w:numPr>
        <w:spacing w:after="150"/>
      </w:pPr>
      <w:r>
        <w:rPr>
          <w:b/>
          <w:bCs/>
        </w:rPr>
        <w:t xml:space="preserve">Complexity compounds exponentially. </w:t>
      </w:r>
      <w:r>
        <w:t xml:space="preserve">A Grade 18 document costs 50× more to review than a Grade 8 document of similar length due to compounding effects across reading speed, review cycles, reviewers, and </w:t>
      </w:r>
      <w:proofErr w:type="spellStart"/>
      <w:r>
        <w:t>payscale</w:t>
      </w:r>
      <w:proofErr w:type="spellEnd"/>
      <w:r>
        <w:t>.</w:t>
      </w:r>
    </w:p>
    <w:p w14:paraId="1BD19D31" w14:textId="77777777" w:rsidR="004F1012" w:rsidRDefault="002C3C51">
      <w:pPr>
        <w:pStyle w:val="ListParagraph"/>
        <w:numPr>
          <w:ilvl w:val="0"/>
          <w:numId w:val="5"/>
        </w:numPr>
        <w:spacing w:after="150"/>
      </w:pPr>
      <w:r>
        <w:rPr>
          <w:b/>
          <w:bCs/>
        </w:rPr>
        <w:t xml:space="preserve">97% of agreements contain structural errors. </w:t>
      </w:r>
      <w:r>
        <w:t>Cross-reference validation is essential risk management, not optional polish.</w:t>
      </w:r>
    </w:p>
    <w:p w14:paraId="53881746" w14:textId="77777777" w:rsidR="004F1012" w:rsidRDefault="002C3C51">
      <w:pPr>
        <w:pStyle w:val="ListParagraph"/>
        <w:numPr>
          <w:ilvl w:val="0"/>
          <w:numId w:val="5"/>
        </w:numPr>
        <w:spacing w:after="150"/>
      </w:pPr>
      <w:r>
        <w:rPr>
          <w:b/>
          <w:bCs/>
        </w:rPr>
        <w:t xml:space="preserve">Pillars interact but are not independent. </w:t>
      </w:r>
      <w:r>
        <w:t>The hybrid correlation model (ρ = 0.5) best captures how language, structure, and standards issues tend to co-occur, reducing combined multipliers by approximately 9%.</w:t>
      </w:r>
    </w:p>
    <w:p w14:paraId="26F1B44B" w14:textId="77777777" w:rsidR="004F1012" w:rsidRDefault="002C3C51">
      <w:pPr>
        <w:pStyle w:val="ListParagraph"/>
        <w:numPr>
          <w:ilvl w:val="0"/>
          <w:numId w:val="5"/>
        </w:numPr>
        <w:spacing w:after="150"/>
      </w:pPr>
      <w:r>
        <w:rPr>
          <w:b/>
          <w:bCs/>
        </w:rPr>
        <w:t xml:space="preserve">Configuration enables calibration. </w:t>
      </w:r>
      <w:r>
        <w:t>Six configuration categories—Activity Hours, Risk Tolerance, Complexity Sensitivity, Pillar Correlation, Own Paper Advantage, and Reading Cost Model—allow precise calibration to organizational context.</w:t>
      </w:r>
    </w:p>
    <w:p w14:paraId="219E6F40" w14:textId="77777777" w:rsidR="004F1012" w:rsidRDefault="002C3C51">
      <w:pPr>
        <w:pStyle w:val="ListParagraph"/>
        <w:numPr>
          <w:ilvl w:val="0"/>
          <w:numId w:val="5"/>
        </w:numPr>
        <w:spacing w:after="300"/>
      </w:pPr>
      <w:r>
        <w:rPr>
          <w:b/>
          <w:bCs/>
        </w:rPr>
        <w:t xml:space="preserve">Every $1 in simplification returns $8-16. </w:t>
      </w:r>
      <w:r>
        <w:t>The ROI of complexity reduction exceeds almost any other negotiation investment.</w:t>
      </w:r>
    </w:p>
    <w:p w14:paraId="561EA119" w14:textId="77777777" w:rsidR="004F1012" w:rsidRDefault="002C3C51" w:rsidP="0090350F">
      <w:pPr>
        <w:spacing w:before="600"/>
        <w:jc w:val="center"/>
      </w:pPr>
      <w:proofErr w:type="gramStart"/>
      <w:r>
        <w:rPr>
          <w:i/>
          <w:iCs/>
          <w:color w:val="666666"/>
          <w:sz w:val="20"/>
          <w:szCs w:val="20"/>
        </w:rPr>
        <w:t>— End</w:t>
      </w:r>
      <w:proofErr w:type="gramEnd"/>
      <w:r>
        <w:rPr>
          <w:i/>
          <w:iCs/>
          <w:color w:val="666666"/>
          <w:sz w:val="20"/>
          <w:szCs w:val="20"/>
        </w:rPr>
        <w:t xml:space="preserve"> of Chapter —</w:t>
      </w:r>
    </w:p>
    <w:sectPr w:rsidR="004F1012">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F6D7" w14:textId="77777777" w:rsidR="00D34142" w:rsidRDefault="00D34142">
      <w:r>
        <w:separator/>
      </w:r>
    </w:p>
  </w:endnote>
  <w:endnote w:type="continuationSeparator" w:id="0">
    <w:p w14:paraId="0F723B03" w14:textId="77777777" w:rsidR="00D34142" w:rsidRDefault="00D34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C138" w14:textId="77777777" w:rsidR="004F1012" w:rsidRDefault="002C3C51">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44D7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52FE" w14:textId="77777777" w:rsidR="00D34142" w:rsidRDefault="00D34142">
      <w:r>
        <w:separator/>
      </w:r>
    </w:p>
  </w:footnote>
  <w:footnote w:type="continuationSeparator" w:id="0">
    <w:p w14:paraId="6F5484E5" w14:textId="77777777" w:rsidR="00D34142" w:rsidRDefault="00D34142">
      <w:r>
        <w:continuationSeparator/>
      </w:r>
    </w:p>
  </w:footnote>
  <w:footnote w:id="1">
    <w:p w14:paraId="76469C63" w14:textId="283380B1" w:rsidR="008C6BFC" w:rsidRDefault="002C3C51" w:rsidP="009C60CC">
      <w:pPr>
        <w:pStyle w:val="Footnote"/>
      </w:pPr>
      <w:r>
        <w:rPr>
          <w:rStyle w:val="FootnoteReference"/>
        </w:rPr>
        <w:footnoteRef/>
      </w:r>
      <w:r>
        <w:t xml:space="preserve"> WorldCC and Deloitte, 'The ROI of Contracting Excellence' (2023). Available at: https://www.worldcc.com/Resources/Reports</w:t>
      </w:r>
      <w:r w:rsidR="009C60CC">
        <w:t>.</w:t>
      </w:r>
    </w:p>
  </w:footnote>
  <w:footnote w:id="2">
    <w:p w14:paraId="0DEA8BC3" w14:textId="77777777" w:rsidR="008C6BFC" w:rsidRDefault="002C3C51" w:rsidP="009C60CC">
      <w:pPr>
        <w:pStyle w:val="Footnote"/>
      </w:pPr>
      <w:r w:rsidRPr="009C60CC">
        <w:footnoteRef/>
      </w:r>
      <w:r>
        <w:t xml:space="preserve"> Ronald H. Coase, 'The Nature of the Firm,' Economica, Vol. 4, No. 16 (1937), pp. 386-405; Oliver E. Williamson, 'Transaction-Cost Economics: The Governance of Contractual Relations,' Journal of Law and Economics, Vol. 22, No. 2 (1979), pp. 233-261. Coase received the Nobel Prize in Economics in 1991; Williamson in 2009.</w:t>
      </w:r>
    </w:p>
  </w:footnote>
  <w:footnote w:id="3">
    <w:p w14:paraId="7A006CD0" w14:textId="77777777" w:rsidR="008C6BFC" w:rsidRDefault="002C3C51" w:rsidP="009C60CC">
      <w:pPr>
        <w:pStyle w:val="Footnote"/>
      </w:pPr>
      <w:r>
        <w:rPr>
          <w:rStyle w:val="FootnoteReference"/>
        </w:rPr>
        <w:footnoteRef/>
      </w:r>
      <w:r>
        <w:t xml:space="preserve"> Paula Doyle and Bill Henderson, 'The Cost of Contract Complexity,' Legal Evolution, Post 228 (March 2021). Available at: https://www.legalevolution.org/2021/03/the-cost-of-contract-complexity-228/</w:t>
      </w:r>
    </w:p>
  </w:footnote>
  <w:footnote w:id="4">
    <w:p w14:paraId="7D5B5182" w14:textId="77777777" w:rsidR="008C6BFC" w:rsidRDefault="002C3C51" w:rsidP="009C60CC">
      <w:pPr>
        <w:pStyle w:val="Footnote"/>
      </w:pPr>
      <w:r>
        <w:rPr>
          <w:rStyle w:val="FootnoteReference"/>
        </w:rPr>
        <w:footnoteRef/>
      </w:r>
      <w:r>
        <w:t xml:space="preserve"> J. Peter Kincaid et al., 'Derivation of New Readability Formulas for Navy Enlisted Personnel,' Research Branch Report 8-75, Naval Technical Training Command (1975). The formula became a Military Standard in 1978.</w:t>
      </w:r>
    </w:p>
  </w:footnote>
  <w:footnote w:id="5">
    <w:p w14:paraId="19601CA4" w14:textId="0A82F2DC" w:rsidR="009E1104" w:rsidRDefault="009E1104" w:rsidP="009C60CC">
      <w:pPr>
        <w:pStyle w:val="Footnote"/>
      </w:pPr>
      <w:r>
        <w:rPr>
          <w:rStyle w:val="FootnoteReference"/>
        </w:rPr>
        <w:footnoteRef/>
      </w:r>
      <w:r>
        <w:t xml:space="preserve"> </w:t>
      </w:r>
      <w:r w:rsidR="003F19F4" w:rsidRPr="008A6160">
        <w:rPr>
          <w:color w:val="EE0000"/>
        </w:rPr>
        <w:t>Add example</w:t>
      </w:r>
    </w:p>
  </w:footnote>
  <w:footnote w:id="6">
    <w:p w14:paraId="3352E270" w14:textId="77777777" w:rsidR="008C6BFC" w:rsidRDefault="002C3C51">
      <w:pPr>
        <w:pStyle w:val="FootnoteText"/>
      </w:pPr>
      <w:r>
        <w:rPr>
          <w:rStyle w:val="FootnoteReference"/>
        </w:rPr>
        <w:footnoteRef/>
      </w:r>
      <w:r>
        <w:t xml:space="preserve"> </w:t>
      </w:r>
      <w:proofErr w:type="spellStart"/>
      <w:r>
        <w:t>DealIQ</w:t>
      </w:r>
      <w:proofErr w:type="spellEnd"/>
      <w:r>
        <w:t xml:space="preserve"> analysis of SEC EDGAR filings; see generally ContractStandards.org for methodology on structural complexity measurement.</w:t>
      </w:r>
    </w:p>
  </w:footnote>
  <w:footnote w:id="7">
    <w:p w14:paraId="78F251CE" w14:textId="72E8D5C3" w:rsidR="00513CD5" w:rsidRDefault="00513CD5" w:rsidP="009C60CC">
      <w:pPr>
        <w:pStyle w:val="Footnote"/>
      </w:pPr>
      <w:r>
        <w:rPr>
          <w:rStyle w:val="FootnoteReference"/>
        </w:rPr>
        <w:footnoteRef/>
      </w:r>
      <w:r>
        <w:t xml:space="preserve"> </w:t>
      </w:r>
      <w:r w:rsidR="007610AA">
        <w:t xml:space="preserve">Research by </w:t>
      </w:r>
      <w:proofErr w:type="spellStart"/>
      <w:r w:rsidR="007610AA">
        <w:t>kReveal</w:t>
      </w:r>
      <w:proofErr w:type="spellEnd"/>
      <w:r w:rsidR="007610AA">
        <w:t xml:space="preserve"> LLC.</w:t>
      </w:r>
    </w:p>
  </w:footnote>
  <w:footnote w:id="8">
    <w:p w14:paraId="55DCC050" w14:textId="021A92D2" w:rsidR="00373812" w:rsidRDefault="00373812" w:rsidP="009C60CC">
      <w:pPr>
        <w:pStyle w:val="Footnote"/>
      </w:pPr>
      <w:r>
        <w:rPr>
          <w:rStyle w:val="FootnoteReference"/>
        </w:rPr>
        <w:footnoteRef/>
      </w:r>
      <w:r>
        <w:t xml:space="preserve"> </w:t>
      </w:r>
      <w:r w:rsidR="00F068FA" w:rsidRPr="00F068FA">
        <w:rPr>
          <w:color w:val="EE0000"/>
        </w:rPr>
        <w:t>Add reference</w:t>
      </w:r>
    </w:p>
  </w:footnote>
  <w:footnote w:id="9">
    <w:p w14:paraId="2E1A1D99" w14:textId="610FAD29" w:rsidR="00315B40" w:rsidRDefault="00315B40" w:rsidP="009C60CC">
      <w:pPr>
        <w:pStyle w:val="Footnote"/>
      </w:pPr>
      <w:r>
        <w:rPr>
          <w:rStyle w:val="FootnoteReference"/>
        </w:rPr>
        <w:footnoteRef/>
      </w:r>
      <w:r>
        <w:t xml:space="preserve"> </w:t>
      </w:r>
      <w:r w:rsidR="001A7F9C">
        <w:t xml:space="preserve">Id, Research by </w:t>
      </w:r>
      <w:proofErr w:type="spellStart"/>
      <w:r w:rsidR="001A7F9C">
        <w:t>kReveal</w:t>
      </w:r>
      <w:proofErr w:type="spellEnd"/>
      <w:r w:rsidR="001A7F9C">
        <w:t xml:space="preserve"> LLC.</w:t>
      </w:r>
    </w:p>
  </w:footnote>
  <w:footnote w:id="10">
    <w:p w14:paraId="5F5D04D9" w14:textId="17BAA0D2" w:rsidR="00E56F0E" w:rsidRDefault="00E56F0E">
      <w:pPr>
        <w:pStyle w:val="FootnoteText"/>
      </w:pPr>
      <w:r>
        <w:rPr>
          <w:rStyle w:val="FootnoteReference"/>
        </w:rPr>
        <w:footnoteRef/>
      </w:r>
      <w:r>
        <w:t xml:space="preserve"> </w:t>
      </w:r>
      <w:r w:rsidRPr="00E56F0E">
        <w:rPr>
          <w:color w:val="EE0000"/>
        </w:rPr>
        <w:t>Add references.</w:t>
      </w:r>
    </w:p>
  </w:footnote>
  <w:footnote w:id="11">
    <w:p w14:paraId="4B4CC00E" w14:textId="0E447E21" w:rsidR="00B5408C" w:rsidRDefault="00B5408C">
      <w:pPr>
        <w:pStyle w:val="FootnoteText"/>
      </w:pPr>
      <w:r>
        <w:rPr>
          <w:rStyle w:val="FootnoteReference"/>
        </w:rPr>
        <w:footnoteRef/>
      </w:r>
      <w:r>
        <w:t xml:space="preserve"> </w:t>
      </w:r>
      <w:r w:rsidR="0019738B" w:rsidRPr="0019738B">
        <w:rPr>
          <w:color w:val="EE0000"/>
        </w:rPr>
        <w:t>Add PSPC case study reference.</w:t>
      </w:r>
    </w:p>
  </w:footnote>
  <w:footnote w:id="12">
    <w:p w14:paraId="11D20A33" w14:textId="77777777" w:rsidR="00C6787B" w:rsidRDefault="00C6787B" w:rsidP="009C60CC">
      <w:pPr>
        <w:pStyle w:val="Footnote"/>
      </w:pPr>
      <w:r>
        <w:rPr>
          <w:rStyle w:val="FootnoteReference"/>
        </w:rPr>
        <w:footnoteRef/>
      </w:r>
      <w:r>
        <w:t xml:space="preserve"> Labyrinth, Inc. v. Urich, C.A. No. 2022-0868-LWW (Del. Ch. Mar. 31, 2023).</w:t>
      </w:r>
    </w:p>
  </w:footnote>
  <w:footnote w:id="13">
    <w:p w14:paraId="719A09DB" w14:textId="77777777" w:rsidR="008C6BFC" w:rsidRDefault="002C3C51" w:rsidP="009C60CC">
      <w:pPr>
        <w:pStyle w:val="Footnote"/>
      </w:pPr>
      <w:r>
        <w:rPr>
          <w:rStyle w:val="FootnoteReference"/>
        </w:rPr>
        <w:footnoteRef/>
      </w:r>
      <w:r>
        <w:t xml:space="preserve"> Charles R. Tips Family Trust v. PB Commercial LLC, 459 S.W.3d 147 (Tex. App.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609E" w14:textId="77777777" w:rsidR="004F1012" w:rsidRDefault="002C3C51">
    <w:pPr>
      <w:jc w:val="right"/>
    </w:pPr>
    <w:r>
      <w:rPr>
        <w:i/>
        <w:iCs/>
        <w:color w:val="666666"/>
        <w:sz w:val="20"/>
        <w:szCs w:val="20"/>
      </w:rPr>
      <w:t>Part II: The Economic Architecture of Agreements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1C85"/>
    <w:multiLevelType w:val="hybridMultilevel"/>
    <w:tmpl w:val="BEEE5F3C"/>
    <w:lvl w:ilvl="0" w:tplc="EE420E2E">
      <w:start w:val="1"/>
      <w:numFmt w:val="decimal"/>
      <w:lvlText w:val="%1."/>
      <w:lvlJc w:val="left"/>
      <w:pPr>
        <w:ind w:left="720" w:hanging="360"/>
      </w:pPr>
    </w:lvl>
    <w:lvl w:ilvl="1" w:tplc="7D640300">
      <w:numFmt w:val="decimal"/>
      <w:lvlText w:val=""/>
      <w:lvlJc w:val="left"/>
    </w:lvl>
    <w:lvl w:ilvl="2" w:tplc="662E47CA">
      <w:numFmt w:val="decimal"/>
      <w:lvlText w:val=""/>
      <w:lvlJc w:val="left"/>
    </w:lvl>
    <w:lvl w:ilvl="3" w:tplc="6A9EAA6C">
      <w:numFmt w:val="decimal"/>
      <w:lvlText w:val=""/>
      <w:lvlJc w:val="left"/>
    </w:lvl>
    <w:lvl w:ilvl="4" w:tplc="9278817A">
      <w:numFmt w:val="decimal"/>
      <w:lvlText w:val=""/>
      <w:lvlJc w:val="left"/>
    </w:lvl>
    <w:lvl w:ilvl="5" w:tplc="9768E41E">
      <w:numFmt w:val="decimal"/>
      <w:lvlText w:val=""/>
      <w:lvlJc w:val="left"/>
    </w:lvl>
    <w:lvl w:ilvl="6" w:tplc="EC344F20">
      <w:numFmt w:val="decimal"/>
      <w:lvlText w:val=""/>
      <w:lvlJc w:val="left"/>
    </w:lvl>
    <w:lvl w:ilvl="7" w:tplc="E59C2948">
      <w:numFmt w:val="decimal"/>
      <w:lvlText w:val=""/>
      <w:lvlJc w:val="left"/>
    </w:lvl>
    <w:lvl w:ilvl="8" w:tplc="27BE07CA">
      <w:numFmt w:val="decimal"/>
      <w:lvlText w:val=""/>
      <w:lvlJc w:val="left"/>
    </w:lvl>
  </w:abstractNum>
  <w:abstractNum w:abstractNumId="1" w15:restartNumberingAfterBreak="0">
    <w:nsid w:val="2CEC04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547444"/>
    <w:multiLevelType w:val="hybridMultilevel"/>
    <w:tmpl w:val="81DEA20A"/>
    <w:lvl w:ilvl="0" w:tplc="FA7041CA">
      <w:start w:val="1"/>
      <w:numFmt w:val="bullet"/>
      <w:lvlText w:val="●"/>
      <w:lvlJc w:val="left"/>
      <w:pPr>
        <w:ind w:left="720" w:hanging="360"/>
      </w:pPr>
    </w:lvl>
    <w:lvl w:ilvl="1" w:tplc="55FE6EF6">
      <w:start w:val="1"/>
      <w:numFmt w:val="bullet"/>
      <w:lvlText w:val="○"/>
      <w:lvlJc w:val="left"/>
      <w:pPr>
        <w:ind w:left="1440" w:hanging="360"/>
      </w:pPr>
    </w:lvl>
    <w:lvl w:ilvl="2" w:tplc="68B2E82C">
      <w:start w:val="1"/>
      <w:numFmt w:val="bullet"/>
      <w:lvlText w:val="■"/>
      <w:lvlJc w:val="left"/>
      <w:pPr>
        <w:ind w:left="2160" w:hanging="360"/>
      </w:pPr>
    </w:lvl>
    <w:lvl w:ilvl="3" w:tplc="A20C50C4">
      <w:start w:val="1"/>
      <w:numFmt w:val="bullet"/>
      <w:lvlText w:val="●"/>
      <w:lvlJc w:val="left"/>
      <w:pPr>
        <w:ind w:left="2880" w:hanging="360"/>
      </w:pPr>
    </w:lvl>
    <w:lvl w:ilvl="4" w:tplc="08528DB8">
      <w:start w:val="1"/>
      <w:numFmt w:val="bullet"/>
      <w:lvlText w:val="○"/>
      <w:lvlJc w:val="left"/>
      <w:pPr>
        <w:ind w:left="3600" w:hanging="360"/>
      </w:pPr>
    </w:lvl>
    <w:lvl w:ilvl="5" w:tplc="5808B9C2">
      <w:start w:val="1"/>
      <w:numFmt w:val="bullet"/>
      <w:lvlText w:val="■"/>
      <w:lvlJc w:val="left"/>
      <w:pPr>
        <w:ind w:left="4320" w:hanging="360"/>
      </w:pPr>
    </w:lvl>
    <w:lvl w:ilvl="6" w:tplc="DD62AD58">
      <w:start w:val="1"/>
      <w:numFmt w:val="bullet"/>
      <w:lvlText w:val="●"/>
      <w:lvlJc w:val="left"/>
      <w:pPr>
        <w:ind w:left="5040" w:hanging="360"/>
      </w:pPr>
    </w:lvl>
    <w:lvl w:ilvl="7" w:tplc="8C6EC6BC">
      <w:start w:val="1"/>
      <w:numFmt w:val="bullet"/>
      <w:lvlText w:val="●"/>
      <w:lvlJc w:val="left"/>
      <w:pPr>
        <w:ind w:left="5760" w:hanging="360"/>
      </w:pPr>
    </w:lvl>
    <w:lvl w:ilvl="8" w:tplc="B2C4AB16">
      <w:start w:val="1"/>
      <w:numFmt w:val="bullet"/>
      <w:lvlText w:val="●"/>
      <w:lvlJc w:val="left"/>
      <w:pPr>
        <w:ind w:left="6480" w:hanging="360"/>
      </w:pPr>
    </w:lvl>
  </w:abstractNum>
  <w:abstractNum w:abstractNumId="3" w15:restartNumberingAfterBreak="0">
    <w:nsid w:val="635C7B16"/>
    <w:multiLevelType w:val="hybridMultilevel"/>
    <w:tmpl w:val="AED252FE"/>
    <w:lvl w:ilvl="0" w:tplc="6BFC0978">
      <w:start w:val="1"/>
      <w:numFmt w:val="decimal"/>
      <w:lvlText w:val="%1."/>
      <w:lvlJc w:val="left"/>
      <w:pPr>
        <w:ind w:left="720" w:hanging="360"/>
      </w:pPr>
    </w:lvl>
    <w:lvl w:ilvl="1" w:tplc="7FC8BE34">
      <w:numFmt w:val="decimal"/>
      <w:lvlText w:val=""/>
      <w:lvlJc w:val="left"/>
    </w:lvl>
    <w:lvl w:ilvl="2" w:tplc="6442926C">
      <w:numFmt w:val="decimal"/>
      <w:lvlText w:val=""/>
      <w:lvlJc w:val="left"/>
    </w:lvl>
    <w:lvl w:ilvl="3" w:tplc="BB24C9A4">
      <w:numFmt w:val="decimal"/>
      <w:lvlText w:val=""/>
      <w:lvlJc w:val="left"/>
    </w:lvl>
    <w:lvl w:ilvl="4" w:tplc="5338DDEE">
      <w:numFmt w:val="decimal"/>
      <w:lvlText w:val=""/>
      <w:lvlJc w:val="left"/>
    </w:lvl>
    <w:lvl w:ilvl="5" w:tplc="7CEA7A24">
      <w:numFmt w:val="decimal"/>
      <w:lvlText w:val=""/>
      <w:lvlJc w:val="left"/>
    </w:lvl>
    <w:lvl w:ilvl="6" w:tplc="5DA02068">
      <w:numFmt w:val="decimal"/>
      <w:lvlText w:val=""/>
      <w:lvlJc w:val="left"/>
    </w:lvl>
    <w:lvl w:ilvl="7" w:tplc="9A5C3A76">
      <w:numFmt w:val="decimal"/>
      <w:lvlText w:val=""/>
      <w:lvlJc w:val="left"/>
    </w:lvl>
    <w:lvl w:ilvl="8" w:tplc="3C145ACE">
      <w:numFmt w:val="decimal"/>
      <w:lvlText w:val=""/>
      <w:lvlJc w:val="left"/>
    </w:lvl>
  </w:abstractNum>
  <w:abstractNum w:abstractNumId="4" w15:restartNumberingAfterBreak="0">
    <w:nsid w:val="6CF07FFA"/>
    <w:multiLevelType w:val="hybridMultilevel"/>
    <w:tmpl w:val="BCC442EA"/>
    <w:lvl w:ilvl="0" w:tplc="7BCEFA2A">
      <w:start w:val="1"/>
      <w:numFmt w:val="bullet"/>
      <w:lvlText w:val="•"/>
      <w:lvlJc w:val="left"/>
      <w:pPr>
        <w:ind w:left="720" w:hanging="360"/>
      </w:pPr>
    </w:lvl>
    <w:lvl w:ilvl="1" w:tplc="CF42BBB6">
      <w:numFmt w:val="decimal"/>
      <w:lvlText w:val=""/>
      <w:lvlJc w:val="left"/>
    </w:lvl>
    <w:lvl w:ilvl="2" w:tplc="B3463AD0">
      <w:numFmt w:val="decimal"/>
      <w:lvlText w:val=""/>
      <w:lvlJc w:val="left"/>
    </w:lvl>
    <w:lvl w:ilvl="3" w:tplc="C02AA4FE">
      <w:numFmt w:val="decimal"/>
      <w:lvlText w:val=""/>
      <w:lvlJc w:val="left"/>
    </w:lvl>
    <w:lvl w:ilvl="4" w:tplc="3E220E06">
      <w:numFmt w:val="decimal"/>
      <w:lvlText w:val=""/>
      <w:lvlJc w:val="left"/>
    </w:lvl>
    <w:lvl w:ilvl="5" w:tplc="68A2A732">
      <w:numFmt w:val="decimal"/>
      <w:lvlText w:val=""/>
      <w:lvlJc w:val="left"/>
    </w:lvl>
    <w:lvl w:ilvl="6" w:tplc="AE28B348">
      <w:numFmt w:val="decimal"/>
      <w:lvlText w:val=""/>
      <w:lvlJc w:val="left"/>
    </w:lvl>
    <w:lvl w:ilvl="7" w:tplc="54304010">
      <w:numFmt w:val="decimal"/>
      <w:lvlText w:val=""/>
      <w:lvlJc w:val="left"/>
    </w:lvl>
    <w:lvl w:ilvl="8" w:tplc="126C3008">
      <w:numFmt w:val="decimal"/>
      <w:lvlText w:val=""/>
      <w:lvlJc w:val="left"/>
    </w:lvl>
  </w:abstractNum>
  <w:abstractNum w:abstractNumId="5" w15:restartNumberingAfterBreak="0">
    <w:nsid w:val="6ED946B8"/>
    <w:multiLevelType w:val="hybridMultilevel"/>
    <w:tmpl w:val="A194347A"/>
    <w:lvl w:ilvl="0" w:tplc="9E360394">
      <w:start w:val="1"/>
      <w:numFmt w:val="decimal"/>
      <w:lvlText w:val="%1."/>
      <w:lvlJc w:val="left"/>
      <w:pPr>
        <w:ind w:left="720" w:hanging="360"/>
      </w:pPr>
    </w:lvl>
    <w:lvl w:ilvl="1" w:tplc="8FE6F826">
      <w:numFmt w:val="decimal"/>
      <w:lvlText w:val=""/>
      <w:lvlJc w:val="left"/>
    </w:lvl>
    <w:lvl w:ilvl="2" w:tplc="7426356E">
      <w:numFmt w:val="decimal"/>
      <w:lvlText w:val=""/>
      <w:lvlJc w:val="left"/>
    </w:lvl>
    <w:lvl w:ilvl="3" w:tplc="03F2963A">
      <w:numFmt w:val="decimal"/>
      <w:lvlText w:val=""/>
      <w:lvlJc w:val="left"/>
    </w:lvl>
    <w:lvl w:ilvl="4" w:tplc="9E4C666C">
      <w:numFmt w:val="decimal"/>
      <w:lvlText w:val=""/>
      <w:lvlJc w:val="left"/>
    </w:lvl>
    <w:lvl w:ilvl="5" w:tplc="AFE45126">
      <w:numFmt w:val="decimal"/>
      <w:lvlText w:val=""/>
      <w:lvlJc w:val="left"/>
    </w:lvl>
    <w:lvl w:ilvl="6" w:tplc="A774BA82">
      <w:numFmt w:val="decimal"/>
      <w:lvlText w:val=""/>
      <w:lvlJc w:val="left"/>
    </w:lvl>
    <w:lvl w:ilvl="7" w:tplc="BB425572">
      <w:numFmt w:val="decimal"/>
      <w:lvlText w:val=""/>
      <w:lvlJc w:val="left"/>
    </w:lvl>
    <w:lvl w:ilvl="8" w:tplc="4A7E56A4">
      <w:numFmt w:val="decimal"/>
      <w:lvlText w:val=""/>
      <w:lvlJc w:val="left"/>
    </w:lvl>
  </w:abstractNum>
  <w:abstractNum w:abstractNumId="6" w15:restartNumberingAfterBreak="0">
    <w:nsid w:val="70B3535C"/>
    <w:multiLevelType w:val="hybridMultilevel"/>
    <w:tmpl w:val="661846D2"/>
    <w:lvl w:ilvl="0" w:tplc="762025E6">
      <w:start w:val="1"/>
      <w:numFmt w:val="decimal"/>
      <w:lvlText w:val="%1."/>
      <w:lvlJc w:val="left"/>
      <w:pPr>
        <w:ind w:left="720" w:hanging="360"/>
      </w:pPr>
    </w:lvl>
    <w:lvl w:ilvl="1" w:tplc="6B8692C8">
      <w:numFmt w:val="decimal"/>
      <w:lvlText w:val=""/>
      <w:lvlJc w:val="left"/>
    </w:lvl>
    <w:lvl w:ilvl="2" w:tplc="6D248EE2">
      <w:numFmt w:val="decimal"/>
      <w:lvlText w:val=""/>
      <w:lvlJc w:val="left"/>
    </w:lvl>
    <w:lvl w:ilvl="3" w:tplc="F8BC0D5A">
      <w:numFmt w:val="decimal"/>
      <w:lvlText w:val=""/>
      <w:lvlJc w:val="left"/>
    </w:lvl>
    <w:lvl w:ilvl="4" w:tplc="99FCECCE">
      <w:numFmt w:val="decimal"/>
      <w:lvlText w:val=""/>
      <w:lvlJc w:val="left"/>
    </w:lvl>
    <w:lvl w:ilvl="5" w:tplc="637E4810">
      <w:numFmt w:val="decimal"/>
      <w:lvlText w:val=""/>
      <w:lvlJc w:val="left"/>
    </w:lvl>
    <w:lvl w:ilvl="6" w:tplc="F448F020">
      <w:numFmt w:val="decimal"/>
      <w:lvlText w:val=""/>
      <w:lvlJc w:val="left"/>
    </w:lvl>
    <w:lvl w:ilvl="7" w:tplc="AFDACB64">
      <w:numFmt w:val="decimal"/>
      <w:lvlText w:val=""/>
      <w:lvlJc w:val="left"/>
    </w:lvl>
    <w:lvl w:ilvl="8" w:tplc="4C606876">
      <w:numFmt w:val="decimal"/>
      <w:lvlText w:val=""/>
      <w:lvlJc w:val="left"/>
    </w:lvl>
  </w:abstractNum>
  <w:abstractNum w:abstractNumId="7" w15:restartNumberingAfterBreak="0">
    <w:nsid w:val="79B573F6"/>
    <w:multiLevelType w:val="hybridMultilevel"/>
    <w:tmpl w:val="D970231C"/>
    <w:lvl w:ilvl="0" w:tplc="6900A1FE">
      <w:start w:val="1"/>
      <w:numFmt w:val="decimal"/>
      <w:lvlText w:val="%1."/>
      <w:lvlJc w:val="left"/>
      <w:pPr>
        <w:ind w:left="720" w:hanging="360"/>
      </w:pPr>
    </w:lvl>
    <w:lvl w:ilvl="1" w:tplc="27206B0C">
      <w:numFmt w:val="decimal"/>
      <w:lvlText w:val=""/>
      <w:lvlJc w:val="left"/>
    </w:lvl>
    <w:lvl w:ilvl="2" w:tplc="2A8C9F62">
      <w:numFmt w:val="decimal"/>
      <w:lvlText w:val=""/>
      <w:lvlJc w:val="left"/>
    </w:lvl>
    <w:lvl w:ilvl="3" w:tplc="EFD697C0">
      <w:numFmt w:val="decimal"/>
      <w:lvlText w:val=""/>
      <w:lvlJc w:val="left"/>
    </w:lvl>
    <w:lvl w:ilvl="4" w:tplc="3F9EE68E">
      <w:numFmt w:val="decimal"/>
      <w:lvlText w:val=""/>
      <w:lvlJc w:val="left"/>
    </w:lvl>
    <w:lvl w:ilvl="5" w:tplc="955A177A">
      <w:numFmt w:val="decimal"/>
      <w:lvlText w:val=""/>
      <w:lvlJc w:val="left"/>
    </w:lvl>
    <w:lvl w:ilvl="6" w:tplc="05B405CE">
      <w:numFmt w:val="decimal"/>
      <w:lvlText w:val=""/>
      <w:lvlJc w:val="left"/>
    </w:lvl>
    <w:lvl w:ilvl="7" w:tplc="2D0A4EE8">
      <w:numFmt w:val="decimal"/>
      <w:lvlText w:val=""/>
      <w:lvlJc w:val="left"/>
    </w:lvl>
    <w:lvl w:ilvl="8" w:tplc="A4D2957C">
      <w:numFmt w:val="decimal"/>
      <w:lvlText w:val=""/>
      <w:lvlJc w:val="left"/>
    </w:lvl>
  </w:abstractNum>
  <w:abstractNum w:abstractNumId="8" w15:restartNumberingAfterBreak="0">
    <w:nsid w:val="7DFA4337"/>
    <w:multiLevelType w:val="hybridMultilevel"/>
    <w:tmpl w:val="891C8DAA"/>
    <w:lvl w:ilvl="0" w:tplc="1436B2E2">
      <w:start w:val="1"/>
      <w:numFmt w:val="decimal"/>
      <w:lvlText w:val="%1."/>
      <w:lvlJc w:val="left"/>
      <w:pPr>
        <w:ind w:left="720" w:hanging="360"/>
      </w:pPr>
    </w:lvl>
    <w:lvl w:ilvl="1" w:tplc="368C1658">
      <w:numFmt w:val="decimal"/>
      <w:lvlText w:val=""/>
      <w:lvlJc w:val="left"/>
    </w:lvl>
    <w:lvl w:ilvl="2" w:tplc="9F88CC1E">
      <w:numFmt w:val="decimal"/>
      <w:lvlText w:val=""/>
      <w:lvlJc w:val="left"/>
    </w:lvl>
    <w:lvl w:ilvl="3" w:tplc="316A03EA">
      <w:numFmt w:val="decimal"/>
      <w:lvlText w:val=""/>
      <w:lvlJc w:val="left"/>
    </w:lvl>
    <w:lvl w:ilvl="4" w:tplc="A4E8DBD0">
      <w:numFmt w:val="decimal"/>
      <w:lvlText w:val=""/>
      <w:lvlJc w:val="left"/>
    </w:lvl>
    <w:lvl w:ilvl="5" w:tplc="48FECE5A">
      <w:numFmt w:val="decimal"/>
      <w:lvlText w:val=""/>
      <w:lvlJc w:val="left"/>
    </w:lvl>
    <w:lvl w:ilvl="6" w:tplc="D3B0B5E8">
      <w:numFmt w:val="decimal"/>
      <w:lvlText w:val=""/>
      <w:lvlJc w:val="left"/>
    </w:lvl>
    <w:lvl w:ilvl="7" w:tplc="38407FE6">
      <w:numFmt w:val="decimal"/>
      <w:lvlText w:val=""/>
      <w:lvlJc w:val="left"/>
    </w:lvl>
    <w:lvl w:ilvl="8" w:tplc="133A0DD0">
      <w:numFmt w:val="decimal"/>
      <w:lvlText w:val=""/>
      <w:lvlJc w:val="left"/>
    </w:lvl>
  </w:abstractNum>
  <w:num w:numId="1" w16cid:durableId="920453789">
    <w:abstractNumId w:val="2"/>
    <w:lvlOverride w:ilvl="0">
      <w:startOverride w:val="1"/>
    </w:lvlOverride>
  </w:num>
  <w:num w:numId="2" w16cid:durableId="2028869343">
    <w:abstractNumId w:val="4"/>
    <w:lvlOverride w:ilvl="0">
      <w:startOverride w:val="1"/>
    </w:lvlOverride>
  </w:num>
  <w:num w:numId="3" w16cid:durableId="155386766">
    <w:abstractNumId w:val="0"/>
    <w:lvlOverride w:ilvl="0">
      <w:startOverride w:val="1"/>
    </w:lvlOverride>
  </w:num>
  <w:num w:numId="4" w16cid:durableId="219558446">
    <w:abstractNumId w:val="7"/>
    <w:lvlOverride w:ilvl="0">
      <w:startOverride w:val="1"/>
    </w:lvlOverride>
  </w:num>
  <w:num w:numId="5" w16cid:durableId="1029527143">
    <w:abstractNumId w:val="6"/>
    <w:lvlOverride w:ilvl="0">
      <w:startOverride w:val="1"/>
    </w:lvlOverride>
  </w:num>
  <w:num w:numId="6" w16cid:durableId="1469207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012"/>
    <w:rsid w:val="00084285"/>
    <w:rsid w:val="00145061"/>
    <w:rsid w:val="0019738B"/>
    <w:rsid w:val="001A7F9C"/>
    <w:rsid w:val="002128AA"/>
    <w:rsid w:val="00261E2F"/>
    <w:rsid w:val="002A70DC"/>
    <w:rsid w:val="002C3C51"/>
    <w:rsid w:val="002E02B6"/>
    <w:rsid w:val="002E5749"/>
    <w:rsid w:val="00315B40"/>
    <w:rsid w:val="00362CCC"/>
    <w:rsid w:val="00373812"/>
    <w:rsid w:val="003F19F4"/>
    <w:rsid w:val="003F5869"/>
    <w:rsid w:val="004074C9"/>
    <w:rsid w:val="00415484"/>
    <w:rsid w:val="00490683"/>
    <w:rsid w:val="004F1012"/>
    <w:rsid w:val="00513CD5"/>
    <w:rsid w:val="00586181"/>
    <w:rsid w:val="006608E2"/>
    <w:rsid w:val="0073727D"/>
    <w:rsid w:val="007610AA"/>
    <w:rsid w:val="007963C5"/>
    <w:rsid w:val="008A6160"/>
    <w:rsid w:val="008C6BFC"/>
    <w:rsid w:val="0090350F"/>
    <w:rsid w:val="00916349"/>
    <w:rsid w:val="009626BA"/>
    <w:rsid w:val="009C60CC"/>
    <w:rsid w:val="009E1104"/>
    <w:rsid w:val="009E15F6"/>
    <w:rsid w:val="00A44D7D"/>
    <w:rsid w:val="00A64E69"/>
    <w:rsid w:val="00B2414F"/>
    <w:rsid w:val="00B5408C"/>
    <w:rsid w:val="00B711D6"/>
    <w:rsid w:val="00B82944"/>
    <w:rsid w:val="00BC3488"/>
    <w:rsid w:val="00C6787B"/>
    <w:rsid w:val="00C85225"/>
    <w:rsid w:val="00CA5FAF"/>
    <w:rsid w:val="00D34142"/>
    <w:rsid w:val="00D45A53"/>
    <w:rsid w:val="00DD4796"/>
    <w:rsid w:val="00DF7D6A"/>
    <w:rsid w:val="00E02FF6"/>
    <w:rsid w:val="00E56F0E"/>
    <w:rsid w:val="00E60D0E"/>
    <w:rsid w:val="00E9233E"/>
    <w:rsid w:val="00E944B8"/>
    <w:rsid w:val="00F068FA"/>
    <w:rsid w:val="00F41222"/>
    <w:rsid w:val="00F461D3"/>
    <w:rsid w:val="00F91B73"/>
    <w:rsid w:val="00FA2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B991"/>
  <w15:docId w15:val="{4A8ABEE7-5912-4CE3-A0CF-ED4E858A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683"/>
    <w:pPr>
      <w:spacing w:before="120" w:after="120" w:line="360" w:lineRule="auto"/>
    </w:pPr>
    <w:rPr>
      <w:sz w:val="22"/>
    </w:rPr>
  </w:style>
  <w:style w:type="paragraph" w:styleId="Heading1">
    <w:name w:val="heading 1"/>
    <w:uiPriority w:val="9"/>
    <w:qFormat/>
    <w:rsid w:val="00490683"/>
    <w:pPr>
      <w:spacing w:before="360" w:after="180"/>
      <w:outlineLvl w:val="0"/>
    </w:pPr>
    <w:rPr>
      <w:b/>
      <w:bCs/>
      <w:color w:val="1F4E79"/>
      <w:sz w:val="32"/>
      <w:szCs w:val="32"/>
    </w:rPr>
  </w:style>
  <w:style w:type="paragraph" w:styleId="Heading2">
    <w:name w:val="heading 2"/>
    <w:uiPriority w:val="9"/>
    <w:unhideWhenUsed/>
    <w:qFormat/>
    <w:rsid w:val="00490683"/>
    <w:pPr>
      <w:spacing w:before="280" w:after="140"/>
      <w:outlineLvl w:val="1"/>
    </w:pPr>
    <w:rPr>
      <w:b/>
      <w:bCs/>
      <w:color w:val="2E75B6"/>
      <w:sz w:val="28"/>
      <w:szCs w:val="28"/>
    </w:rPr>
  </w:style>
  <w:style w:type="paragraph" w:styleId="Heading3">
    <w:name w:val="heading 3"/>
    <w:uiPriority w:val="9"/>
    <w:unhideWhenUsed/>
    <w:qFormat/>
    <w:rsid w:val="00490683"/>
    <w:pPr>
      <w:spacing w:before="240" w:after="120"/>
      <w:outlineLvl w:val="2"/>
    </w:pPr>
    <w:rPr>
      <w:b/>
      <w:bCs/>
      <w:color w:val="404040"/>
      <w:sz w:val="26"/>
      <w:szCs w:val="26"/>
    </w:rPr>
  </w:style>
  <w:style w:type="paragraph" w:styleId="Heading4">
    <w:name w:val="heading 4"/>
    <w:uiPriority w:val="9"/>
    <w:semiHidden/>
    <w:unhideWhenUsed/>
    <w:qFormat/>
    <w:rsid w:val="00490683"/>
    <w:pPr>
      <w:outlineLvl w:val="3"/>
    </w:pPr>
    <w:rPr>
      <w:i/>
      <w:iCs/>
      <w:color w:val="2E74B5"/>
    </w:rPr>
  </w:style>
  <w:style w:type="paragraph" w:styleId="Heading5">
    <w:name w:val="heading 5"/>
    <w:uiPriority w:val="9"/>
    <w:semiHidden/>
    <w:unhideWhenUsed/>
    <w:qFormat/>
    <w:rsid w:val="00490683"/>
    <w:pPr>
      <w:outlineLvl w:val="4"/>
    </w:pPr>
    <w:rPr>
      <w:color w:val="2E74B5"/>
    </w:rPr>
  </w:style>
  <w:style w:type="paragraph" w:styleId="Heading6">
    <w:name w:val="heading 6"/>
    <w:uiPriority w:val="9"/>
    <w:semiHidden/>
    <w:unhideWhenUsed/>
    <w:qFormat/>
    <w:rsid w:val="0049068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490683"/>
    <w:pPr>
      <w:spacing w:before="240" w:after="120"/>
      <w:jc w:val="center"/>
    </w:pPr>
    <w:rPr>
      <w:b/>
      <w:bCs/>
      <w:color w:val="000000"/>
      <w:sz w:val="56"/>
      <w:szCs w:val="56"/>
    </w:rPr>
  </w:style>
  <w:style w:type="paragraph" w:customStyle="1" w:styleId="Strong1">
    <w:name w:val="Strong1"/>
    <w:qFormat/>
    <w:rsid w:val="00490683"/>
    <w:rPr>
      <w:b/>
      <w:bCs/>
    </w:rPr>
  </w:style>
  <w:style w:type="paragraph" w:styleId="ListParagraph">
    <w:name w:val="List Paragraph"/>
    <w:qFormat/>
    <w:rsid w:val="00490683"/>
  </w:style>
  <w:style w:type="character" w:styleId="Hyperlink">
    <w:name w:val="Hyperlink"/>
    <w:uiPriority w:val="99"/>
    <w:unhideWhenUsed/>
    <w:rsid w:val="00490683"/>
    <w:rPr>
      <w:color w:val="0563C1"/>
      <w:u w:val="single"/>
    </w:rPr>
  </w:style>
  <w:style w:type="character" w:styleId="FootnoteReference">
    <w:name w:val="footnote reference"/>
    <w:uiPriority w:val="99"/>
    <w:semiHidden/>
    <w:unhideWhenUsed/>
    <w:rsid w:val="00490683"/>
    <w:rPr>
      <w:vertAlign w:val="superscript"/>
    </w:rPr>
  </w:style>
  <w:style w:type="paragraph" w:styleId="FootnoteText">
    <w:name w:val="footnote text"/>
    <w:link w:val="FootnoteTextChar"/>
    <w:uiPriority w:val="99"/>
    <w:semiHidden/>
    <w:unhideWhenUsed/>
    <w:rsid w:val="00490683"/>
    <w:rPr>
      <w:sz w:val="20"/>
      <w:szCs w:val="20"/>
    </w:rPr>
  </w:style>
  <w:style w:type="character" w:customStyle="1" w:styleId="FootnoteTextChar">
    <w:name w:val="Footnote Text Char"/>
    <w:link w:val="FootnoteText"/>
    <w:uiPriority w:val="99"/>
    <w:semiHidden/>
    <w:unhideWhenUsed/>
    <w:rsid w:val="00490683"/>
    <w:rPr>
      <w:sz w:val="20"/>
      <w:szCs w:val="20"/>
    </w:rPr>
  </w:style>
  <w:style w:type="table" w:styleId="GridTable1Light">
    <w:name w:val="Grid Table 1 Light"/>
    <w:basedOn w:val="TableNormal"/>
    <w:uiPriority w:val="46"/>
    <w:rsid w:val="00FA2EA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otnote">
    <w:name w:val="Footnote"/>
    <w:basedOn w:val="FootnoteText"/>
    <w:qFormat/>
    <w:rsid w:val="009C60CC"/>
    <w:pPr>
      <w:spacing w:after="24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86EA9-F9B5-41CA-8527-36258C823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7289</Words>
  <Characters>41552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Kingsley Martin</cp:lastModifiedBy>
  <cp:revision>2</cp:revision>
  <dcterms:created xsi:type="dcterms:W3CDTF">2025-12-19T15:18:00Z</dcterms:created>
  <dcterms:modified xsi:type="dcterms:W3CDTF">2025-12-19T15:18:00Z</dcterms:modified>
</cp:coreProperties>
</file>