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84CD9" w14:textId="77777777" w:rsidR="00E35981" w:rsidRDefault="007D4632">
      <w:pPr>
        <w:spacing w:after="120"/>
        <w:jc w:val="center"/>
      </w:pPr>
      <w:r>
        <w:rPr>
          <w:b/>
          <w:sz w:val="60"/>
        </w:rPr>
        <w:t>Orbit Command Center</w:t>
      </w:r>
    </w:p>
    <w:p w14:paraId="7168E52A" w14:textId="77777777" w:rsidR="00E35981" w:rsidRDefault="007D4632">
      <w:pPr>
        <w:spacing w:after="120"/>
        <w:jc w:val="center"/>
      </w:pPr>
      <w:r>
        <w:rPr>
          <w:sz w:val="32"/>
        </w:rPr>
        <w:t>Architecture Specification — Version 3.0</w:t>
      </w:r>
    </w:p>
    <w:p w14:paraId="602C6F45" w14:textId="77777777" w:rsidR="00E35981" w:rsidRPr="002515CE" w:rsidRDefault="007D4632">
      <w:pPr>
        <w:spacing w:after="120"/>
        <w:jc w:val="center"/>
        <w:rPr>
          <w:rFonts w:asciiTheme="majorHAnsi" w:hAnsiTheme="majorHAnsi" w:cstheme="majorHAnsi"/>
          <w:sz w:val="24"/>
          <w:szCs w:val="24"/>
        </w:rPr>
      </w:pPr>
      <w:r w:rsidRPr="002515CE">
        <w:rPr>
          <w:rFonts w:asciiTheme="majorHAnsi" w:hAnsiTheme="majorHAnsi" w:cstheme="majorHAnsi"/>
          <w:i/>
          <w:sz w:val="24"/>
          <w:szCs w:val="24"/>
        </w:rPr>
        <w:t>Centralized Azure Operations, Telemetry, FinOps, and Infrastructure Management Platform</w:t>
      </w:r>
    </w:p>
    <w:p w14:paraId="23B5A36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fldChar w:fldCharType="begin"/>
      </w:r>
      <w:r w:rsidRPr="002515CE">
        <w:rPr>
          <w:rFonts w:asciiTheme="majorHAnsi" w:hAnsiTheme="majorHAnsi" w:cstheme="majorHAnsi"/>
          <w:sz w:val="24"/>
          <w:szCs w:val="24"/>
        </w:rPr>
        <w:instrText>TOC \o "1-4" \h \u</w:instrText>
      </w:r>
      <w:r w:rsidRPr="002515CE">
        <w:rPr>
          <w:rFonts w:asciiTheme="majorHAnsi" w:hAnsiTheme="majorHAnsi" w:cstheme="majorHAnsi"/>
          <w:sz w:val="24"/>
          <w:szCs w:val="24"/>
        </w:rPr>
        <w:fldChar w:fldCharType="separate"/>
      </w:r>
      <w:r w:rsidRPr="002515CE">
        <w:rPr>
          <w:rFonts w:asciiTheme="majorHAnsi" w:hAnsiTheme="majorHAnsi" w:cstheme="majorHAnsi"/>
          <w:sz w:val="24"/>
          <w:szCs w:val="24"/>
        </w:rPr>
        <w:t>Right-click and choose "Update Field" to generate the full expanded table of contents.</w:t>
      </w:r>
      <w:r w:rsidRPr="002515CE">
        <w:rPr>
          <w:rFonts w:asciiTheme="majorHAnsi" w:hAnsiTheme="majorHAnsi" w:cstheme="majorHAnsi"/>
          <w:sz w:val="24"/>
          <w:szCs w:val="24"/>
        </w:rPr>
        <w:fldChar w:fldCharType="end"/>
      </w:r>
    </w:p>
    <w:p w14:paraId="0A4976A4" w14:textId="77777777" w:rsidR="00A2388C" w:rsidRPr="002515CE" w:rsidRDefault="007D4632">
      <w:pPr>
        <w:pStyle w:val="Heading1"/>
        <w:rPr>
          <w:rFonts w:cstheme="majorHAnsi"/>
          <w:sz w:val="24"/>
          <w:szCs w:val="24"/>
        </w:rPr>
      </w:pPr>
      <w:bookmarkStart w:id="0" w:name="_Toc230176769"/>
      <w:r w:rsidRPr="002515CE">
        <w:rPr>
          <w:rFonts w:cstheme="majorHAnsi"/>
          <w:sz w:val="24"/>
          <w:szCs w:val="24"/>
        </w:rPr>
        <w:t>Table of Contents</w:t>
      </w:r>
      <w:bookmarkEnd w:id="0"/>
    </w:p>
    <w:p w14:paraId="29267294" w14:textId="7D2CF19E" w:rsidR="00940EF6" w:rsidRPr="002515CE" w:rsidRDefault="007D4632">
      <w:pPr>
        <w:pStyle w:val="TOC1"/>
        <w:tabs>
          <w:tab w:val="right" w:leader="dot" w:pos="8630"/>
        </w:tabs>
        <w:rPr>
          <w:rFonts w:asciiTheme="majorHAnsi" w:hAnsiTheme="majorHAnsi" w:cstheme="majorHAnsi"/>
          <w:noProof/>
          <w:sz w:val="24"/>
          <w:szCs w:val="24"/>
        </w:rPr>
      </w:pPr>
      <w:r w:rsidRPr="002515CE">
        <w:rPr>
          <w:rFonts w:asciiTheme="majorHAnsi" w:hAnsiTheme="majorHAnsi" w:cstheme="majorHAnsi"/>
          <w:sz w:val="24"/>
          <w:szCs w:val="24"/>
        </w:rPr>
        <w:fldChar w:fldCharType="begin"/>
      </w:r>
      <w:r w:rsidRPr="002515CE">
        <w:rPr>
          <w:rFonts w:asciiTheme="majorHAnsi" w:hAnsiTheme="majorHAnsi" w:cstheme="majorHAnsi"/>
          <w:sz w:val="24"/>
          <w:szCs w:val="24"/>
        </w:rPr>
        <w:instrText>TOC \o "1-4" \h \u</w:instrText>
      </w:r>
      <w:r w:rsidRPr="002515CE">
        <w:rPr>
          <w:rFonts w:asciiTheme="majorHAnsi" w:hAnsiTheme="majorHAnsi" w:cstheme="majorHAnsi"/>
          <w:sz w:val="24"/>
          <w:szCs w:val="24"/>
        </w:rPr>
        <w:fldChar w:fldCharType="separate"/>
      </w:r>
      <w:hyperlink w:anchor="_Toc230176769" w:history="1">
        <w:r w:rsidR="00940EF6" w:rsidRPr="002515CE">
          <w:rPr>
            <w:rStyle w:val="Hyperlink"/>
            <w:rFonts w:asciiTheme="majorHAnsi" w:hAnsiTheme="majorHAnsi" w:cstheme="majorHAnsi"/>
            <w:noProof/>
            <w:sz w:val="24"/>
            <w:szCs w:val="24"/>
          </w:rPr>
          <w:t>Table of Contents</w:t>
        </w:r>
        <w:r w:rsidR="00940EF6" w:rsidRPr="002515CE">
          <w:rPr>
            <w:rFonts w:asciiTheme="majorHAnsi" w:hAnsiTheme="majorHAnsi" w:cstheme="majorHAnsi"/>
            <w:noProof/>
            <w:sz w:val="24"/>
            <w:szCs w:val="24"/>
          </w:rPr>
          <w:tab/>
        </w:r>
        <w:r w:rsidR="00940EF6" w:rsidRPr="002515CE">
          <w:rPr>
            <w:rFonts w:asciiTheme="majorHAnsi" w:hAnsiTheme="majorHAnsi" w:cstheme="majorHAnsi"/>
            <w:noProof/>
            <w:sz w:val="24"/>
            <w:szCs w:val="24"/>
          </w:rPr>
          <w:fldChar w:fldCharType="begin"/>
        </w:r>
        <w:r w:rsidR="00940EF6" w:rsidRPr="002515CE">
          <w:rPr>
            <w:rFonts w:asciiTheme="majorHAnsi" w:hAnsiTheme="majorHAnsi" w:cstheme="majorHAnsi"/>
            <w:noProof/>
            <w:sz w:val="24"/>
            <w:szCs w:val="24"/>
          </w:rPr>
          <w:instrText xml:space="preserve"> PAGEREF _Toc230176769 \h </w:instrText>
        </w:r>
        <w:r w:rsidR="00940EF6" w:rsidRPr="002515CE">
          <w:rPr>
            <w:rFonts w:asciiTheme="majorHAnsi" w:hAnsiTheme="majorHAnsi" w:cstheme="majorHAnsi"/>
            <w:noProof/>
            <w:sz w:val="24"/>
            <w:szCs w:val="24"/>
          </w:rPr>
        </w:r>
        <w:r w:rsidR="00940EF6" w:rsidRPr="002515CE">
          <w:rPr>
            <w:rFonts w:asciiTheme="majorHAnsi" w:hAnsiTheme="majorHAnsi" w:cstheme="majorHAnsi"/>
            <w:noProof/>
            <w:sz w:val="24"/>
            <w:szCs w:val="24"/>
          </w:rPr>
          <w:fldChar w:fldCharType="separate"/>
        </w:r>
        <w:r w:rsidR="00940EF6" w:rsidRPr="002515CE">
          <w:rPr>
            <w:rFonts w:asciiTheme="majorHAnsi" w:hAnsiTheme="majorHAnsi" w:cstheme="majorHAnsi"/>
            <w:noProof/>
            <w:sz w:val="24"/>
            <w:szCs w:val="24"/>
          </w:rPr>
          <w:t>1</w:t>
        </w:r>
        <w:r w:rsidR="00940EF6" w:rsidRPr="002515CE">
          <w:rPr>
            <w:rFonts w:asciiTheme="majorHAnsi" w:hAnsiTheme="majorHAnsi" w:cstheme="majorHAnsi"/>
            <w:noProof/>
            <w:sz w:val="24"/>
            <w:szCs w:val="24"/>
          </w:rPr>
          <w:fldChar w:fldCharType="end"/>
        </w:r>
      </w:hyperlink>
    </w:p>
    <w:p w14:paraId="43064E77" w14:textId="2F3F7D4D" w:rsidR="00940EF6" w:rsidRPr="002515CE" w:rsidRDefault="00940EF6">
      <w:pPr>
        <w:pStyle w:val="TOC1"/>
        <w:tabs>
          <w:tab w:val="right" w:leader="dot" w:pos="8630"/>
        </w:tabs>
        <w:rPr>
          <w:rFonts w:asciiTheme="majorHAnsi" w:hAnsiTheme="majorHAnsi" w:cstheme="majorHAnsi"/>
          <w:noProof/>
          <w:sz w:val="24"/>
          <w:szCs w:val="24"/>
        </w:rPr>
      </w:pPr>
      <w:hyperlink w:anchor="_Toc230176770" w:history="1">
        <w:r w:rsidRPr="002515CE">
          <w:rPr>
            <w:rStyle w:val="Hyperlink"/>
            <w:rFonts w:asciiTheme="majorHAnsi" w:hAnsiTheme="majorHAnsi" w:cstheme="majorHAnsi"/>
            <w:noProof/>
            <w:sz w:val="24"/>
            <w:szCs w:val="24"/>
          </w:rPr>
          <w:t>1. Executive Summary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5</w:t>
        </w:r>
        <w:r w:rsidRPr="002515CE">
          <w:rPr>
            <w:rFonts w:asciiTheme="majorHAnsi" w:hAnsiTheme="majorHAnsi" w:cstheme="majorHAnsi"/>
            <w:noProof/>
            <w:sz w:val="24"/>
            <w:szCs w:val="24"/>
          </w:rPr>
          <w:fldChar w:fldCharType="end"/>
        </w:r>
      </w:hyperlink>
    </w:p>
    <w:p w14:paraId="63FCF5A2" w14:textId="492A63C8" w:rsidR="00940EF6" w:rsidRPr="002515CE" w:rsidRDefault="00940EF6">
      <w:pPr>
        <w:pStyle w:val="TOC1"/>
        <w:tabs>
          <w:tab w:val="right" w:leader="dot" w:pos="8630"/>
        </w:tabs>
        <w:rPr>
          <w:rFonts w:asciiTheme="majorHAnsi" w:hAnsiTheme="majorHAnsi" w:cstheme="majorHAnsi"/>
          <w:noProof/>
          <w:sz w:val="24"/>
          <w:szCs w:val="24"/>
        </w:rPr>
      </w:pPr>
      <w:hyperlink w:anchor="_Toc230176771" w:history="1">
        <w:r w:rsidRPr="002515CE">
          <w:rPr>
            <w:rStyle w:val="Hyperlink"/>
            <w:rFonts w:asciiTheme="majorHAnsi" w:hAnsiTheme="majorHAnsi" w:cstheme="majorHAnsi"/>
            <w:noProof/>
            <w:sz w:val="24"/>
            <w:szCs w:val="24"/>
          </w:rPr>
          <w:t>2. Objectives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5</w:t>
        </w:r>
        <w:r w:rsidRPr="002515CE">
          <w:rPr>
            <w:rFonts w:asciiTheme="majorHAnsi" w:hAnsiTheme="majorHAnsi" w:cstheme="majorHAnsi"/>
            <w:noProof/>
            <w:sz w:val="24"/>
            <w:szCs w:val="24"/>
          </w:rPr>
          <w:fldChar w:fldCharType="end"/>
        </w:r>
      </w:hyperlink>
    </w:p>
    <w:p w14:paraId="7A682FD9" w14:textId="711EA8F3" w:rsidR="00940EF6" w:rsidRPr="002515CE" w:rsidRDefault="00940EF6">
      <w:pPr>
        <w:pStyle w:val="TOC1"/>
        <w:tabs>
          <w:tab w:val="right" w:leader="dot" w:pos="8630"/>
        </w:tabs>
        <w:rPr>
          <w:rFonts w:asciiTheme="majorHAnsi" w:hAnsiTheme="majorHAnsi" w:cstheme="majorHAnsi"/>
          <w:noProof/>
          <w:sz w:val="24"/>
          <w:szCs w:val="24"/>
        </w:rPr>
      </w:pPr>
      <w:hyperlink w:anchor="_Toc230176772" w:history="1">
        <w:r w:rsidRPr="002515CE">
          <w:rPr>
            <w:rStyle w:val="Hyperlink"/>
            <w:rFonts w:asciiTheme="majorHAnsi" w:hAnsiTheme="majorHAnsi" w:cstheme="majorHAnsi"/>
            <w:noProof/>
            <w:sz w:val="24"/>
            <w:szCs w:val="24"/>
          </w:rPr>
          <w:t>3. High-Level Architecture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5</w:t>
        </w:r>
        <w:r w:rsidRPr="002515CE">
          <w:rPr>
            <w:rFonts w:asciiTheme="majorHAnsi" w:hAnsiTheme="majorHAnsi" w:cstheme="majorHAnsi"/>
            <w:noProof/>
            <w:sz w:val="24"/>
            <w:szCs w:val="24"/>
          </w:rPr>
          <w:fldChar w:fldCharType="end"/>
        </w:r>
      </w:hyperlink>
    </w:p>
    <w:p w14:paraId="0A009C89" w14:textId="1BF7354C" w:rsidR="00940EF6" w:rsidRPr="002515CE" w:rsidRDefault="00940EF6">
      <w:pPr>
        <w:pStyle w:val="TOC1"/>
        <w:tabs>
          <w:tab w:val="right" w:leader="dot" w:pos="8630"/>
        </w:tabs>
        <w:rPr>
          <w:rFonts w:asciiTheme="majorHAnsi" w:hAnsiTheme="majorHAnsi" w:cstheme="majorHAnsi"/>
          <w:noProof/>
          <w:sz w:val="24"/>
          <w:szCs w:val="24"/>
        </w:rPr>
      </w:pPr>
      <w:hyperlink w:anchor="_Toc230176773" w:history="1">
        <w:r w:rsidRPr="002515CE">
          <w:rPr>
            <w:rStyle w:val="Hyperlink"/>
            <w:rFonts w:asciiTheme="majorHAnsi" w:hAnsiTheme="majorHAnsi" w:cstheme="majorHAnsi"/>
            <w:noProof/>
            <w:sz w:val="24"/>
            <w:szCs w:val="24"/>
          </w:rPr>
          <w:t>4. Tracked Applications (Tenant Inventory)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6</w:t>
        </w:r>
        <w:r w:rsidRPr="002515CE">
          <w:rPr>
            <w:rFonts w:asciiTheme="majorHAnsi" w:hAnsiTheme="majorHAnsi" w:cstheme="majorHAnsi"/>
            <w:noProof/>
            <w:sz w:val="24"/>
            <w:szCs w:val="24"/>
          </w:rPr>
          <w:fldChar w:fldCharType="end"/>
        </w:r>
      </w:hyperlink>
    </w:p>
    <w:p w14:paraId="5481DB41" w14:textId="0990A8DD" w:rsidR="00940EF6" w:rsidRPr="002515CE" w:rsidRDefault="00940EF6">
      <w:pPr>
        <w:pStyle w:val="TOC1"/>
        <w:tabs>
          <w:tab w:val="right" w:leader="dot" w:pos="8630"/>
        </w:tabs>
        <w:rPr>
          <w:rFonts w:asciiTheme="majorHAnsi" w:hAnsiTheme="majorHAnsi" w:cstheme="majorHAnsi"/>
          <w:noProof/>
          <w:sz w:val="24"/>
          <w:szCs w:val="24"/>
        </w:rPr>
      </w:pPr>
      <w:hyperlink w:anchor="_Toc230176774" w:history="1">
        <w:r w:rsidRPr="002515CE">
          <w:rPr>
            <w:rStyle w:val="Hyperlink"/>
            <w:rFonts w:asciiTheme="majorHAnsi" w:hAnsiTheme="majorHAnsi" w:cstheme="majorHAnsi"/>
            <w:noProof/>
            <w:sz w:val="24"/>
            <w:szCs w:val="24"/>
          </w:rPr>
          <w:t>5. Azure Deployment Architecture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6</w:t>
        </w:r>
        <w:r w:rsidRPr="002515CE">
          <w:rPr>
            <w:rFonts w:asciiTheme="majorHAnsi" w:hAnsiTheme="majorHAnsi" w:cstheme="majorHAnsi"/>
            <w:noProof/>
            <w:sz w:val="24"/>
            <w:szCs w:val="24"/>
          </w:rPr>
          <w:fldChar w:fldCharType="end"/>
        </w:r>
      </w:hyperlink>
    </w:p>
    <w:p w14:paraId="14C54241" w14:textId="707C07F9" w:rsidR="00940EF6" w:rsidRPr="002515CE" w:rsidRDefault="00940EF6">
      <w:pPr>
        <w:pStyle w:val="TOC2"/>
        <w:tabs>
          <w:tab w:val="right" w:leader="dot" w:pos="8630"/>
        </w:tabs>
        <w:rPr>
          <w:rFonts w:asciiTheme="majorHAnsi" w:hAnsiTheme="majorHAnsi" w:cstheme="majorHAnsi"/>
          <w:noProof/>
          <w:sz w:val="24"/>
          <w:szCs w:val="24"/>
        </w:rPr>
      </w:pPr>
      <w:hyperlink w:anchor="_Toc230176775" w:history="1">
        <w:r w:rsidRPr="002515CE">
          <w:rPr>
            <w:rStyle w:val="Hyperlink"/>
            <w:rFonts w:asciiTheme="majorHAnsi" w:hAnsiTheme="majorHAnsi" w:cstheme="majorHAnsi"/>
            <w:noProof/>
            <w:sz w:val="24"/>
            <w:szCs w:val="24"/>
          </w:rPr>
          <w:t>5.1 Naming convention (new in v3)</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6</w:t>
        </w:r>
        <w:r w:rsidRPr="002515CE">
          <w:rPr>
            <w:rFonts w:asciiTheme="majorHAnsi" w:hAnsiTheme="majorHAnsi" w:cstheme="majorHAnsi"/>
            <w:noProof/>
            <w:sz w:val="24"/>
            <w:szCs w:val="24"/>
          </w:rPr>
          <w:fldChar w:fldCharType="end"/>
        </w:r>
      </w:hyperlink>
    </w:p>
    <w:p w14:paraId="6E8B71D4" w14:textId="0C9DD964" w:rsidR="00940EF6" w:rsidRPr="002515CE" w:rsidRDefault="00940EF6">
      <w:pPr>
        <w:pStyle w:val="TOC2"/>
        <w:tabs>
          <w:tab w:val="right" w:leader="dot" w:pos="8630"/>
        </w:tabs>
        <w:rPr>
          <w:rFonts w:asciiTheme="majorHAnsi" w:hAnsiTheme="majorHAnsi" w:cstheme="majorHAnsi"/>
          <w:noProof/>
          <w:sz w:val="24"/>
          <w:szCs w:val="24"/>
        </w:rPr>
      </w:pPr>
      <w:hyperlink w:anchor="_Toc230176776" w:history="1">
        <w:r w:rsidRPr="002515CE">
          <w:rPr>
            <w:rStyle w:val="Hyperlink"/>
            <w:rFonts w:asciiTheme="majorHAnsi" w:hAnsiTheme="majorHAnsi" w:cstheme="majorHAnsi"/>
            <w:noProof/>
            <w:sz w:val="24"/>
            <w:szCs w:val="24"/>
          </w:rPr>
          <w:t>5.2 Subscriptions (new in v3)</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7</w:t>
        </w:r>
        <w:r w:rsidRPr="002515CE">
          <w:rPr>
            <w:rFonts w:asciiTheme="majorHAnsi" w:hAnsiTheme="majorHAnsi" w:cstheme="majorHAnsi"/>
            <w:noProof/>
            <w:sz w:val="24"/>
            <w:szCs w:val="24"/>
          </w:rPr>
          <w:fldChar w:fldCharType="end"/>
        </w:r>
      </w:hyperlink>
    </w:p>
    <w:p w14:paraId="769AD763" w14:textId="68F6BD65" w:rsidR="00940EF6" w:rsidRPr="002515CE" w:rsidRDefault="00940EF6">
      <w:pPr>
        <w:pStyle w:val="TOC2"/>
        <w:tabs>
          <w:tab w:val="right" w:leader="dot" w:pos="8630"/>
        </w:tabs>
        <w:rPr>
          <w:rFonts w:asciiTheme="majorHAnsi" w:hAnsiTheme="majorHAnsi" w:cstheme="majorHAnsi"/>
          <w:noProof/>
          <w:sz w:val="24"/>
          <w:szCs w:val="24"/>
        </w:rPr>
      </w:pPr>
      <w:hyperlink w:anchor="_Toc230176777" w:history="1">
        <w:r w:rsidRPr="002515CE">
          <w:rPr>
            <w:rStyle w:val="Hyperlink"/>
            <w:rFonts w:asciiTheme="majorHAnsi" w:hAnsiTheme="majorHAnsi" w:cstheme="majorHAnsi"/>
            <w:noProof/>
            <w:sz w:val="24"/>
            <w:szCs w:val="24"/>
          </w:rPr>
          <w:t>5.4 New resources required for v3 (delta from v2)</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7</w:t>
        </w:r>
        <w:r w:rsidRPr="002515CE">
          <w:rPr>
            <w:rFonts w:asciiTheme="majorHAnsi" w:hAnsiTheme="majorHAnsi" w:cstheme="majorHAnsi"/>
            <w:noProof/>
            <w:sz w:val="24"/>
            <w:szCs w:val="24"/>
          </w:rPr>
          <w:fldChar w:fldCharType="end"/>
        </w:r>
      </w:hyperlink>
    </w:p>
    <w:p w14:paraId="2D45D718" w14:textId="326CFEC7" w:rsidR="00940EF6" w:rsidRPr="002515CE" w:rsidRDefault="00940EF6">
      <w:pPr>
        <w:pStyle w:val="TOC2"/>
        <w:tabs>
          <w:tab w:val="right" w:leader="dot" w:pos="8630"/>
        </w:tabs>
        <w:rPr>
          <w:rFonts w:asciiTheme="majorHAnsi" w:hAnsiTheme="majorHAnsi" w:cstheme="majorHAnsi"/>
          <w:noProof/>
          <w:sz w:val="24"/>
          <w:szCs w:val="24"/>
        </w:rPr>
      </w:pPr>
      <w:hyperlink w:anchor="_Toc230176778" w:history="1">
        <w:r w:rsidRPr="002515CE">
          <w:rPr>
            <w:rStyle w:val="Hyperlink"/>
            <w:rFonts w:asciiTheme="majorHAnsi" w:hAnsiTheme="majorHAnsi" w:cstheme="majorHAnsi"/>
            <w:noProof/>
            <w:sz w:val="24"/>
            <w:szCs w:val="24"/>
          </w:rPr>
          <w:t>5.5 RBAC bindings the API identity needs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8</w:t>
        </w:r>
        <w:r w:rsidRPr="002515CE">
          <w:rPr>
            <w:rFonts w:asciiTheme="majorHAnsi" w:hAnsiTheme="majorHAnsi" w:cstheme="majorHAnsi"/>
            <w:noProof/>
            <w:sz w:val="24"/>
            <w:szCs w:val="24"/>
          </w:rPr>
          <w:fldChar w:fldCharType="end"/>
        </w:r>
      </w:hyperlink>
    </w:p>
    <w:p w14:paraId="6B597D5F" w14:textId="5DCF8F91" w:rsidR="00940EF6" w:rsidRPr="002515CE" w:rsidRDefault="00940EF6">
      <w:pPr>
        <w:pStyle w:val="TOC1"/>
        <w:tabs>
          <w:tab w:val="right" w:leader="dot" w:pos="8630"/>
        </w:tabs>
        <w:rPr>
          <w:rFonts w:asciiTheme="majorHAnsi" w:hAnsiTheme="majorHAnsi" w:cstheme="majorHAnsi"/>
          <w:noProof/>
          <w:sz w:val="24"/>
          <w:szCs w:val="24"/>
        </w:rPr>
      </w:pPr>
      <w:hyperlink w:anchor="_Toc230176779" w:history="1">
        <w:r w:rsidRPr="002515CE">
          <w:rPr>
            <w:rStyle w:val="Hyperlink"/>
            <w:rFonts w:asciiTheme="majorHAnsi" w:hAnsiTheme="majorHAnsi" w:cstheme="majorHAnsi"/>
            <w:noProof/>
            <w:sz w:val="24"/>
            <w:szCs w:val="24"/>
          </w:rPr>
          <w:t>6. Application Architecture (as built)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_Toc230176779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8</w:t>
        </w:r>
        <w:r w:rsidRPr="002515CE">
          <w:rPr>
            <w:rFonts w:asciiTheme="majorHAnsi" w:hAnsiTheme="majorHAnsi" w:cstheme="majorHAnsi"/>
            <w:noProof/>
            <w:sz w:val="24"/>
            <w:szCs w:val="24"/>
          </w:rPr>
          <w:fldChar w:fldCharType="end"/>
        </w:r>
      </w:hyperlink>
    </w:p>
    <w:p w14:paraId="632B948E" w14:textId="3331CB13" w:rsidR="00940EF6" w:rsidRPr="002515CE" w:rsidRDefault="00940EF6">
      <w:pPr>
        <w:pStyle w:val="TOC1"/>
        <w:tabs>
          <w:tab w:val="right" w:leader="dot" w:pos="8630"/>
        </w:tabs>
        <w:rPr>
          <w:rFonts w:asciiTheme="majorHAnsi" w:hAnsiTheme="majorHAnsi" w:cstheme="majorHAnsi"/>
          <w:noProof/>
          <w:sz w:val="24"/>
          <w:szCs w:val="24"/>
        </w:rPr>
      </w:pPr>
      <w:hyperlink w:anchor="_Toc230176780" w:history="1">
        <w:r w:rsidRPr="002515CE">
          <w:rPr>
            <w:rStyle w:val="Hyperlink"/>
            <w:rFonts w:asciiTheme="majorHAnsi" w:hAnsiTheme="majorHAnsi" w:cstheme="majorHAnsi"/>
            <w:noProof/>
            <w:sz w:val="24"/>
            <w:szCs w:val="24"/>
          </w:rPr>
          <w:t>7. Security, Identity, and RBAC</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9</w:t>
        </w:r>
        <w:r w:rsidRPr="002515CE">
          <w:rPr>
            <w:rFonts w:asciiTheme="majorHAnsi" w:hAnsiTheme="majorHAnsi" w:cstheme="majorHAnsi"/>
            <w:noProof/>
            <w:sz w:val="24"/>
            <w:szCs w:val="24"/>
          </w:rPr>
          <w:fldChar w:fldCharType="end"/>
        </w:r>
      </w:hyperlink>
    </w:p>
    <w:p w14:paraId="19EEECC5" w14:textId="2F544B48" w:rsidR="00940EF6" w:rsidRPr="002515CE" w:rsidRDefault="00940EF6">
      <w:pPr>
        <w:pStyle w:val="TOC1"/>
        <w:tabs>
          <w:tab w:val="right" w:leader="dot" w:pos="8630"/>
        </w:tabs>
        <w:rPr>
          <w:rFonts w:asciiTheme="majorHAnsi" w:hAnsiTheme="majorHAnsi" w:cstheme="majorHAnsi"/>
          <w:noProof/>
          <w:sz w:val="24"/>
          <w:szCs w:val="24"/>
        </w:rPr>
      </w:pPr>
      <w:hyperlink w:anchor="_Toc230176781" w:history="1">
        <w:r w:rsidRPr="002515CE">
          <w:rPr>
            <w:rStyle w:val="Hyperlink"/>
            <w:rFonts w:asciiTheme="majorHAnsi" w:hAnsiTheme="majorHAnsi" w:cstheme="majorHAnsi"/>
            <w:noProof/>
            <w:sz w:val="24"/>
            <w:szCs w:val="24"/>
          </w:rPr>
          <w:t>8. Cost Visibility &amp; FinOps Boundary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9</w:t>
        </w:r>
        <w:r w:rsidRPr="002515CE">
          <w:rPr>
            <w:rFonts w:asciiTheme="majorHAnsi" w:hAnsiTheme="majorHAnsi" w:cstheme="majorHAnsi"/>
            <w:noProof/>
            <w:sz w:val="24"/>
            <w:szCs w:val="24"/>
          </w:rPr>
          <w:fldChar w:fldCharType="end"/>
        </w:r>
      </w:hyperlink>
    </w:p>
    <w:p w14:paraId="7DFE0B98" w14:textId="4CABF7C7" w:rsidR="00940EF6" w:rsidRPr="002515CE" w:rsidRDefault="00940EF6">
      <w:pPr>
        <w:pStyle w:val="TOC1"/>
        <w:tabs>
          <w:tab w:val="right" w:leader="dot" w:pos="8630"/>
        </w:tabs>
        <w:rPr>
          <w:rFonts w:asciiTheme="majorHAnsi" w:hAnsiTheme="majorHAnsi" w:cstheme="majorHAnsi"/>
          <w:noProof/>
          <w:sz w:val="24"/>
          <w:szCs w:val="24"/>
        </w:rPr>
      </w:pPr>
      <w:hyperlink w:anchor="_Toc230176782" w:history="1">
        <w:r w:rsidRPr="002515CE">
          <w:rPr>
            <w:rStyle w:val="Hyperlink"/>
            <w:rFonts w:asciiTheme="majorHAnsi" w:hAnsiTheme="majorHAnsi" w:cstheme="majorHAnsi"/>
            <w:noProof/>
            <w:sz w:val="24"/>
            <w:szCs w:val="24"/>
          </w:rPr>
          <w:t>9. Users &amp; Activity (new in v3)</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10</w:t>
        </w:r>
        <w:r w:rsidRPr="002515CE">
          <w:rPr>
            <w:rFonts w:asciiTheme="majorHAnsi" w:hAnsiTheme="majorHAnsi" w:cstheme="majorHAnsi"/>
            <w:noProof/>
            <w:sz w:val="24"/>
            <w:szCs w:val="24"/>
          </w:rPr>
          <w:fldChar w:fldCharType="end"/>
        </w:r>
      </w:hyperlink>
    </w:p>
    <w:p w14:paraId="160FB1BE" w14:textId="3F71E0EC" w:rsidR="00940EF6" w:rsidRPr="002515CE" w:rsidRDefault="00940EF6">
      <w:pPr>
        <w:pStyle w:val="TOC1"/>
        <w:tabs>
          <w:tab w:val="right" w:leader="dot" w:pos="8630"/>
        </w:tabs>
        <w:rPr>
          <w:rFonts w:asciiTheme="majorHAnsi" w:hAnsiTheme="majorHAnsi" w:cstheme="majorHAnsi"/>
          <w:noProof/>
          <w:sz w:val="24"/>
          <w:szCs w:val="24"/>
        </w:rPr>
      </w:pPr>
      <w:hyperlink w:anchor="_Toc230176783" w:history="1">
        <w:r w:rsidRPr="002515CE">
          <w:rPr>
            <w:rStyle w:val="Hyperlink"/>
            <w:rFonts w:asciiTheme="majorHAnsi" w:hAnsiTheme="majorHAnsi" w:cstheme="majorHAnsi"/>
            <w:noProof/>
            <w:sz w:val="24"/>
            <w:szCs w:val="24"/>
          </w:rPr>
          <w:t>10. Dashboard Capabilities (as built)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10</w:t>
        </w:r>
        <w:r w:rsidRPr="002515CE">
          <w:rPr>
            <w:rFonts w:asciiTheme="majorHAnsi" w:hAnsiTheme="majorHAnsi" w:cstheme="majorHAnsi"/>
            <w:noProof/>
            <w:sz w:val="24"/>
            <w:szCs w:val="24"/>
          </w:rPr>
          <w:fldChar w:fldCharType="end"/>
        </w:r>
      </w:hyperlink>
    </w:p>
    <w:p w14:paraId="732292AC" w14:textId="25DBFC9D" w:rsidR="00940EF6" w:rsidRPr="002515CE" w:rsidRDefault="00940EF6">
      <w:pPr>
        <w:pStyle w:val="TOC1"/>
        <w:tabs>
          <w:tab w:val="right" w:leader="dot" w:pos="8630"/>
        </w:tabs>
        <w:rPr>
          <w:rFonts w:asciiTheme="majorHAnsi" w:hAnsiTheme="majorHAnsi" w:cstheme="majorHAnsi"/>
          <w:noProof/>
          <w:sz w:val="24"/>
          <w:szCs w:val="24"/>
        </w:rPr>
      </w:pPr>
      <w:hyperlink w:anchor="_Toc230176784" w:history="1">
        <w:r w:rsidRPr="002515CE">
          <w:rPr>
            <w:rStyle w:val="Hyperlink"/>
            <w:rFonts w:asciiTheme="majorHAnsi" w:hAnsiTheme="majorHAnsi" w:cstheme="majorHAnsi"/>
            <w:noProof/>
            <w:sz w:val="24"/>
            <w:szCs w:val="24"/>
          </w:rPr>
          <w:t>11. Alerting &amp; Incident Sources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11</w:t>
        </w:r>
        <w:r w:rsidRPr="002515CE">
          <w:rPr>
            <w:rFonts w:asciiTheme="majorHAnsi" w:hAnsiTheme="majorHAnsi" w:cstheme="majorHAnsi"/>
            <w:noProof/>
            <w:sz w:val="24"/>
            <w:szCs w:val="24"/>
          </w:rPr>
          <w:fldChar w:fldCharType="end"/>
        </w:r>
      </w:hyperlink>
    </w:p>
    <w:p w14:paraId="1061C9B9" w14:textId="7F1D5C16" w:rsidR="00940EF6" w:rsidRPr="002515CE" w:rsidRDefault="00940EF6">
      <w:pPr>
        <w:pStyle w:val="TOC1"/>
        <w:tabs>
          <w:tab w:val="right" w:leader="dot" w:pos="8630"/>
        </w:tabs>
        <w:rPr>
          <w:rFonts w:asciiTheme="majorHAnsi" w:hAnsiTheme="majorHAnsi" w:cstheme="majorHAnsi"/>
          <w:noProof/>
          <w:sz w:val="24"/>
          <w:szCs w:val="24"/>
        </w:rPr>
      </w:pPr>
      <w:hyperlink w:anchor="_Toc230176785" w:history="1">
        <w:r w:rsidRPr="002515CE">
          <w:rPr>
            <w:rStyle w:val="Hyperlink"/>
            <w:rFonts w:asciiTheme="majorHAnsi" w:hAnsiTheme="majorHAnsi" w:cstheme="majorHAnsi"/>
            <w:noProof/>
            <w:sz w:val="24"/>
            <w:szCs w:val="24"/>
          </w:rPr>
          <w:t>12. Data-Flow Model</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11</w:t>
        </w:r>
        <w:r w:rsidRPr="002515CE">
          <w:rPr>
            <w:rFonts w:asciiTheme="majorHAnsi" w:hAnsiTheme="majorHAnsi" w:cstheme="majorHAnsi"/>
            <w:noProof/>
            <w:sz w:val="24"/>
            <w:szCs w:val="24"/>
          </w:rPr>
          <w:fldChar w:fldCharType="end"/>
        </w:r>
      </w:hyperlink>
    </w:p>
    <w:p w14:paraId="12846DA4" w14:textId="787AFC57" w:rsidR="00940EF6" w:rsidRPr="002515CE" w:rsidRDefault="00940EF6">
      <w:pPr>
        <w:pStyle w:val="TOC1"/>
        <w:tabs>
          <w:tab w:val="right" w:leader="dot" w:pos="8630"/>
        </w:tabs>
        <w:rPr>
          <w:rFonts w:asciiTheme="majorHAnsi" w:hAnsiTheme="majorHAnsi" w:cstheme="majorHAnsi"/>
          <w:noProof/>
          <w:sz w:val="24"/>
          <w:szCs w:val="24"/>
        </w:rPr>
      </w:pPr>
      <w:hyperlink w:anchor="_Toc230176786" w:history="1">
        <w:r w:rsidRPr="002515CE">
          <w:rPr>
            <w:rStyle w:val="Hyperlink"/>
            <w:rFonts w:asciiTheme="majorHAnsi" w:hAnsiTheme="majorHAnsi" w:cstheme="majorHAnsi"/>
            <w:noProof/>
            <w:sz w:val="24"/>
            <w:szCs w:val="24"/>
          </w:rPr>
          <w:t>13. Deployment Checklist (delta from v2)</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11</w:t>
        </w:r>
        <w:r w:rsidRPr="002515CE">
          <w:rPr>
            <w:rFonts w:asciiTheme="majorHAnsi" w:hAnsiTheme="majorHAnsi" w:cstheme="majorHAnsi"/>
            <w:noProof/>
            <w:sz w:val="24"/>
            <w:szCs w:val="24"/>
          </w:rPr>
          <w:fldChar w:fldCharType="end"/>
        </w:r>
      </w:hyperlink>
    </w:p>
    <w:p w14:paraId="7D6EDF3A" w14:textId="3A64CE6E" w:rsidR="00940EF6" w:rsidRPr="002515CE" w:rsidRDefault="00940EF6">
      <w:pPr>
        <w:pStyle w:val="TOC1"/>
        <w:tabs>
          <w:tab w:val="right" w:leader="dot" w:pos="8630"/>
        </w:tabs>
        <w:rPr>
          <w:rFonts w:asciiTheme="majorHAnsi" w:hAnsiTheme="majorHAnsi" w:cstheme="majorHAnsi"/>
          <w:noProof/>
          <w:sz w:val="24"/>
          <w:szCs w:val="24"/>
        </w:rPr>
      </w:pPr>
      <w:hyperlink w:anchor="_Toc230176787" w:history="1">
        <w:r w:rsidRPr="002515CE">
          <w:rPr>
            <w:rStyle w:val="Hyperlink"/>
            <w:rFonts w:asciiTheme="majorHAnsi" w:hAnsiTheme="majorHAnsi" w:cstheme="majorHAnsi"/>
            <w:noProof/>
            <w:sz w:val="24"/>
            <w:szCs w:val="24"/>
          </w:rPr>
          <w:t>14. Future-State Enhancements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12</w:t>
        </w:r>
        <w:r w:rsidRPr="002515CE">
          <w:rPr>
            <w:rFonts w:asciiTheme="majorHAnsi" w:hAnsiTheme="majorHAnsi" w:cstheme="majorHAnsi"/>
            <w:noProof/>
            <w:sz w:val="24"/>
            <w:szCs w:val="24"/>
          </w:rPr>
          <w:fldChar w:fldCharType="end"/>
        </w:r>
      </w:hyperlink>
    </w:p>
    <w:p w14:paraId="2176AC2F" w14:textId="4784BF72" w:rsidR="00940EF6" w:rsidRPr="002515CE" w:rsidRDefault="00940EF6">
      <w:pPr>
        <w:pStyle w:val="TOC1"/>
        <w:tabs>
          <w:tab w:val="right" w:leader="dot" w:pos="8630"/>
        </w:tabs>
        <w:rPr>
          <w:rFonts w:asciiTheme="majorHAnsi" w:hAnsiTheme="majorHAnsi" w:cstheme="majorHAnsi"/>
          <w:noProof/>
          <w:sz w:val="24"/>
          <w:szCs w:val="24"/>
        </w:rPr>
      </w:pPr>
      <w:hyperlink w:anchor="_Toc230176788" w:history="1">
        <w:r w:rsidRPr="002515CE">
          <w:rPr>
            <w:rStyle w:val="Hyperlink"/>
            <w:rFonts w:asciiTheme="majorHAnsi" w:hAnsiTheme="majorHAnsi" w:cstheme="majorHAnsi"/>
            <w:noProof/>
            <w:sz w:val="24"/>
            <w:szCs w:val="24"/>
          </w:rPr>
          <w:t>15. Conclusion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13</w:t>
        </w:r>
        <w:r w:rsidRPr="002515CE">
          <w:rPr>
            <w:rFonts w:asciiTheme="majorHAnsi" w:hAnsiTheme="majorHAnsi" w:cstheme="majorHAnsi"/>
            <w:noProof/>
            <w:sz w:val="24"/>
            <w:szCs w:val="24"/>
          </w:rPr>
          <w:fldChar w:fldCharType="end"/>
        </w:r>
      </w:hyperlink>
    </w:p>
    <w:p w14:paraId="60B84124" w14:textId="0F48BDD1" w:rsidR="00940EF6" w:rsidRPr="002515CE" w:rsidRDefault="00940EF6">
      <w:pPr>
        <w:pStyle w:val="TOC1"/>
        <w:tabs>
          <w:tab w:val="right" w:leader="dot" w:pos="8630"/>
        </w:tabs>
        <w:rPr>
          <w:rFonts w:asciiTheme="majorHAnsi" w:hAnsiTheme="majorHAnsi" w:cstheme="majorHAnsi"/>
          <w:noProof/>
          <w:sz w:val="24"/>
          <w:szCs w:val="24"/>
        </w:rPr>
      </w:pPr>
      <w:hyperlink w:anchor="_Toc230176789" w:history="1">
        <w:r w:rsidRPr="002515CE">
          <w:rPr>
            <w:rStyle w:val="Hyperlink"/>
            <w:rFonts w:asciiTheme="majorHAnsi" w:hAnsiTheme="majorHAnsi" w:cstheme="majorHAnsi"/>
            <w:noProof/>
            <w:sz w:val="24"/>
            <w:szCs w:val="24"/>
          </w:rPr>
          <w:t>High-Level Platform Architecture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_Toc230176789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13</w:t>
        </w:r>
        <w:r w:rsidRPr="002515CE">
          <w:rPr>
            <w:rFonts w:asciiTheme="majorHAnsi" w:hAnsiTheme="majorHAnsi" w:cstheme="majorHAnsi"/>
            <w:noProof/>
            <w:sz w:val="24"/>
            <w:szCs w:val="24"/>
          </w:rPr>
          <w:fldChar w:fldCharType="end"/>
        </w:r>
      </w:hyperlink>
    </w:p>
    <w:p w14:paraId="17A7F984" w14:textId="380AA7C6" w:rsidR="00940EF6" w:rsidRPr="002515CE" w:rsidRDefault="00940EF6">
      <w:pPr>
        <w:pStyle w:val="TOC1"/>
        <w:tabs>
          <w:tab w:val="right" w:leader="dot" w:pos="8630"/>
        </w:tabs>
        <w:rPr>
          <w:rFonts w:asciiTheme="majorHAnsi" w:hAnsiTheme="majorHAnsi" w:cstheme="majorHAnsi"/>
          <w:noProof/>
          <w:sz w:val="24"/>
          <w:szCs w:val="24"/>
        </w:rPr>
      </w:pPr>
      <w:hyperlink w:anchor="_Toc230176790" w:history="1">
        <w:r w:rsidRPr="002515CE">
          <w:rPr>
            <w:rStyle w:val="Hyperlink"/>
            <w:rFonts w:asciiTheme="majorHAnsi" w:hAnsiTheme="majorHAnsi" w:cstheme="majorHAnsi"/>
            <w:noProof/>
            <w:sz w:val="24"/>
            <w:szCs w:val="24"/>
          </w:rPr>
          <w:t>Tracked Applications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13</w:t>
        </w:r>
        <w:r w:rsidRPr="002515CE">
          <w:rPr>
            <w:rFonts w:asciiTheme="majorHAnsi" w:hAnsiTheme="majorHAnsi" w:cstheme="majorHAnsi"/>
            <w:noProof/>
            <w:sz w:val="24"/>
            <w:szCs w:val="24"/>
          </w:rPr>
          <w:fldChar w:fldCharType="end"/>
        </w:r>
      </w:hyperlink>
    </w:p>
    <w:p w14:paraId="221C04F6" w14:textId="3F229153" w:rsidR="00940EF6" w:rsidRPr="002515CE" w:rsidRDefault="00940EF6">
      <w:pPr>
        <w:pStyle w:val="TOC1"/>
        <w:tabs>
          <w:tab w:val="right" w:leader="dot" w:pos="8630"/>
        </w:tabs>
        <w:rPr>
          <w:rFonts w:asciiTheme="majorHAnsi" w:hAnsiTheme="majorHAnsi" w:cstheme="majorHAnsi"/>
          <w:noProof/>
          <w:sz w:val="24"/>
          <w:szCs w:val="24"/>
        </w:rPr>
      </w:pPr>
      <w:hyperlink w:anchor="_Toc230176791" w:history="1">
        <w:r w:rsidRPr="002515CE">
          <w:rPr>
            <w:rStyle w:val="Hyperlink"/>
            <w:rFonts w:asciiTheme="majorHAnsi" w:hAnsiTheme="majorHAnsi" w:cstheme="majorHAnsi"/>
            <w:noProof/>
            <w:sz w:val="24"/>
            <w:szCs w:val="24"/>
          </w:rPr>
          <w:t>Production Resource Inventory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13</w:t>
        </w:r>
        <w:r w:rsidRPr="002515CE">
          <w:rPr>
            <w:rFonts w:asciiTheme="majorHAnsi" w:hAnsiTheme="majorHAnsi" w:cstheme="majorHAnsi"/>
            <w:noProof/>
            <w:sz w:val="24"/>
            <w:szCs w:val="24"/>
          </w:rPr>
          <w:fldChar w:fldCharType="end"/>
        </w:r>
      </w:hyperlink>
    </w:p>
    <w:p w14:paraId="27F71A33" w14:textId="7C85A7A1" w:rsidR="00940EF6" w:rsidRPr="002515CE" w:rsidRDefault="00940EF6">
      <w:pPr>
        <w:pStyle w:val="TOC1"/>
        <w:tabs>
          <w:tab w:val="right" w:leader="dot" w:pos="8630"/>
        </w:tabs>
        <w:rPr>
          <w:rFonts w:asciiTheme="majorHAnsi" w:hAnsiTheme="majorHAnsi" w:cstheme="majorHAnsi"/>
          <w:noProof/>
          <w:sz w:val="24"/>
          <w:szCs w:val="24"/>
        </w:rPr>
      </w:pPr>
      <w:hyperlink w:anchor="_Toc230176792" w:history="1">
        <w:r w:rsidRPr="002515CE">
          <w:rPr>
            <w:rStyle w:val="Hyperlink"/>
            <w:rFonts w:asciiTheme="majorHAnsi" w:hAnsiTheme="majorHAnsi" w:cstheme="majorHAnsi"/>
            <w:noProof/>
            <w:sz w:val="24"/>
            <w:szCs w:val="24"/>
          </w:rPr>
          <w:t>Security &amp; RBAC</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14</w:t>
        </w:r>
        <w:r w:rsidRPr="002515CE">
          <w:rPr>
            <w:rFonts w:asciiTheme="majorHAnsi" w:hAnsiTheme="majorHAnsi" w:cstheme="majorHAnsi"/>
            <w:noProof/>
            <w:sz w:val="24"/>
            <w:szCs w:val="24"/>
          </w:rPr>
          <w:fldChar w:fldCharType="end"/>
        </w:r>
      </w:hyperlink>
    </w:p>
    <w:p w14:paraId="4DB4DF48" w14:textId="036E64C3" w:rsidR="00940EF6" w:rsidRPr="002515CE" w:rsidRDefault="00940EF6">
      <w:pPr>
        <w:pStyle w:val="TOC1"/>
        <w:tabs>
          <w:tab w:val="right" w:leader="dot" w:pos="8630"/>
        </w:tabs>
        <w:rPr>
          <w:rFonts w:asciiTheme="majorHAnsi" w:hAnsiTheme="majorHAnsi" w:cstheme="majorHAnsi"/>
          <w:noProof/>
          <w:sz w:val="24"/>
          <w:szCs w:val="24"/>
        </w:rPr>
      </w:pPr>
      <w:hyperlink w:anchor="_Toc230176793" w:history="1">
        <w:r w:rsidRPr="002515CE">
          <w:rPr>
            <w:rStyle w:val="Hyperlink"/>
            <w:rFonts w:asciiTheme="majorHAnsi" w:hAnsiTheme="majorHAnsi" w:cstheme="majorHAnsi"/>
            <w:noProof/>
            <w:sz w:val="24"/>
            <w:szCs w:val="24"/>
          </w:rPr>
          <w:t>Conclusion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14</w:t>
        </w:r>
        <w:r w:rsidRPr="002515CE">
          <w:rPr>
            <w:rFonts w:asciiTheme="majorHAnsi" w:hAnsiTheme="majorHAnsi" w:cstheme="majorHAnsi"/>
            <w:noProof/>
            <w:sz w:val="24"/>
            <w:szCs w:val="24"/>
          </w:rPr>
          <w:fldChar w:fldCharType="end"/>
        </w:r>
      </w:hyperlink>
    </w:p>
    <w:p w14:paraId="2EE6B54F" w14:textId="7D4FB274" w:rsidR="00940EF6" w:rsidRPr="002515CE" w:rsidRDefault="00940EF6">
      <w:pPr>
        <w:pStyle w:val="TOC1"/>
        <w:tabs>
          <w:tab w:val="right" w:leader="dot" w:pos="8630"/>
        </w:tabs>
        <w:rPr>
          <w:rFonts w:asciiTheme="majorHAnsi" w:hAnsiTheme="majorHAnsi" w:cstheme="majorHAnsi"/>
          <w:noProof/>
          <w:sz w:val="24"/>
          <w:szCs w:val="24"/>
        </w:rPr>
      </w:pPr>
      <w:hyperlink w:anchor="_Toc230176794" w:history="1">
        <w:r w:rsidRPr="002515CE">
          <w:rPr>
            <w:rStyle w:val="Hyperlink"/>
            <w:rFonts w:asciiTheme="majorHAnsi" w:hAnsiTheme="majorHAnsi" w:cstheme="majorHAnsi"/>
            <w:noProof/>
            <w:sz w:val="24"/>
            <w:szCs w:val="24"/>
          </w:rPr>
          <w:t>Required Resource Groups for sub-sharedplatform-prod</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15</w:t>
        </w:r>
        <w:r w:rsidRPr="002515CE">
          <w:rPr>
            <w:rFonts w:asciiTheme="majorHAnsi" w:hAnsiTheme="majorHAnsi" w:cstheme="majorHAnsi"/>
            <w:noProof/>
            <w:sz w:val="24"/>
            <w:szCs w:val="24"/>
          </w:rPr>
          <w:fldChar w:fldCharType="end"/>
        </w:r>
      </w:hyperlink>
    </w:p>
    <w:p w14:paraId="63C65D9B" w14:textId="7C11A727" w:rsidR="00940EF6" w:rsidRPr="002515CE" w:rsidRDefault="00940EF6">
      <w:pPr>
        <w:pStyle w:val="TOC1"/>
        <w:tabs>
          <w:tab w:val="right" w:leader="dot" w:pos="8630"/>
        </w:tabs>
        <w:rPr>
          <w:rFonts w:asciiTheme="majorHAnsi" w:hAnsiTheme="majorHAnsi" w:cstheme="majorHAnsi"/>
          <w:noProof/>
          <w:sz w:val="24"/>
          <w:szCs w:val="24"/>
        </w:rPr>
      </w:pPr>
      <w:hyperlink w:anchor="_Toc230176795" w:history="1">
        <w:r w:rsidRPr="002515CE">
          <w:rPr>
            <w:rStyle w:val="Hyperlink"/>
            <w:rFonts w:asciiTheme="majorHAnsi" w:hAnsiTheme="majorHAnsi" w:cstheme="majorHAnsi"/>
            <w:noProof/>
            <w:sz w:val="24"/>
            <w:szCs w:val="24"/>
          </w:rPr>
          <w:t>Subscription Architecture Clarification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15</w:t>
        </w:r>
        <w:r w:rsidRPr="002515CE">
          <w:rPr>
            <w:rFonts w:asciiTheme="majorHAnsi" w:hAnsiTheme="majorHAnsi" w:cstheme="majorHAnsi"/>
            <w:noProof/>
            <w:sz w:val="24"/>
            <w:szCs w:val="24"/>
          </w:rPr>
          <w:fldChar w:fldCharType="end"/>
        </w:r>
      </w:hyperlink>
    </w:p>
    <w:p w14:paraId="4C01EF34" w14:textId="4522882D" w:rsidR="00940EF6" w:rsidRPr="002515CE" w:rsidRDefault="00940EF6">
      <w:pPr>
        <w:pStyle w:val="TOC1"/>
        <w:tabs>
          <w:tab w:val="right" w:leader="dot" w:pos="8630"/>
        </w:tabs>
        <w:rPr>
          <w:rFonts w:asciiTheme="majorHAnsi" w:hAnsiTheme="majorHAnsi" w:cstheme="majorHAnsi"/>
          <w:noProof/>
          <w:sz w:val="24"/>
          <w:szCs w:val="24"/>
        </w:rPr>
      </w:pPr>
      <w:hyperlink w:anchor="_Toc230176796" w:history="1">
        <w:r w:rsidRPr="002515CE">
          <w:rPr>
            <w:rStyle w:val="Hyperlink"/>
            <w:rFonts w:asciiTheme="majorHAnsi" w:hAnsiTheme="majorHAnsi" w:cstheme="majorHAnsi"/>
            <w:noProof/>
            <w:sz w:val="24"/>
            <w:szCs w:val="24"/>
          </w:rPr>
          <w:t>Regional Deployment Standard</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16</w:t>
        </w:r>
        <w:r w:rsidRPr="002515CE">
          <w:rPr>
            <w:rFonts w:asciiTheme="majorHAnsi" w:hAnsiTheme="majorHAnsi" w:cstheme="majorHAnsi"/>
            <w:noProof/>
            <w:sz w:val="24"/>
            <w:szCs w:val="24"/>
          </w:rPr>
          <w:fldChar w:fldCharType="end"/>
        </w:r>
      </w:hyperlink>
    </w:p>
    <w:p w14:paraId="01428D50" w14:textId="1946D79A" w:rsidR="00940EF6" w:rsidRPr="002515CE" w:rsidRDefault="00940EF6">
      <w:pPr>
        <w:pStyle w:val="TOC1"/>
        <w:tabs>
          <w:tab w:val="right" w:leader="dot" w:pos="8630"/>
        </w:tabs>
        <w:rPr>
          <w:rFonts w:asciiTheme="majorHAnsi" w:hAnsiTheme="majorHAnsi" w:cstheme="majorHAnsi"/>
          <w:noProof/>
          <w:sz w:val="24"/>
          <w:szCs w:val="24"/>
        </w:rPr>
      </w:pPr>
      <w:hyperlink w:anchor="_Toc230176797" w:history="1">
        <w:r w:rsidRPr="002515CE">
          <w:rPr>
            <w:rStyle w:val="Hyperlink"/>
            <w:rFonts w:asciiTheme="majorHAnsi" w:hAnsiTheme="majorHAnsi" w:cstheme="majorHAnsi"/>
            <w:noProof/>
            <w:sz w:val="24"/>
            <w:szCs w:val="24"/>
          </w:rPr>
          <w:t>Finalized Resource Groups for eastus2</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16</w:t>
        </w:r>
        <w:r w:rsidRPr="002515CE">
          <w:rPr>
            <w:rFonts w:asciiTheme="majorHAnsi" w:hAnsiTheme="majorHAnsi" w:cstheme="majorHAnsi"/>
            <w:noProof/>
            <w:sz w:val="24"/>
            <w:szCs w:val="24"/>
          </w:rPr>
          <w:fldChar w:fldCharType="end"/>
        </w:r>
      </w:hyperlink>
    </w:p>
    <w:p w14:paraId="7133ED5B" w14:textId="57759E95" w:rsidR="00940EF6" w:rsidRPr="002515CE" w:rsidRDefault="00940EF6">
      <w:pPr>
        <w:pStyle w:val="TOC1"/>
        <w:tabs>
          <w:tab w:val="right" w:leader="dot" w:pos="8630"/>
        </w:tabs>
        <w:rPr>
          <w:rFonts w:asciiTheme="majorHAnsi" w:hAnsiTheme="majorHAnsi" w:cstheme="majorHAnsi"/>
          <w:noProof/>
          <w:sz w:val="24"/>
          <w:szCs w:val="24"/>
        </w:rPr>
      </w:pPr>
      <w:hyperlink w:anchor="_Toc230176798" w:history="1">
        <w:r w:rsidRPr="002515CE">
          <w:rPr>
            <w:rStyle w:val="Hyperlink"/>
            <w:rFonts w:asciiTheme="majorHAnsi" w:hAnsiTheme="majorHAnsi" w:cstheme="majorHAnsi"/>
            <w:noProof/>
            <w:sz w:val="24"/>
            <w:szCs w:val="24"/>
          </w:rPr>
          <w:t>Cost-Control Architecture Simplification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17</w:t>
        </w:r>
        <w:r w:rsidRPr="002515CE">
          <w:rPr>
            <w:rFonts w:asciiTheme="majorHAnsi" w:hAnsiTheme="majorHAnsi" w:cstheme="majorHAnsi"/>
            <w:noProof/>
            <w:sz w:val="24"/>
            <w:szCs w:val="24"/>
          </w:rPr>
          <w:fldChar w:fldCharType="end"/>
        </w:r>
      </w:hyperlink>
    </w:p>
    <w:p w14:paraId="7025BE35" w14:textId="154FA41E" w:rsidR="00940EF6" w:rsidRPr="002515CE" w:rsidRDefault="00940EF6">
      <w:pPr>
        <w:pStyle w:val="TOC2"/>
        <w:tabs>
          <w:tab w:val="right" w:leader="dot" w:pos="8630"/>
        </w:tabs>
        <w:rPr>
          <w:rFonts w:asciiTheme="majorHAnsi" w:hAnsiTheme="majorHAnsi" w:cstheme="majorHAnsi"/>
          <w:noProof/>
          <w:sz w:val="24"/>
          <w:szCs w:val="24"/>
        </w:rPr>
      </w:pPr>
      <w:hyperlink w:anchor="_Toc230176799" w:history="1">
        <w:r w:rsidRPr="002515CE">
          <w:rPr>
            <w:rStyle w:val="Hyperlink"/>
            <w:rFonts w:asciiTheme="majorHAnsi" w:hAnsiTheme="majorHAnsi" w:cstheme="majorHAnsi"/>
            <w:noProof/>
            <w:sz w:val="24"/>
            <w:szCs w:val="24"/>
          </w:rPr>
          <w:t>Network Watcher Placement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_Toc230176799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17</w:t>
        </w:r>
        <w:r w:rsidRPr="002515CE">
          <w:rPr>
            <w:rFonts w:asciiTheme="majorHAnsi" w:hAnsiTheme="majorHAnsi" w:cstheme="majorHAnsi"/>
            <w:noProof/>
            <w:sz w:val="24"/>
            <w:szCs w:val="24"/>
          </w:rPr>
          <w:fldChar w:fldCharType="end"/>
        </w:r>
      </w:hyperlink>
    </w:p>
    <w:p w14:paraId="72FEF01C" w14:textId="646D1F7F" w:rsidR="00940EF6" w:rsidRPr="002515CE" w:rsidRDefault="00940EF6">
      <w:pPr>
        <w:pStyle w:val="TOC2"/>
        <w:tabs>
          <w:tab w:val="right" w:leader="dot" w:pos="8630"/>
        </w:tabs>
        <w:rPr>
          <w:rFonts w:asciiTheme="majorHAnsi" w:hAnsiTheme="majorHAnsi" w:cstheme="majorHAnsi"/>
          <w:noProof/>
          <w:sz w:val="24"/>
          <w:szCs w:val="24"/>
        </w:rPr>
      </w:pPr>
      <w:hyperlink w:anchor="_Toc230176800" w:history="1">
        <w:r w:rsidRPr="002515CE">
          <w:rPr>
            <w:rStyle w:val="Hyperlink"/>
            <w:rFonts w:asciiTheme="majorHAnsi" w:hAnsiTheme="majorHAnsi" w:cstheme="majorHAnsi"/>
            <w:noProof/>
            <w:sz w:val="24"/>
            <w:szCs w:val="24"/>
          </w:rPr>
          <w:t>Key Vault Placement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17</w:t>
        </w:r>
        <w:r w:rsidRPr="002515CE">
          <w:rPr>
            <w:rFonts w:asciiTheme="majorHAnsi" w:hAnsiTheme="majorHAnsi" w:cstheme="majorHAnsi"/>
            <w:noProof/>
            <w:sz w:val="24"/>
            <w:szCs w:val="24"/>
          </w:rPr>
          <w:fldChar w:fldCharType="end"/>
        </w:r>
      </w:hyperlink>
    </w:p>
    <w:p w14:paraId="394E61ED" w14:textId="40C8026D" w:rsidR="00940EF6" w:rsidRPr="002515CE" w:rsidRDefault="00940EF6">
      <w:pPr>
        <w:pStyle w:val="TOC1"/>
        <w:tabs>
          <w:tab w:val="right" w:leader="dot" w:pos="8630"/>
        </w:tabs>
        <w:rPr>
          <w:rFonts w:asciiTheme="majorHAnsi" w:hAnsiTheme="majorHAnsi" w:cstheme="majorHAnsi"/>
          <w:noProof/>
          <w:sz w:val="24"/>
          <w:szCs w:val="24"/>
        </w:rPr>
      </w:pPr>
      <w:hyperlink w:anchor="_Toc230176801" w:history="1">
        <w:r w:rsidRPr="002515CE">
          <w:rPr>
            <w:rStyle w:val="Hyperlink"/>
            <w:rFonts w:asciiTheme="majorHAnsi" w:hAnsiTheme="majorHAnsi" w:cstheme="majorHAnsi"/>
            <w:noProof/>
            <w:sz w:val="24"/>
            <w:szCs w:val="24"/>
          </w:rPr>
          <w:t>16. External Domain and Deployment Plan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19</w:t>
        </w:r>
        <w:r w:rsidRPr="002515CE">
          <w:rPr>
            <w:rFonts w:asciiTheme="majorHAnsi" w:hAnsiTheme="majorHAnsi" w:cstheme="majorHAnsi"/>
            <w:noProof/>
            <w:sz w:val="24"/>
            <w:szCs w:val="24"/>
          </w:rPr>
          <w:fldChar w:fldCharType="end"/>
        </w:r>
      </w:hyperlink>
    </w:p>
    <w:p w14:paraId="0F0F8F67" w14:textId="4CCDEF86" w:rsidR="00940EF6" w:rsidRPr="002515CE" w:rsidRDefault="00940EF6">
      <w:pPr>
        <w:pStyle w:val="TOC2"/>
        <w:tabs>
          <w:tab w:val="right" w:leader="dot" w:pos="8630"/>
        </w:tabs>
        <w:rPr>
          <w:rFonts w:asciiTheme="majorHAnsi" w:hAnsiTheme="majorHAnsi" w:cstheme="majorHAnsi"/>
          <w:noProof/>
          <w:sz w:val="24"/>
          <w:szCs w:val="24"/>
        </w:rPr>
      </w:pPr>
      <w:hyperlink w:anchor="_Toc230176802" w:history="1">
        <w:r w:rsidRPr="002515CE">
          <w:rPr>
            <w:rStyle w:val="Hyperlink"/>
            <w:rFonts w:asciiTheme="majorHAnsi" w:hAnsiTheme="majorHAnsi" w:cstheme="majorHAnsi"/>
            <w:noProof/>
            <w:sz w:val="24"/>
            <w:szCs w:val="24"/>
          </w:rPr>
          <w:t>16.1 External Domain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19</w:t>
        </w:r>
        <w:r w:rsidRPr="002515CE">
          <w:rPr>
            <w:rFonts w:asciiTheme="majorHAnsi" w:hAnsiTheme="majorHAnsi" w:cstheme="majorHAnsi"/>
            <w:noProof/>
            <w:sz w:val="24"/>
            <w:szCs w:val="24"/>
          </w:rPr>
          <w:fldChar w:fldCharType="end"/>
        </w:r>
      </w:hyperlink>
    </w:p>
    <w:p w14:paraId="62FD0EC6" w14:textId="03F32172" w:rsidR="00940EF6" w:rsidRPr="002515CE" w:rsidRDefault="00940EF6">
      <w:pPr>
        <w:pStyle w:val="TOC2"/>
        <w:tabs>
          <w:tab w:val="right" w:leader="dot" w:pos="8630"/>
        </w:tabs>
        <w:rPr>
          <w:rFonts w:asciiTheme="majorHAnsi" w:hAnsiTheme="majorHAnsi" w:cstheme="majorHAnsi"/>
          <w:noProof/>
          <w:sz w:val="24"/>
          <w:szCs w:val="24"/>
        </w:rPr>
      </w:pPr>
      <w:hyperlink w:anchor="_Toc230176803" w:history="1">
        <w:r w:rsidRPr="002515CE">
          <w:rPr>
            <w:rStyle w:val="Hyperlink"/>
            <w:rFonts w:asciiTheme="majorHAnsi" w:hAnsiTheme="majorHAnsi" w:cstheme="majorHAnsi"/>
            <w:noProof/>
            <w:sz w:val="24"/>
            <w:szCs w:val="24"/>
          </w:rPr>
          <w:t>16.2 Deployment Principles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19</w:t>
        </w:r>
        <w:r w:rsidRPr="002515CE">
          <w:rPr>
            <w:rFonts w:asciiTheme="majorHAnsi" w:hAnsiTheme="majorHAnsi" w:cstheme="majorHAnsi"/>
            <w:noProof/>
            <w:sz w:val="24"/>
            <w:szCs w:val="24"/>
          </w:rPr>
          <w:fldChar w:fldCharType="end"/>
        </w:r>
      </w:hyperlink>
    </w:p>
    <w:p w14:paraId="212CB027" w14:textId="1990A664" w:rsidR="00940EF6" w:rsidRPr="002515CE" w:rsidRDefault="00940EF6">
      <w:pPr>
        <w:pStyle w:val="TOC2"/>
        <w:tabs>
          <w:tab w:val="right" w:leader="dot" w:pos="8630"/>
        </w:tabs>
        <w:rPr>
          <w:rFonts w:asciiTheme="majorHAnsi" w:hAnsiTheme="majorHAnsi" w:cstheme="majorHAnsi"/>
          <w:noProof/>
          <w:sz w:val="24"/>
          <w:szCs w:val="24"/>
        </w:rPr>
      </w:pPr>
      <w:hyperlink w:anchor="_Toc230176804" w:history="1">
        <w:r w:rsidRPr="002515CE">
          <w:rPr>
            <w:rStyle w:val="Hyperlink"/>
            <w:rFonts w:asciiTheme="majorHAnsi" w:hAnsiTheme="majorHAnsi" w:cstheme="majorHAnsi"/>
            <w:noProof/>
            <w:sz w:val="24"/>
            <w:szCs w:val="24"/>
          </w:rPr>
          <w:t>16.3 Current Subscription and Resource Group Plan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19</w:t>
        </w:r>
        <w:r w:rsidRPr="002515CE">
          <w:rPr>
            <w:rFonts w:asciiTheme="majorHAnsi" w:hAnsiTheme="majorHAnsi" w:cstheme="majorHAnsi"/>
            <w:noProof/>
            <w:sz w:val="24"/>
            <w:szCs w:val="24"/>
          </w:rPr>
          <w:fldChar w:fldCharType="end"/>
        </w:r>
      </w:hyperlink>
    </w:p>
    <w:p w14:paraId="4A6E8310" w14:textId="47CA7435" w:rsidR="00940EF6" w:rsidRPr="002515CE" w:rsidRDefault="00940EF6">
      <w:pPr>
        <w:pStyle w:val="TOC2"/>
        <w:tabs>
          <w:tab w:val="right" w:leader="dot" w:pos="8630"/>
        </w:tabs>
        <w:rPr>
          <w:rFonts w:asciiTheme="majorHAnsi" w:hAnsiTheme="majorHAnsi" w:cstheme="majorHAnsi"/>
          <w:noProof/>
          <w:sz w:val="24"/>
          <w:szCs w:val="24"/>
        </w:rPr>
      </w:pPr>
      <w:hyperlink w:anchor="_Toc230176805" w:history="1">
        <w:r w:rsidRPr="002515CE">
          <w:rPr>
            <w:rStyle w:val="Hyperlink"/>
            <w:rFonts w:asciiTheme="majorHAnsi" w:hAnsiTheme="majorHAnsi" w:cstheme="majorHAnsi"/>
            <w:noProof/>
            <w:sz w:val="24"/>
            <w:szCs w:val="24"/>
          </w:rPr>
          <w:t>16.4 Step-by-Step Deployment Plan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20</w:t>
        </w:r>
        <w:r w:rsidRPr="002515CE">
          <w:rPr>
            <w:rFonts w:asciiTheme="majorHAnsi" w:hAnsiTheme="majorHAnsi" w:cstheme="majorHAnsi"/>
            <w:noProof/>
            <w:sz w:val="24"/>
            <w:szCs w:val="24"/>
          </w:rPr>
          <w:fldChar w:fldCharType="end"/>
        </w:r>
      </w:hyperlink>
    </w:p>
    <w:p w14:paraId="0CA6CDD0" w14:textId="66F4F8EF" w:rsidR="00940EF6" w:rsidRPr="002515CE" w:rsidRDefault="00940EF6">
      <w:pPr>
        <w:pStyle w:val="TOC3"/>
        <w:tabs>
          <w:tab w:val="right" w:leader="dot" w:pos="8630"/>
        </w:tabs>
        <w:rPr>
          <w:rFonts w:asciiTheme="majorHAnsi" w:hAnsiTheme="majorHAnsi" w:cstheme="majorHAnsi"/>
          <w:noProof/>
          <w:sz w:val="24"/>
          <w:szCs w:val="24"/>
        </w:rPr>
      </w:pPr>
      <w:hyperlink w:anchor="_Toc230176806" w:history="1">
        <w:r w:rsidRPr="002515CE">
          <w:rPr>
            <w:rStyle w:val="Hyperlink"/>
            <w:rFonts w:asciiTheme="majorHAnsi" w:hAnsiTheme="majorHAnsi" w:cstheme="majorHAnsi"/>
            <w:noProof/>
            <w:sz w:val="24"/>
            <w:szCs w:val="24"/>
          </w:rPr>
          <w:t>Step 1 - Set up Azure resource tagging for the environment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20</w:t>
        </w:r>
        <w:r w:rsidRPr="002515CE">
          <w:rPr>
            <w:rFonts w:asciiTheme="majorHAnsi" w:hAnsiTheme="majorHAnsi" w:cstheme="majorHAnsi"/>
            <w:noProof/>
            <w:sz w:val="24"/>
            <w:szCs w:val="24"/>
          </w:rPr>
          <w:fldChar w:fldCharType="end"/>
        </w:r>
      </w:hyperlink>
    </w:p>
    <w:p w14:paraId="76326599" w14:textId="737DEBE0" w:rsidR="00940EF6" w:rsidRPr="002515CE" w:rsidRDefault="00940EF6">
      <w:pPr>
        <w:pStyle w:val="TOC1"/>
        <w:tabs>
          <w:tab w:val="right" w:leader="dot" w:pos="8630"/>
        </w:tabs>
        <w:rPr>
          <w:rFonts w:asciiTheme="majorHAnsi" w:hAnsiTheme="majorHAnsi" w:cstheme="majorHAnsi"/>
          <w:noProof/>
          <w:sz w:val="24"/>
          <w:szCs w:val="24"/>
        </w:rPr>
      </w:pPr>
      <w:hyperlink w:anchor="_Toc230176807" w:history="1">
        <w:r w:rsidRPr="002515CE">
          <w:rPr>
            <w:rStyle w:val="Hyperlink"/>
            <w:rFonts w:asciiTheme="majorHAnsi" w:hAnsiTheme="majorHAnsi" w:cstheme="majorHAnsi"/>
            <w:noProof/>
            <w:sz w:val="24"/>
            <w:szCs w:val="24"/>
          </w:rPr>
          <w:t>1. Confirm the environment scope before tagging. Use prod for Orbit production resources in sub-sharedplatform-prod, prod for GrailBabe production resources in sub-GrailBabe-Prod, and dev for GrailBabe development resources in sub-grailbabedev-dev.</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21</w:t>
        </w:r>
        <w:r w:rsidRPr="002515CE">
          <w:rPr>
            <w:rFonts w:asciiTheme="majorHAnsi" w:hAnsiTheme="majorHAnsi" w:cstheme="majorHAnsi"/>
            <w:noProof/>
            <w:sz w:val="24"/>
            <w:szCs w:val="24"/>
          </w:rPr>
          <w:fldChar w:fldCharType="end"/>
        </w:r>
      </w:hyperlink>
    </w:p>
    <w:p w14:paraId="067091E7" w14:textId="5F014326" w:rsidR="00940EF6" w:rsidRPr="002515CE" w:rsidRDefault="00940EF6">
      <w:pPr>
        <w:pStyle w:val="TOC1"/>
        <w:tabs>
          <w:tab w:val="right" w:leader="dot" w:pos="8630"/>
        </w:tabs>
        <w:rPr>
          <w:rFonts w:asciiTheme="majorHAnsi" w:hAnsiTheme="majorHAnsi" w:cstheme="majorHAnsi"/>
          <w:noProof/>
          <w:sz w:val="24"/>
          <w:szCs w:val="24"/>
        </w:rPr>
      </w:pPr>
      <w:hyperlink w:anchor="_Toc230176808" w:history="1">
        <w:r w:rsidRPr="002515CE">
          <w:rPr>
            <w:rStyle w:val="Hyperlink"/>
            <w:rFonts w:asciiTheme="majorHAnsi" w:hAnsiTheme="majorHAnsi" w:cstheme="majorHAnsi"/>
            <w:noProof/>
            <w:sz w:val="24"/>
            <w:szCs w:val="24"/>
          </w:rPr>
          <w:t>2. Standardize the required tag keys before applying them. Every Orbit and monitored application resource group must use these exact keys: workload, environment, owner, cost-center, data-class, and criticality.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21</w:t>
        </w:r>
        <w:r w:rsidRPr="002515CE">
          <w:rPr>
            <w:rFonts w:asciiTheme="majorHAnsi" w:hAnsiTheme="majorHAnsi" w:cstheme="majorHAnsi"/>
            <w:noProof/>
            <w:sz w:val="24"/>
            <w:szCs w:val="24"/>
          </w:rPr>
          <w:fldChar w:fldCharType="end"/>
        </w:r>
      </w:hyperlink>
    </w:p>
    <w:p w14:paraId="2799ED03" w14:textId="397951C1" w:rsidR="00940EF6" w:rsidRPr="002515CE" w:rsidRDefault="00940EF6">
      <w:pPr>
        <w:pStyle w:val="TOC1"/>
        <w:tabs>
          <w:tab w:val="right" w:leader="dot" w:pos="8630"/>
        </w:tabs>
        <w:rPr>
          <w:rFonts w:asciiTheme="majorHAnsi" w:hAnsiTheme="majorHAnsi" w:cstheme="majorHAnsi"/>
          <w:noProof/>
          <w:sz w:val="24"/>
          <w:szCs w:val="24"/>
        </w:rPr>
      </w:pPr>
      <w:hyperlink w:anchor="_Toc230176809" w:history="1">
        <w:r w:rsidRPr="002515CE">
          <w:rPr>
            <w:rStyle w:val="Hyperlink"/>
            <w:rFonts w:asciiTheme="majorHAnsi" w:hAnsiTheme="majorHAnsi" w:cstheme="majorHAnsi"/>
            <w:noProof/>
            <w:sz w:val="24"/>
            <w:szCs w:val="24"/>
          </w:rPr>
          <w:t>3. Define approved tag values for the current deployment. Recommended starting values are: workload=orbit, environment=prod, owner=platform-engineering, cost-center=platform, data-class=internal, criticality=high for Orbit platform resources.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_Toc230176809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21</w:t>
        </w:r>
        <w:r w:rsidRPr="002515CE">
          <w:rPr>
            <w:rFonts w:asciiTheme="majorHAnsi" w:hAnsiTheme="majorHAnsi" w:cstheme="majorHAnsi"/>
            <w:noProof/>
            <w:sz w:val="24"/>
            <w:szCs w:val="24"/>
          </w:rPr>
          <w:fldChar w:fldCharType="end"/>
        </w:r>
      </w:hyperlink>
    </w:p>
    <w:p w14:paraId="5726585E" w14:textId="4C283222" w:rsidR="00940EF6" w:rsidRPr="002515CE" w:rsidRDefault="00940EF6">
      <w:pPr>
        <w:pStyle w:val="TOC1"/>
        <w:tabs>
          <w:tab w:val="right" w:leader="dot" w:pos="8630"/>
        </w:tabs>
        <w:rPr>
          <w:rFonts w:asciiTheme="majorHAnsi" w:hAnsiTheme="majorHAnsi" w:cstheme="majorHAnsi"/>
          <w:noProof/>
          <w:sz w:val="24"/>
          <w:szCs w:val="24"/>
        </w:rPr>
      </w:pPr>
      <w:hyperlink w:anchor="_Toc230176810" w:history="1">
        <w:r w:rsidRPr="002515CE">
          <w:rPr>
            <w:rStyle w:val="Hyperlink"/>
            <w:rFonts w:asciiTheme="majorHAnsi" w:hAnsiTheme="majorHAnsi" w:cstheme="majorHAnsi"/>
            <w:noProof/>
            <w:sz w:val="24"/>
            <w:szCs w:val="24"/>
          </w:rPr>
          <w:t>4. Apply tags to the Orbit production resource groups in the Azure Portal.</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21</w:t>
        </w:r>
        <w:r w:rsidRPr="002515CE">
          <w:rPr>
            <w:rFonts w:asciiTheme="majorHAnsi" w:hAnsiTheme="majorHAnsi" w:cstheme="majorHAnsi"/>
            <w:noProof/>
            <w:sz w:val="24"/>
            <w:szCs w:val="24"/>
          </w:rPr>
          <w:fldChar w:fldCharType="end"/>
        </w:r>
      </w:hyperlink>
    </w:p>
    <w:p w14:paraId="7518E48A" w14:textId="5FFBA11C" w:rsidR="00940EF6" w:rsidRPr="002515CE" w:rsidRDefault="00940EF6">
      <w:pPr>
        <w:pStyle w:val="TOC1"/>
        <w:tabs>
          <w:tab w:val="right" w:leader="dot" w:pos="8630"/>
        </w:tabs>
        <w:rPr>
          <w:rFonts w:asciiTheme="majorHAnsi" w:hAnsiTheme="majorHAnsi" w:cstheme="majorHAnsi"/>
          <w:noProof/>
          <w:sz w:val="24"/>
          <w:szCs w:val="24"/>
        </w:rPr>
      </w:pPr>
      <w:hyperlink w:anchor="_Toc230176811" w:history="1">
        <w:r w:rsidRPr="002515CE">
          <w:rPr>
            <w:rStyle w:val="Hyperlink"/>
            <w:rFonts w:asciiTheme="majorHAnsi" w:hAnsiTheme="majorHAnsi" w:cstheme="majorHAnsi"/>
            <w:noProof/>
            <w:sz w:val="24"/>
            <w:szCs w:val="24"/>
          </w:rPr>
          <w:t>5. Apply tags to monitored application resource groups using the same pattern but app-specific values.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22</w:t>
        </w:r>
        <w:r w:rsidRPr="002515CE">
          <w:rPr>
            <w:rFonts w:asciiTheme="majorHAnsi" w:hAnsiTheme="majorHAnsi" w:cstheme="majorHAnsi"/>
            <w:noProof/>
            <w:sz w:val="24"/>
            <w:szCs w:val="24"/>
          </w:rPr>
          <w:fldChar w:fldCharType="end"/>
        </w:r>
      </w:hyperlink>
    </w:p>
    <w:p w14:paraId="57046C88" w14:textId="3D3ADE4F" w:rsidR="00940EF6" w:rsidRPr="002515CE" w:rsidRDefault="00940EF6">
      <w:pPr>
        <w:pStyle w:val="TOC1"/>
        <w:tabs>
          <w:tab w:val="right" w:leader="dot" w:pos="8630"/>
        </w:tabs>
        <w:rPr>
          <w:rFonts w:asciiTheme="majorHAnsi" w:hAnsiTheme="majorHAnsi" w:cstheme="majorHAnsi"/>
          <w:noProof/>
          <w:sz w:val="24"/>
          <w:szCs w:val="24"/>
        </w:rPr>
      </w:pPr>
      <w:hyperlink w:anchor="_Toc230176812" w:history="1">
        <w:r w:rsidRPr="002515CE">
          <w:rPr>
            <w:rStyle w:val="Hyperlink"/>
            <w:rFonts w:asciiTheme="majorHAnsi" w:hAnsiTheme="majorHAnsi" w:cstheme="majorHAnsi"/>
            <w:noProof/>
            <w:sz w:val="24"/>
            <w:szCs w:val="24"/>
          </w:rPr>
          <w:t>6. Apply the same tags through Azure CLI when repeatability is preferred. Example: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22</w:t>
        </w:r>
        <w:r w:rsidRPr="002515CE">
          <w:rPr>
            <w:rFonts w:asciiTheme="majorHAnsi" w:hAnsiTheme="majorHAnsi" w:cstheme="majorHAnsi"/>
            <w:noProof/>
            <w:sz w:val="24"/>
            <w:szCs w:val="24"/>
          </w:rPr>
          <w:fldChar w:fldCharType="end"/>
        </w:r>
      </w:hyperlink>
    </w:p>
    <w:p w14:paraId="5FC4748C" w14:textId="47BC84CA" w:rsidR="00940EF6" w:rsidRPr="002515CE" w:rsidRDefault="00940EF6">
      <w:pPr>
        <w:pStyle w:val="TOC1"/>
        <w:tabs>
          <w:tab w:val="right" w:leader="dot" w:pos="8630"/>
        </w:tabs>
        <w:rPr>
          <w:rFonts w:asciiTheme="majorHAnsi" w:hAnsiTheme="majorHAnsi" w:cstheme="majorHAnsi"/>
          <w:noProof/>
          <w:sz w:val="24"/>
          <w:szCs w:val="24"/>
        </w:rPr>
      </w:pPr>
      <w:hyperlink w:anchor="_Toc230176813" w:history="1">
        <w:r w:rsidRPr="002515CE">
          <w:rPr>
            <w:rStyle w:val="Hyperlink"/>
            <w:rFonts w:asciiTheme="majorHAnsi" w:hAnsiTheme="majorHAnsi" w:cstheme="majorHAnsi"/>
            <w:noProof/>
            <w:sz w:val="24"/>
            <w:szCs w:val="24"/>
          </w:rPr>
          <w:t>7. Configure Azure Policy to require the mandatory tags at each active subscription scope.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22</w:t>
        </w:r>
        <w:r w:rsidRPr="002515CE">
          <w:rPr>
            <w:rFonts w:asciiTheme="majorHAnsi" w:hAnsiTheme="majorHAnsi" w:cstheme="majorHAnsi"/>
            <w:noProof/>
            <w:sz w:val="24"/>
            <w:szCs w:val="24"/>
          </w:rPr>
          <w:fldChar w:fldCharType="end"/>
        </w:r>
      </w:hyperlink>
    </w:p>
    <w:p w14:paraId="0EB80238" w14:textId="5B9AD158" w:rsidR="00940EF6" w:rsidRPr="002515CE" w:rsidRDefault="00940EF6">
      <w:pPr>
        <w:pStyle w:val="TOC1"/>
        <w:tabs>
          <w:tab w:val="right" w:leader="dot" w:pos="8630"/>
        </w:tabs>
        <w:rPr>
          <w:rFonts w:asciiTheme="majorHAnsi" w:hAnsiTheme="majorHAnsi" w:cstheme="majorHAnsi"/>
          <w:noProof/>
          <w:sz w:val="24"/>
          <w:szCs w:val="24"/>
        </w:rPr>
      </w:pPr>
      <w:hyperlink w:anchor="_Toc230176814" w:history="1">
        <w:r w:rsidRPr="002515CE">
          <w:rPr>
            <w:rStyle w:val="Hyperlink"/>
            <w:rFonts w:asciiTheme="majorHAnsi" w:hAnsiTheme="majorHAnsi" w:cstheme="majorHAnsi"/>
            <w:noProof/>
            <w:sz w:val="24"/>
            <w:szCs w:val="24"/>
          </w:rPr>
          <w:t>8. Validate tag coverage before moving 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23</w:t>
        </w:r>
        <w:r w:rsidRPr="002515CE">
          <w:rPr>
            <w:rFonts w:asciiTheme="majorHAnsi" w:hAnsiTheme="majorHAnsi" w:cstheme="majorHAnsi"/>
            <w:noProof/>
            <w:sz w:val="24"/>
            <w:szCs w:val="24"/>
          </w:rPr>
          <w:fldChar w:fldCharType="end"/>
        </w:r>
      </w:hyperlink>
    </w:p>
    <w:p w14:paraId="4439CC46" w14:textId="7C364DD0" w:rsidR="00940EF6" w:rsidRPr="002515CE" w:rsidRDefault="00940EF6">
      <w:pPr>
        <w:pStyle w:val="TOC3"/>
        <w:tabs>
          <w:tab w:val="right" w:leader="dot" w:pos="8630"/>
        </w:tabs>
        <w:rPr>
          <w:rFonts w:asciiTheme="majorHAnsi" w:hAnsiTheme="majorHAnsi" w:cstheme="majorHAnsi"/>
          <w:noProof/>
          <w:sz w:val="24"/>
          <w:szCs w:val="24"/>
        </w:rPr>
      </w:pPr>
      <w:hyperlink w:anchor="_Toc230176815" w:history="1">
        <w:r w:rsidRPr="002515CE">
          <w:rPr>
            <w:rStyle w:val="Hyperlink"/>
            <w:rFonts w:asciiTheme="majorHAnsi" w:hAnsiTheme="majorHAnsi" w:cstheme="majorHAnsi"/>
            <w:noProof/>
            <w:sz w:val="24"/>
            <w:szCs w:val="24"/>
          </w:rPr>
          <w:t>Step 2 - Confirm subscriptions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23</w:t>
        </w:r>
        <w:r w:rsidRPr="002515CE">
          <w:rPr>
            <w:rFonts w:asciiTheme="majorHAnsi" w:hAnsiTheme="majorHAnsi" w:cstheme="majorHAnsi"/>
            <w:noProof/>
            <w:sz w:val="24"/>
            <w:szCs w:val="24"/>
          </w:rPr>
          <w:fldChar w:fldCharType="end"/>
        </w:r>
      </w:hyperlink>
    </w:p>
    <w:p w14:paraId="785E8087" w14:textId="167862F5" w:rsidR="00940EF6" w:rsidRPr="002515CE" w:rsidRDefault="00940EF6">
      <w:pPr>
        <w:pStyle w:val="TOC3"/>
        <w:tabs>
          <w:tab w:val="right" w:leader="dot" w:pos="8630"/>
        </w:tabs>
        <w:rPr>
          <w:rFonts w:asciiTheme="majorHAnsi" w:hAnsiTheme="majorHAnsi" w:cstheme="majorHAnsi"/>
          <w:noProof/>
          <w:sz w:val="24"/>
          <w:szCs w:val="24"/>
        </w:rPr>
      </w:pPr>
      <w:hyperlink w:anchor="_Toc230176816" w:history="1">
        <w:r w:rsidRPr="002515CE">
          <w:rPr>
            <w:rStyle w:val="Hyperlink"/>
            <w:rFonts w:asciiTheme="majorHAnsi" w:hAnsiTheme="majorHAnsi" w:cstheme="majorHAnsi"/>
            <w:noProof/>
            <w:sz w:val="24"/>
            <w:szCs w:val="24"/>
          </w:rPr>
          <w:t>Step 3 - Confirm existing resource groups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23</w:t>
        </w:r>
        <w:r w:rsidRPr="002515CE">
          <w:rPr>
            <w:rFonts w:asciiTheme="majorHAnsi" w:hAnsiTheme="majorHAnsi" w:cstheme="majorHAnsi"/>
            <w:noProof/>
            <w:sz w:val="24"/>
            <w:szCs w:val="24"/>
          </w:rPr>
          <w:fldChar w:fldCharType="end"/>
        </w:r>
      </w:hyperlink>
    </w:p>
    <w:p w14:paraId="5C75B8D9" w14:textId="7534CE46" w:rsidR="00940EF6" w:rsidRPr="002515CE" w:rsidRDefault="00940EF6">
      <w:pPr>
        <w:pStyle w:val="TOC3"/>
        <w:tabs>
          <w:tab w:val="right" w:leader="dot" w:pos="8630"/>
        </w:tabs>
        <w:rPr>
          <w:rFonts w:asciiTheme="majorHAnsi" w:hAnsiTheme="majorHAnsi" w:cstheme="majorHAnsi"/>
          <w:noProof/>
          <w:sz w:val="24"/>
          <w:szCs w:val="24"/>
        </w:rPr>
      </w:pPr>
      <w:hyperlink w:anchor="_Toc230176817" w:history="1">
        <w:r w:rsidRPr="002515CE">
          <w:rPr>
            <w:rStyle w:val="Hyperlink"/>
            <w:rFonts w:asciiTheme="majorHAnsi" w:hAnsiTheme="majorHAnsi" w:cstheme="majorHAnsi"/>
            <w:noProof/>
            <w:sz w:val="24"/>
            <w:szCs w:val="24"/>
          </w:rPr>
          <w:t>Step 4 - Set budgets before deploying paid services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23</w:t>
        </w:r>
        <w:r w:rsidRPr="002515CE">
          <w:rPr>
            <w:rFonts w:asciiTheme="majorHAnsi" w:hAnsiTheme="majorHAnsi" w:cstheme="majorHAnsi"/>
            <w:noProof/>
            <w:sz w:val="24"/>
            <w:szCs w:val="24"/>
          </w:rPr>
          <w:fldChar w:fldCharType="end"/>
        </w:r>
      </w:hyperlink>
    </w:p>
    <w:p w14:paraId="2B4135C6" w14:textId="236E2389" w:rsidR="00940EF6" w:rsidRPr="002515CE" w:rsidRDefault="00940EF6">
      <w:pPr>
        <w:pStyle w:val="TOC3"/>
        <w:tabs>
          <w:tab w:val="right" w:leader="dot" w:pos="8630"/>
        </w:tabs>
        <w:rPr>
          <w:rFonts w:asciiTheme="majorHAnsi" w:hAnsiTheme="majorHAnsi" w:cstheme="majorHAnsi"/>
          <w:noProof/>
          <w:sz w:val="24"/>
          <w:szCs w:val="24"/>
        </w:rPr>
      </w:pPr>
      <w:hyperlink w:anchor="_Toc230176818" w:history="1">
        <w:r w:rsidRPr="002515CE">
          <w:rPr>
            <w:rStyle w:val="Hyperlink"/>
            <w:rFonts w:asciiTheme="majorHAnsi" w:hAnsiTheme="majorHAnsi" w:cstheme="majorHAnsi"/>
            <w:noProof/>
            <w:sz w:val="24"/>
            <w:szCs w:val="24"/>
          </w:rPr>
          <w:t>Step 5 - Confirm Network Watcher</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24</w:t>
        </w:r>
        <w:r w:rsidRPr="002515CE">
          <w:rPr>
            <w:rFonts w:asciiTheme="majorHAnsi" w:hAnsiTheme="majorHAnsi" w:cstheme="majorHAnsi"/>
            <w:noProof/>
            <w:sz w:val="24"/>
            <w:szCs w:val="24"/>
          </w:rPr>
          <w:fldChar w:fldCharType="end"/>
        </w:r>
      </w:hyperlink>
    </w:p>
    <w:p w14:paraId="7FB8B7B4" w14:textId="250FB77B" w:rsidR="00940EF6" w:rsidRPr="002515CE" w:rsidRDefault="00940EF6">
      <w:pPr>
        <w:pStyle w:val="TOC3"/>
        <w:tabs>
          <w:tab w:val="right" w:leader="dot" w:pos="8630"/>
        </w:tabs>
        <w:rPr>
          <w:rFonts w:asciiTheme="majorHAnsi" w:hAnsiTheme="majorHAnsi" w:cstheme="majorHAnsi"/>
          <w:noProof/>
          <w:sz w:val="24"/>
          <w:szCs w:val="24"/>
        </w:rPr>
      </w:pPr>
      <w:hyperlink w:anchor="_Toc230176819" w:history="1">
        <w:r w:rsidRPr="002515CE">
          <w:rPr>
            <w:rStyle w:val="Hyperlink"/>
            <w:rFonts w:asciiTheme="majorHAnsi" w:hAnsiTheme="majorHAnsi" w:cstheme="majorHAnsi"/>
            <w:noProof/>
            <w:sz w:val="24"/>
            <w:szCs w:val="24"/>
          </w:rPr>
          <w:t>Step 6 - Create Orbit Key Vault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_Toc230176819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24</w:t>
        </w:r>
        <w:r w:rsidRPr="002515CE">
          <w:rPr>
            <w:rFonts w:asciiTheme="majorHAnsi" w:hAnsiTheme="majorHAnsi" w:cstheme="majorHAnsi"/>
            <w:noProof/>
            <w:sz w:val="24"/>
            <w:szCs w:val="24"/>
          </w:rPr>
          <w:fldChar w:fldCharType="end"/>
        </w:r>
      </w:hyperlink>
    </w:p>
    <w:p w14:paraId="6C6C7F3B" w14:textId="53A03FE1" w:rsidR="00940EF6" w:rsidRPr="002515CE" w:rsidRDefault="00940EF6">
      <w:pPr>
        <w:pStyle w:val="TOC3"/>
        <w:tabs>
          <w:tab w:val="right" w:leader="dot" w:pos="8630"/>
        </w:tabs>
        <w:rPr>
          <w:rFonts w:asciiTheme="majorHAnsi" w:hAnsiTheme="majorHAnsi" w:cstheme="majorHAnsi"/>
          <w:noProof/>
          <w:sz w:val="24"/>
          <w:szCs w:val="24"/>
        </w:rPr>
      </w:pPr>
      <w:hyperlink w:anchor="_Toc230176820" w:history="1">
        <w:r w:rsidRPr="002515CE">
          <w:rPr>
            <w:rStyle w:val="Hyperlink"/>
            <w:rFonts w:asciiTheme="majorHAnsi" w:hAnsiTheme="majorHAnsi" w:cstheme="majorHAnsi"/>
            <w:noProof/>
            <w:sz w:val="24"/>
            <w:szCs w:val="24"/>
          </w:rPr>
          <w:t>Step 7 - Create monitoring baseline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24</w:t>
        </w:r>
        <w:r w:rsidRPr="002515CE">
          <w:rPr>
            <w:rFonts w:asciiTheme="majorHAnsi" w:hAnsiTheme="majorHAnsi" w:cstheme="majorHAnsi"/>
            <w:noProof/>
            <w:sz w:val="24"/>
            <w:szCs w:val="24"/>
          </w:rPr>
          <w:fldChar w:fldCharType="end"/>
        </w:r>
      </w:hyperlink>
    </w:p>
    <w:p w14:paraId="1959EA9B" w14:textId="60C21714" w:rsidR="00940EF6" w:rsidRPr="002515CE" w:rsidRDefault="00940EF6">
      <w:pPr>
        <w:pStyle w:val="TOC3"/>
        <w:tabs>
          <w:tab w:val="right" w:leader="dot" w:pos="8630"/>
        </w:tabs>
        <w:rPr>
          <w:rFonts w:asciiTheme="majorHAnsi" w:hAnsiTheme="majorHAnsi" w:cstheme="majorHAnsi"/>
          <w:noProof/>
          <w:sz w:val="24"/>
          <w:szCs w:val="24"/>
        </w:rPr>
      </w:pPr>
      <w:hyperlink w:anchor="_Toc230176821" w:history="1">
        <w:r w:rsidRPr="002515CE">
          <w:rPr>
            <w:rStyle w:val="Hyperlink"/>
            <w:rFonts w:asciiTheme="majorHAnsi" w:hAnsiTheme="majorHAnsi" w:cstheme="majorHAnsi"/>
            <w:noProof/>
            <w:sz w:val="24"/>
            <w:szCs w:val="24"/>
          </w:rPr>
          <w:t>Step 8 - Create App Configuration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24</w:t>
        </w:r>
        <w:r w:rsidRPr="002515CE">
          <w:rPr>
            <w:rFonts w:asciiTheme="majorHAnsi" w:hAnsiTheme="majorHAnsi" w:cstheme="majorHAnsi"/>
            <w:noProof/>
            <w:sz w:val="24"/>
            <w:szCs w:val="24"/>
          </w:rPr>
          <w:fldChar w:fldCharType="end"/>
        </w:r>
      </w:hyperlink>
    </w:p>
    <w:p w14:paraId="2989ECA4" w14:textId="3739980A" w:rsidR="00940EF6" w:rsidRPr="002515CE" w:rsidRDefault="00940EF6">
      <w:pPr>
        <w:pStyle w:val="TOC3"/>
        <w:tabs>
          <w:tab w:val="right" w:leader="dot" w:pos="8630"/>
        </w:tabs>
        <w:rPr>
          <w:rFonts w:asciiTheme="majorHAnsi" w:hAnsiTheme="majorHAnsi" w:cstheme="majorHAnsi"/>
          <w:noProof/>
          <w:sz w:val="24"/>
          <w:szCs w:val="24"/>
        </w:rPr>
      </w:pPr>
      <w:hyperlink w:anchor="_Toc230176822" w:history="1">
        <w:r w:rsidRPr="002515CE">
          <w:rPr>
            <w:rStyle w:val="Hyperlink"/>
            <w:rFonts w:asciiTheme="majorHAnsi" w:hAnsiTheme="majorHAnsi" w:cstheme="majorHAnsi"/>
            <w:noProof/>
            <w:sz w:val="24"/>
            <w:szCs w:val="24"/>
          </w:rPr>
          <w:t>Step 9 - Create managed identity</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25</w:t>
        </w:r>
        <w:r w:rsidRPr="002515CE">
          <w:rPr>
            <w:rFonts w:asciiTheme="majorHAnsi" w:hAnsiTheme="majorHAnsi" w:cstheme="majorHAnsi"/>
            <w:noProof/>
            <w:sz w:val="24"/>
            <w:szCs w:val="24"/>
          </w:rPr>
          <w:fldChar w:fldCharType="end"/>
        </w:r>
      </w:hyperlink>
    </w:p>
    <w:p w14:paraId="2B480920" w14:textId="5AD336EE" w:rsidR="00940EF6" w:rsidRPr="002515CE" w:rsidRDefault="00940EF6">
      <w:pPr>
        <w:pStyle w:val="TOC3"/>
        <w:tabs>
          <w:tab w:val="right" w:leader="dot" w:pos="8630"/>
        </w:tabs>
        <w:rPr>
          <w:rFonts w:asciiTheme="majorHAnsi" w:hAnsiTheme="majorHAnsi" w:cstheme="majorHAnsi"/>
          <w:noProof/>
          <w:sz w:val="24"/>
          <w:szCs w:val="24"/>
        </w:rPr>
      </w:pPr>
      <w:hyperlink w:anchor="_Toc230176823" w:history="1">
        <w:r w:rsidRPr="002515CE">
          <w:rPr>
            <w:rStyle w:val="Hyperlink"/>
            <w:rFonts w:asciiTheme="majorHAnsi" w:hAnsiTheme="majorHAnsi" w:cstheme="majorHAnsi"/>
            <w:noProof/>
            <w:sz w:val="24"/>
            <w:szCs w:val="24"/>
          </w:rPr>
          <w:t>Step 10 - Create PostgreSQL</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25</w:t>
        </w:r>
        <w:r w:rsidRPr="002515CE">
          <w:rPr>
            <w:rFonts w:asciiTheme="majorHAnsi" w:hAnsiTheme="majorHAnsi" w:cstheme="majorHAnsi"/>
            <w:noProof/>
            <w:sz w:val="24"/>
            <w:szCs w:val="24"/>
          </w:rPr>
          <w:fldChar w:fldCharType="end"/>
        </w:r>
      </w:hyperlink>
    </w:p>
    <w:p w14:paraId="0592D749" w14:textId="379F1A2C" w:rsidR="00940EF6" w:rsidRPr="002515CE" w:rsidRDefault="00940EF6">
      <w:pPr>
        <w:pStyle w:val="TOC3"/>
        <w:tabs>
          <w:tab w:val="right" w:leader="dot" w:pos="8630"/>
        </w:tabs>
        <w:rPr>
          <w:rFonts w:asciiTheme="majorHAnsi" w:hAnsiTheme="majorHAnsi" w:cstheme="majorHAnsi"/>
          <w:noProof/>
          <w:sz w:val="24"/>
          <w:szCs w:val="24"/>
        </w:rPr>
      </w:pPr>
      <w:hyperlink w:anchor="_Toc230176824" w:history="1">
        <w:r w:rsidRPr="002515CE">
          <w:rPr>
            <w:rStyle w:val="Hyperlink"/>
            <w:rFonts w:asciiTheme="majorHAnsi" w:hAnsiTheme="majorHAnsi" w:cstheme="majorHAnsi"/>
            <w:noProof/>
            <w:sz w:val="24"/>
            <w:szCs w:val="24"/>
          </w:rPr>
          <w:t>Step 11 - Create Container Apps Environment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25</w:t>
        </w:r>
        <w:r w:rsidRPr="002515CE">
          <w:rPr>
            <w:rFonts w:asciiTheme="majorHAnsi" w:hAnsiTheme="majorHAnsi" w:cstheme="majorHAnsi"/>
            <w:noProof/>
            <w:sz w:val="24"/>
            <w:szCs w:val="24"/>
          </w:rPr>
          <w:fldChar w:fldCharType="end"/>
        </w:r>
      </w:hyperlink>
    </w:p>
    <w:p w14:paraId="6D59CA02" w14:textId="5AAFF7E0" w:rsidR="00940EF6" w:rsidRPr="002515CE" w:rsidRDefault="00940EF6">
      <w:pPr>
        <w:pStyle w:val="TOC3"/>
        <w:tabs>
          <w:tab w:val="right" w:leader="dot" w:pos="8630"/>
        </w:tabs>
        <w:rPr>
          <w:rFonts w:asciiTheme="majorHAnsi" w:hAnsiTheme="majorHAnsi" w:cstheme="majorHAnsi"/>
          <w:noProof/>
          <w:sz w:val="24"/>
          <w:szCs w:val="24"/>
        </w:rPr>
      </w:pPr>
      <w:hyperlink w:anchor="_Toc230176825" w:history="1">
        <w:r w:rsidRPr="002515CE">
          <w:rPr>
            <w:rStyle w:val="Hyperlink"/>
            <w:rFonts w:asciiTheme="majorHAnsi" w:hAnsiTheme="majorHAnsi" w:cstheme="majorHAnsi"/>
            <w:noProof/>
            <w:sz w:val="24"/>
            <w:szCs w:val="24"/>
          </w:rPr>
          <w:t>Step 12 - Deploy Orbit API</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25</w:t>
        </w:r>
        <w:r w:rsidRPr="002515CE">
          <w:rPr>
            <w:rFonts w:asciiTheme="majorHAnsi" w:hAnsiTheme="majorHAnsi" w:cstheme="majorHAnsi"/>
            <w:noProof/>
            <w:sz w:val="24"/>
            <w:szCs w:val="24"/>
          </w:rPr>
          <w:fldChar w:fldCharType="end"/>
        </w:r>
      </w:hyperlink>
    </w:p>
    <w:p w14:paraId="28A79B4D" w14:textId="49966CC4" w:rsidR="00940EF6" w:rsidRPr="002515CE" w:rsidRDefault="00940EF6">
      <w:pPr>
        <w:pStyle w:val="TOC3"/>
        <w:tabs>
          <w:tab w:val="right" w:leader="dot" w:pos="8630"/>
        </w:tabs>
        <w:rPr>
          <w:rFonts w:asciiTheme="majorHAnsi" w:hAnsiTheme="majorHAnsi" w:cstheme="majorHAnsi"/>
          <w:noProof/>
          <w:sz w:val="24"/>
          <w:szCs w:val="24"/>
        </w:rPr>
      </w:pPr>
      <w:hyperlink w:anchor="_Toc230176826" w:history="1">
        <w:r w:rsidRPr="002515CE">
          <w:rPr>
            <w:rStyle w:val="Hyperlink"/>
            <w:rFonts w:asciiTheme="majorHAnsi" w:hAnsiTheme="majorHAnsi" w:cstheme="majorHAnsi"/>
            <w:noProof/>
            <w:sz w:val="24"/>
            <w:szCs w:val="24"/>
          </w:rPr>
          <w:t>Step 13 - Deploy Orbit frontend</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25</w:t>
        </w:r>
        <w:r w:rsidRPr="002515CE">
          <w:rPr>
            <w:rFonts w:asciiTheme="majorHAnsi" w:hAnsiTheme="majorHAnsi" w:cstheme="majorHAnsi"/>
            <w:noProof/>
            <w:sz w:val="24"/>
            <w:szCs w:val="24"/>
          </w:rPr>
          <w:fldChar w:fldCharType="end"/>
        </w:r>
      </w:hyperlink>
    </w:p>
    <w:p w14:paraId="40FD9417" w14:textId="28E55F52" w:rsidR="00940EF6" w:rsidRPr="002515CE" w:rsidRDefault="00940EF6">
      <w:pPr>
        <w:pStyle w:val="TOC3"/>
        <w:tabs>
          <w:tab w:val="right" w:leader="dot" w:pos="8630"/>
        </w:tabs>
        <w:rPr>
          <w:rFonts w:asciiTheme="majorHAnsi" w:hAnsiTheme="majorHAnsi" w:cstheme="majorHAnsi"/>
          <w:noProof/>
          <w:sz w:val="24"/>
          <w:szCs w:val="24"/>
        </w:rPr>
      </w:pPr>
      <w:hyperlink w:anchor="_Toc230176827" w:history="1">
        <w:r w:rsidRPr="002515CE">
          <w:rPr>
            <w:rStyle w:val="Hyperlink"/>
            <w:rFonts w:asciiTheme="majorHAnsi" w:hAnsiTheme="majorHAnsi" w:cstheme="majorHAnsi"/>
            <w:noProof/>
            <w:sz w:val="24"/>
            <w:szCs w:val="24"/>
          </w:rPr>
          <w:t>Step 14 - Create Front Door</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26</w:t>
        </w:r>
        <w:r w:rsidRPr="002515CE">
          <w:rPr>
            <w:rFonts w:asciiTheme="majorHAnsi" w:hAnsiTheme="majorHAnsi" w:cstheme="majorHAnsi"/>
            <w:noProof/>
            <w:sz w:val="24"/>
            <w:szCs w:val="24"/>
          </w:rPr>
          <w:fldChar w:fldCharType="end"/>
        </w:r>
      </w:hyperlink>
    </w:p>
    <w:p w14:paraId="5B271C42" w14:textId="02518490" w:rsidR="00940EF6" w:rsidRPr="002515CE" w:rsidRDefault="00940EF6">
      <w:pPr>
        <w:pStyle w:val="TOC3"/>
        <w:tabs>
          <w:tab w:val="right" w:leader="dot" w:pos="8630"/>
        </w:tabs>
        <w:rPr>
          <w:rFonts w:asciiTheme="majorHAnsi" w:hAnsiTheme="majorHAnsi" w:cstheme="majorHAnsi"/>
          <w:noProof/>
          <w:sz w:val="24"/>
          <w:szCs w:val="24"/>
        </w:rPr>
      </w:pPr>
      <w:hyperlink w:anchor="_Toc230176828" w:history="1">
        <w:r w:rsidRPr="002515CE">
          <w:rPr>
            <w:rStyle w:val="Hyperlink"/>
            <w:rFonts w:asciiTheme="majorHAnsi" w:hAnsiTheme="majorHAnsi" w:cstheme="majorHAnsi"/>
            <w:noProof/>
            <w:sz w:val="24"/>
            <w:szCs w:val="24"/>
          </w:rPr>
          <w:t>Step 15 - Connect klabsorbit.com</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26</w:t>
        </w:r>
        <w:r w:rsidRPr="002515CE">
          <w:rPr>
            <w:rFonts w:asciiTheme="majorHAnsi" w:hAnsiTheme="majorHAnsi" w:cstheme="majorHAnsi"/>
            <w:noProof/>
            <w:sz w:val="24"/>
            <w:szCs w:val="24"/>
          </w:rPr>
          <w:fldChar w:fldCharType="end"/>
        </w:r>
      </w:hyperlink>
    </w:p>
    <w:p w14:paraId="0673EB05" w14:textId="078CB4DA" w:rsidR="00940EF6" w:rsidRPr="002515CE" w:rsidRDefault="00940EF6">
      <w:pPr>
        <w:pStyle w:val="TOC3"/>
        <w:tabs>
          <w:tab w:val="right" w:leader="dot" w:pos="8630"/>
        </w:tabs>
        <w:rPr>
          <w:rFonts w:asciiTheme="majorHAnsi" w:hAnsiTheme="majorHAnsi" w:cstheme="majorHAnsi"/>
          <w:noProof/>
          <w:sz w:val="24"/>
          <w:szCs w:val="24"/>
        </w:rPr>
      </w:pPr>
      <w:hyperlink w:anchor="_Toc230176829" w:history="1">
        <w:r w:rsidRPr="002515CE">
          <w:rPr>
            <w:rStyle w:val="Hyperlink"/>
            <w:rFonts w:asciiTheme="majorHAnsi" w:hAnsiTheme="majorHAnsi" w:cstheme="majorHAnsi"/>
            <w:noProof/>
            <w:sz w:val="24"/>
            <w:szCs w:val="24"/>
          </w:rPr>
          <w:t>Step 16 - Configure Entra app registration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_Toc230176829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26</w:t>
        </w:r>
        <w:r w:rsidRPr="002515CE">
          <w:rPr>
            <w:rFonts w:asciiTheme="majorHAnsi" w:hAnsiTheme="majorHAnsi" w:cstheme="majorHAnsi"/>
            <w:noProof/>
            <w:sz w:val="24"/>
            <w:szCs w:val="24"/>
          </w:rPr>
          <w:fldChar w:fldCharType="end"/>
        </w:r>
      </w:hyperlink>
    </w:p>
    <w:p w14:paraId="280BC688" w14:textId="52C8550B" w:rsidR="00940EF6" w:rsidRPr="002515CE" w:rsidRDefault="00940EF6">
      <w:pPr>
        <w:pStyle w:val="TOC3"/>
        <w:tabs>
          <w:tab w:val="right" w:leader="dot" w:pos="8630"/>
        </w:tabs>
        <w:rPr>
          <w:rFonts w:asciiTheme="majorHAnsi" w:hAnsiTheme="majorHAnsi" w:cstheme="majorHAnsi"/>
          <w:noProof/>
          <w:sz w:val="24"/>
          <w:szCs w:val="24"/>
        </w:rPr>
      </w:pPr>
      <w:hyperlink w:anchor="_Toc230176830" w:history="1">
        <w:r w:rsidRPr="002515CE">
          <w:rPr>
            <w:rStyle w:val="Hyperlink"/>
            <w:rFonts w:asciiTheme="majorHAnsi" w:hAnsiTheme="majorHAnsi" w:cstheme="majorHAnsi"/>
            <w:noProof/>
            <w:sz w:val="24"/>
            <w:szCs w:val="24"/>
          </w:rPr>
          <w:t>Step 17 - Create Orbit access groups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_Toc230176830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26</w:t>
        </w:r>
        <w:r w:rsidRPr="002515CE">
          <w:rPr>
            <w:rFonts w:asciiTheme="majorHAnsi" w:hAnsiTheme="majorHAnsi" w:cstheme="majorHAnsi"/>
            <w:noProof/>
            <w:sz w:val="24"/>
            <w:szCs w:val="24"/>
          </w:rPr>
          <w:fldChar w:fldCharType="end"/>
        </w:r>
      </w:hyperlink>
    </w:p>
    <w:p w14:paraId="66CC0D38" w14:textId="687ED617" w:rsidR="00940EF6" w:rsidRPr="002515CE" w:rsidRDefault="00940EF6">
      <w:pPr>
        <w:pStyle w:val="TOC3"/>
        <w:tabs>
          <w:tab w:val="right" w:leader="dot" w:pos="8630"/>
        </w:tabs>
        <w:rPr>
          <w:rFonts w:asciiTheme="majorHAnsi" w:hAnsiTheme="majorHAnsi" w:cstheme="majorHAnsi"/>
          <w:noProof/>
          <w:sz w:val="24"/>
          <w:szCs w:val="24"/>
        </w:rPr>
      </w:pPr>
      <w:hyperlink w:anchor="_Toc230176831" w:history="1">
        <w:r w:rsidRPr="002515CE">
          <w:rPr>
            <w:rStyle w:val="Hyperlink"/>
            <w:rFonts w:asciiTheme="majorHAnsi" w:hAnsiTheme="majorHAnsi" w:cstheme="majorHAnsi"/>
            <w:noProof/>
            <w:sz w:val="24"/>
            <w:szCs w:val="24"/>
          </w:rPr>
          <w:t>Step 18 - Configure Clerk integration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_Toc230176831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26</w:t>
        </w:r>
        <w:r w:rsidRPr="002515CE">
          <w:rPr>
            <w:rFonts w:asciiTheme="majorHAnsi" w:hAnsiTheme="majorHAnsi" w:cstheme="majorHAnsi"/>
            <w:noProof/>
            <w:sz w:val="24"/>
            <w:szCs w:val="24"/>
          </w:rPr>
          <w:fldChar w:fldCharType="end"/>
        </w:r>
      </w:hyperlink>
    </w:p>
    <w:p w14:paraId="3D2417ED" w14:textId="3A2B94AA" w:rsidR="00940EF6" w:rsidRPr="002515CE" w:rsidRDefault="00940EF6">
      <w:pPr>
        <w:pStyle w:val="TOC3"/>
        <w:tabs>
          <w:tab w:val="right" w:leader="dot" w:pos="8630"/>
        </w:tabs>
        <w:rPr>
          <w:rFonts w:asciiTheme="majorHAnsi" w:hAnsiTheme="majorHAnsi" w:cstheme="majorHAnsi"/>
          <w:noProof/>
          <w:sz w:val="24"/>
          <w:szCs w:val="24"/>
        </w:rPr>
      </w:pPr>
      <w:hyperlink w:anchor="_Toc230176832" w:history="1">
        <w:r w:rsidRPr="002515CE">
          <w:rPr>
            <w:rStyle w:val="Hyperlink"/>
            <w:rFonts w:asciiTheme="majorHAnsi" w:hAnsiTheme="majorHAnsi" w:cstheme="majorHAnsi"/>
            <w:noProof/>
            <w:sz w:val="24"/>
            <w:szCs w:val="24"/>
          </w:rPr>
          <w:t>Step 19 - Wire diagnostics</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_Toc230176832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27</w:t>
        </w:r>
        <w:r w:rsidRPr="002515CE">
          <w:rPr>
            <w:rFonts w:asciiTheme="majorHAnsi" w:hAnsiTheme="majorHAnsi" w:cstheme="majorHAnsi"/>
            <w:noProof/>
            <w:sz w:val="24"/>
            <w:szCs w:val="24"/>
          </w:rPr>
          <w:fldChar w:fldCharType="end"/>
        </w:r>
      </w:hyperlink>
    </w:p>
    <w:p w14:paraId="2CB6BF3B" w14:textId="6DE2AE7C" w:rsidR="00940EF6" w:rsidRPr="002515CE" w:rsidRDefault="00940EF6">
      <w:pPr>
        <w:pStyle w:val="TOC3"/>
        <w:tabs>
          <w:tab w:val="right" w:leader="dot" w:pos="8630"/>
        </w:tabs>
        <w:rPr>
          <w:rFonts w:asciiTheme="majorHAnsi" w:hAnsiTheme="majorHAnsi" w:cstheme="majorHAnsi"/>
          <w:noProof/>
          <w:sz w:val="24"/>
          <w:szCs w:val="24"/>
        </w:rPr>
      </w:pPr>
      <w:hyperlink w:anchor="_Toc230176833" w:history="1">
        <w:r w:rsidRPr="002515CE">
          <w:rPr>
            <w:rStyle w:val="Hyperlink"/>
            <w:rFonts w:asciiTheme="majorHAnsi" w:hAnsiTheme="majorHAnsi" w:cstheme="majorHAnsi"/>
            <w:noProof/>
            <w:sz w:val="24"/>
            <w:szCs w:val="24"/>
          </w:rPr>
          <w:t>Step 20 - Validate end to end</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_Toc230176833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27</w:t>
        </w:r>
        <w:r w:rsidRPr="002515CE">
          <w:rPr>
            <w:rFonts w:asciiTheme="majorHAnsi" w:hAnsiTheme="majorHAnsi" w:cstheme="majorHAnsi"/>
            <w:noProof/>
            <w:sz w:val="24"/>
            <w:szCs w:val="24"/>
          </w:rPr>
          <w:fldChar w:fldCharType="end"/>
        </w:r>
      </w:hyperlink>
    </w:p>
    <w:p w14:paraId="79D315FE" w14:textId="1497BC0B" w:rsidR="00940EF6" w:rsidRPr="002515CE" w:rsidRDefault="00940EF6">
      <w:pPr>
        <w:pStyle w:val="TOC2"/>
        <w:tabs>
          <w:tab w:val="right" w:leader="dot" w:pos="8630"/>
        </w:tabs>
        <w:rPr>
          <w:rFonts w:asciiTheme="majorHAnsi" w:hAnsiTheme="majorHAnsi" w:cstheme="majorHAnsi"/>
          <w:noProof/>
          <w:sz w:val="24"/>
          <w:szCs w:val="24"/>
        </w:rPr>
      </w:pPr>
      <w:hyperlink w:anchor="_Toc230176834" w:history="1">
        <w:r w:rsidRPr="002515CE">
          <w:rPr>
            <w:rStyle w:val="Hyperlink"/>
            <w:rFonts w:asciiTheme="majorHAnsi" w:hAnsiTheme="majorHAnsi" w:cstheme="majorHAnsi"/>
            <w:noProof/>
            <w:sz w:val="24"/>
            <w:szCs w:val="24"/>
          </w:rPr>
          <w:t>16.5 Azure CLI Build Sequence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_Toc230176834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27</w:t>
        </w:r>
        <w:r w:rsidRPr="002515CE">
          <w:rPr>
            <w:rFonts w:asciiTheme="majorHAnsi" w:hAnsiTheme="majorHAnsi" w:cstheme="majorHAnsi"/>
            <w:noProof/>
            <w:sz w:val="24"/>
            <w:szCs w:val="24"/>
          </w:rPr>
          <w:fldChar w:fldCharType="end"/>
        </w:r>
      </w:hyperlink>
    </w:p>
    <w:p w14:paraId="31FFB021" w14:textId="0714F224" w:rsidR="00940EF6" w:rsidRPr="002515CE" w:rsidRDefault="00940EF6">
      <w:pPr>
        <w:pStyle w:val="TOC2"/>
        <w:tabs>
          <w:tab w:val="right" w:leader="dot" w:pos="8630"/>
        </w:tabs>
        <w:rPr>
          <w:rFonts w:asciiTheme="majorHAnsi" w:hAnsiTheme="majorHAnsi" w:cstheme="majorHAnsi"/>
          <w:noProof/>
          <w:sz w:val="24"/>
          <w:szCs w:val="24"/>
        </w:rPr>
      </w:pPr>
      <w:hyperlink w:anchor="_Toc230176835" w:history="1">
        <w:r w:rsidRPr="002515CE">
          <w:rPr>
            <w:rStyle w:val="Hyperlink"/>
            <w:rFonts w:asciiTheme="majorHAnsi" w:hAnsiTheme="majorHAnsi" w:cstheme="majorHAnsi"/>
            <w:noProof/>
            <w:sz w:val="24"/>
            <w:szCs w:val="24"/>
          </w:rPr>
          <w:t>16.6 Network Watcher Deployment Rule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_Toc230176835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28</w:t>
        </w:r>
        <w:r w:rsidRPr="002515CE">
          <w:rPr>
            <w:rFonts w:asciiTheme="majorHAnsi" w:hAnsiTheme="majorHAnsi" w:cstheme="majorHAnsi"/>
            <w:noProof/>
            <w:sz w:val="24"/>
            <w:szCs w:val="24"/>
          </w:rPr>
          <w:fldChar w:fldCharType="end"/>
        </w:r>
      </w:hyperlink>
    </w:p>
    <w:p w14:paraId="3914A965" w14:textId="323BCBF6" w:rsidR="00940EF6" w:rsidRPr="002515CE" w:rsidRDefault="00940EF6">
      <w:pPr>
        <w:pStyle w:val="TOC2"/>
        <w:tabs>
          <w:tab w:val="right" w:leader="dot" w:pos="8630"/>
        </w:tabs>
        <w:rPr>
          <w:rFonts w:asciiTheme="majorHAnsi" w:hAnsiTheme="majorHAnsi" w:cstheme="majorHAnsi"/>
          <w:noProof/>
          <w:sz w:val="24"/>
          <w:szCs w:val="24"/>
        </w:rPr>
      </w:pPr>
      <w:hyperlink w:anchor="_Toc230176836" w:history="1">
        <w:r w:rsidRPr="002515CE">
          <w:rPr>
            <w:rStyle w:val="Hyperlink"/>
            <w:rFonts w:asciiTheme="majorHAnsi" w:hAnsiTheme="majorHAnsi" w:cstheme="majorHAnsi"/>
            <w:noProof/>
            <w:sz w:val="24"/>
            <w:szCs w:val="24"/>
          </w:rPr>
          <w:t>16.7 Key Vault Deployment Rule</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_Toc230176836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28</w:t>
        </w:r>
        <w:r w:rsidRPr="002515CE">
          <w:rPr>
            <w:rFonts w:asciiTheme="majorHAnsi" w:hAnsiTheme="majorHAnsi" w:cstheme="majorHAnsi"/>
            <w:noProof/>
            <w:sz w:val="24"/>
            <w:szCs w:val="24"/>
          </w:rPr>
          <w:fldChar w:fldCharType="end"/>
        </w:r>
      </w:hyperlink>
    </w:p>
    <w:p w14:paraId="68B36580" w14:textId="654861A5" w:rsidR="00940EF6" w:rsidRPr="002515CE" w:rsidRDefault="00940EF6">
      <w:pPr>
        <w:pStyle w:val="TOC2"/>
        <w:tabs>
          <w:tab w:val="right" w:leader="dot" w:pos="8630"/>
        </w:tabs>
        <w:rPr>
          <w:rFonts w:asciiTheme="majorHAnsi" w:hAnsiTheme="majorHAnsi" w:cstheme="majorHAnsi"/>
          <w:noProof/>
          <w:sz w:val="24"/>
          <w:szCs w:val="24"/>
        </w:rPr>
      </w:pPr>
      <w:hyperlink w:anchor="_Toc230176837" w:history="1">
        <w:r w:rsidRPr="002515CE">
          <w:rPr>
            <w:rStyle w:val="Hyperlink"/>
            <w:rFonts w:asciiTheme="majorHAnsi" w:hAnsiTheme="majorHAnsi" w:cstheme="majorHAnsi"/>
            <w:noProof/>
            <w:sz w:val="24"/>
            <w:szCs w:val="24"/>
          </w:rPr>
          <w:t>16.8 Cost Controls Before Build-Out</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_Toc230176837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28</w:t>
        </w:r>
        <w:r w:rsidRPr="002515CE">
          <w:rPr>
            <w:rFonts w:asciiTheme="majorHAnsi" w:hAnsiTheme="majorHAnsi" w:cstheme="majorHAnsi"/>
            <w:noProof/>
            <w:sz w:val="24"/>
            <w:szCs w:val="24"/>
          </w:rPr>
          <w:fldChar w:fldCharType="end"/>
        </w:r>
      </w:hyperlink>
    </w:p>
    <w:p w14:paraId="4549C939" w14:textId="6108AF55" w:rsidR="00940EF6" w:rsidRPr="002515CE" w:rsidRDefault="00940EF6">
      <w:pPr>
        <w:pStyle w:val="TOC2"/>
        <w:tabs>
          <w:tab w:val="right" w:leader="dot" w:pos="8630"/>
        </w:tabs>
        <w:rPr>
          <w:rFonts w:asciiTheme="majorHAnsi" w:hAnsiTheme="majorHAnsi" w:cstheme="majorHAnsi"/>
          <w:noProof/>
          <w:sz w:val="24"/>
          <w:szCs w:val="24"/>
        </w:rPr>
      </w:pPr>
      <w:hyperlink w:anchor="_Toc230176838" w:history="1">
        <w:r w:rsidRPr="002515CE">
          <w:rPr>
            <w:rStyle w:val="Hyperlink"/>
            <w:rFonts w:asciiTheme="majorHAnsi" w:hAnsiTheme="majorHAnsi" w:cstheme="majorHAnsi"/>
            <w:noProof/>
            <w:sz w:val="24"/>
            <w:szCs w:val="24"/>
          </w:rPr>
          <w:t>16.9 Production Readiness Validation</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_Toc230176838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29</w:t>
        </w:r>
        <w:r w:rsidRPr="002515CE">
          <w:rPr>
            <w:rFonts w:asciiTheme="majorHAnsi" w:hAnsiTheme="majorHAnsi" w:cstheme="majorHAnsi"/>
            <w:noProof/>
            <w:sz w:val="24"/>
            <w:szCs w:val="24"/>
          </w:rPr>
          <w:fldChar w:fldCharType="end"/>
        </w:r>
      </w:hyperlink>
    </w:p>
    <w:p w14:paraId="3AB974DC" w14:textId="6EAA30BD" w:rsidR="00940EF6" w:rsidRPr="002515CE" w:rsidRDefault="00940EF6">
      <w:pPr>
        <w:pStyle w:val="TOC1"/>
        <w:tabs>
          <w:tab w:val="right" w:leader="dot" w:pos="8630"/>
        </w:tabs>
        <w:rPr>
          <w:rFonts w:asciiTheme="majorHAnsi" w:hAnsiTheme="majorHAnsi" w:cstheme="majorHAnsi"/>
          <w:noProof/>
          <w:sz w:val="24"/>
          <w:szCs w:val="24"/>
        </w:rPr>
      </w:pPr>
      <w:hyperlink w:anchor="_Toc230176839" w:history="1">
        <w:r w:rsidRPr="002515CE">
          <w:rPr>
            <w:rStyle w:val="Hyperlink"/>
            <w:rFonts w:asciiTheme="majorHAnsi" w:hAnsiTheme="majorHAnsi" w:cstheme="majorHAnsi"/>
            <w:noProof/>
            <w:sz w:val="24"/>
            <w:szCs w:val="24"/>
          </w:rPr>
          <w:t>17. Azure Naming Convention to Resource Mapping</w:t>
        </w:r>
        <w:r w:rsidRPr="002515CE">
          <w:rPr>
            <w:rFonts w:asciiTheme="majorHAnsi" w:hAnsiTheme="majorHAnsi" w:cstheme="majorHAnsi"/>
            <w:noProof/>
            <w:sz w:val="24"/>
            <w:szCs w:val="24"/>
          </w:rPr>
          <w:tab/>
        </w:r>
        <w:r w:rsidRPr="002515CE">
          <w:rPr>
            <w:rFonts w:asciiTheme="majorHAnsi" w:hAnsiTheme="majorHAnsi" w:cstheme="majorHAnsi"/>
            <w:noProof/>
            <w:sz w:val="24"/>
            <w:szCs w:val="24"/>
          </w:rPr>
          <w:fldChar w:fldCharType="begin"/>
        </w:r>
        <w:r w:rsidRPr="002515CE">
          <w:rPr>
            <w:rFonts w:asciiTheme="majorHAnsi" w:hAnsiTheme="majorHAnsi" w:cstheme="majorHAnsi"/>
            <w:noProof/>
            <w:sz w:val="24"/>
            <w:szCs w:val="24"/>
          </w:rPr>
          <w:instrText xml:space="preserve"> PAGEREF _Toc230176839 \h </w:instrText>
        </w:r>
        <w:r w:rsidRPr="002515CE">
          <w:rPr>
            <w:rFonts w:asciiTheme="majorHAnsi" w:hAnsiTheme="majorHAnsi" w:cstheme="majorHAnsi"/>
            <w:noProof/>
            <w:sz w:val="24"/>
            <w:szCs w:val="24"/>
          </w:rPr>
        </w:r>
        <w:r w:rsidRPr="002515CE">
          <w:rPr>
            <w:rFonts w:asciiTheme="majorHAnsi" w:hAnsiTheme="majorHAnsi" w:cstheme="majorHAnsi"/>
            <w:noProof/>
            <w:sz w:val="24"/>
            <w:szCs w:val="24"/>
          </w:rPr>
          <w:fldChar w:fldCharType="separate"/>
        </w:r>
        <w:r w:rsidRPr="002515CE">
          <w:rPr>
            <w:rFonts w:asciiTheme="majorHAnsi" w:hAnsiTheme="majorHAnsi" w:cstheme="majorHAnsi"/>
            <w:noProof/>
            <w:sz w:val="24"/>
            <w:szCs w:val="24"/>
          </w:rPr>
          <w:t>30</w:t>
        </w:r>
        <w:r w:rsidRPr="002515CE">
          <w:rPr>
            <w:rFonts w:asciiTheme="majorHAnsi" w:hAnsiTheme="majorHAnsi" w:cstheme="majorHAnsi"/>
            <w:noProof/>
            <w:sz w:val="24"/>
            <w:szCs w:val="24"/>
          </w:rPr>
          <w:fldChar w:fldCharType="end"/>
        </w:r>
      </w:hyperlink>
    </w:p>
    <w:p w14:paraId="3F59201C" w14:textId="77C4FE00"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fldChar w:fldCharType="end"/>
      </w:r>
    </w:p>
    <w:p w14:paraId="10BB377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Command Center — Architecture Specification</w:t>
      </w:r>
    </w:p>
    <w:p w14:paraId="6D4720EA"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lastRenderedPageBreak/>
        <w:t>Orbit consolidates monitoring data from Azure Monitor, Log Analytics, Application Insights, Network Watcher, Azure Cost Management, Clerk telemetry, and application-specific telemetry APIs. The platform intentionally avoids long-term telemetry warehousing and instead performs live aggregation from authoritative Azure and application sources.</w:t>
      </w:r>
    </w:p>
    <w:p w14:paraId="66A84FEB" w14:textId="77777777" w:rsidR="00C826E9" w:rsidRDefault="00000000">
      <w:r>
        <w:t>Orbit consolidates monitoring data from Azure Monitor, Log Analytics, Application Insights, Network Watcher, Azure Cost Management, Clerk telemetry, and application-specific telemetry APIs.</w:t>
      </w:r>
    </w:p>
    <w:p w14:paraId="620ED7C4" w14:textId="77777777" w:rsidR="00C826E9" w:rsidRDefault="00000000">
      <w:pPr>
        <w:pStyle w:val="Heading2"/>
      </w:pPr>
      <w:r>
        <w:t>Operational Monitoring Scope</w:t>
      </w:r>
    </w:p>
    <w:p w14:paraId="6E785B88" w14:textId="77777777" w:rsidR="00C826E9" w:rsidRDefault="00000000">
      <w:r>
        <w:t>Orbit uses Microsoft Entra ID authentication with MFA enforcement through Conditional Access policies. Access is restricted through Orbit-* RBAC groups, managed identities are used for Azure API access, and all secrets are stored in Azure Key Vault.</w:t>
      </w:r>
    </w:p>
    <w:p w14:paraId="1A5C6EBD" w14:textId="77777777" w:rsidR="00C826E9" w:rsidRDefault="00000000">
      <w:pPr>
        <w:pStyle w:val="Heading2"/>
      </w:pPr>
      <w:r>
        <w:t>Platform Security Model</w:t>
      </w:r>
    </w:p>
    <w:p w14:paraId="67110593" w14:textId="77777777" w:rsidR="00C826E9" w:rsidRDefault="00000000">
      <w:r>
        <w:t>• Centralized Azure infrastructure monitoring</w:t>
      </w:r>
      <w:r>
        <w:br/>
        <w:t>• Real-time telemetry aggregation</w:t>
      </w:r>
      <w:r>
        <w:br/>
        <w:t>• Azure Resource Graph and Cost Management integration</w:t>
      </w:r>
      <w:r>
        <w:br/>
        <w:t>• Network Watcher diagnostics and connectivity monitoring</w:t>
      </w:r>
      <w:r>
        <w:br/>
        <w:t>• Centralized alerting and operational awareness</w:t>
      </w:r>
      <w:r>
        <w:br/>
        <w:t>• RBAC-secured operational access using Microsoft Entra ID</w:t>
      </w:r>
      <w:r>
        <w:br/>
        <w:t>• Clerk organization and user-activity integration</w:t>
      </w:r>
      <w:r>
        <w:br/>
        <w:t>• FinOps segmentation and cost-boundary enforcement</w:t>
      </w:r>
    </w:p>
    <w:p w14:paraId="130FCC18" w14:textId="77777777" w:rsidR="00C826E9" w:rsidRDefault="00000000">
      <w:pPr>
        <w:pStyle w:val="Heading2"/>
      </w:pPr>
      <w:r>
        <w:t>Core Platform Capabilities</w:t>
      </w:r>
    </w:p>
    <w:p w14:paraId="60157994" w14:textId="77777777" w:rsidR="00C826E9" w:rsidRDefault="00000000">
      <w:r>
        <w:t>Orbit Command Center is the centralized operational platform for Kinisis-hosted applications. The platform aggregates live Azure infrastructure telemetry, network diagnostics, application health, alerting, cost-management data, and user engagement metrics into a unified Azure Portal–styled interface.</w:t>
      </w:r>
    </w:p>
    <w:p w14:paraId="32E5F9D5" w14:textId="77777777" w:rsidR="00C826E9" w:rsidRDefault="00000000">
      <w:pPr>
        <w:pStyle w:val="Heading2"/>
      </w:pPr>
      <w:r>
        <w:t>Platform Overview</w:t>
      </w:r>
    </w:p>
    <w:p w14:paraId="4D89365D"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 uses Microsoft Entra ID authentication with MFA enforcement through Conditional Access policies. Access is restricted through Orbit-* RBAC groups, managed identities are used for Azure API access, and all secrets are stored in Azure Key Vault. HTTPS-only access, WAF enforcement, audit logging, and subscription-level governance policies are mandatory across the platform.</w:t>
      </w:r>
    </w:p>
    <w:p w14:paraId="66494B8B"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 Centralized Azure infrastructure monitoring</w:t>
      </w:r>
      <w:r w:rsidRPr="002515CE">
        <w:rPr>
          <w:rFonts w:asciiTheme="majorHAnsi" w:hAnsiTheme="majorHAnsi" w:cstheme="majorHAnsi"/>
          <w:sz w:val="24"/>
          <w:szCs w:val="24"/>
        </w:rPr>
        <w:br/>
        <w:t>• Real-time telemetry aggregation</w:t>
      </w:r>
      <w:r w:rsidRPr="002515CE">
        <w:rPr>
          <w:rFonts w:asciiTheme="majorHAnsi" w:hAnsiTheme="majorHAnsi" w:cstheme="majorHAnsi"/>
          <w:sz w:val="24"/>
          <w:szCs w:val="24"/>
        </w:rPr>
        <w:br/>
        <w:t>• Azure Resource Graph and Cost Management integration</w:t>
      </w:r>
      <w:r w:rsidRPr="002515CE">
        <w:rPr>
          <w:rFonts w:asciiTheme="majorHAnsi" w:hAnsiTheme="majorHAnsi" w:cstheme="majorHAnsi"/>
          <w:sz w:val="24"/>
          <w:szCs w:val="24"/>
        </w:rPr>
        <w:br/>
      </w:r>
      <w:r w:rsidRPr="002515CE">
        <w:rPr>
          <w:rFonts w:asciiTheme="majorHAnsi" w:hAnsiTheme="majorHAnsi" w:cstheme="majorHAnsi"/>
          <w:sz w:val="24"/>
          <w:szCs w:val="24"/>
        </w:rPr>
        <w:lastRenderedPageBreak/>
        <w:t>• Network Watcher diagnostics and connectivity monitoring</w:t>
      </w:r>
      <w:r w:rsidRPr="002515CE">
        <w:rPr>
          <w:rFonts w:asciiTheme="majorHAnsi" w:hAnsiTheme="majorHAnsi" w:cstheme="majorHAnsi"/>
          <w:sz w:val="24"/>
          <w:szCs w:val="24"/>
        </w:rPr>
        <w:br/>
        <w:t>• Centralized alerting and operational awareness</w:t>
      </w:r>
      <w:r w:rsidRPr="002515CE">
        <w:rPr>
          <w:rFonts w:asciiTheme="majorHAnsi" w:hAnsiTheme="majorHAnsi" w:cstheme="majorHAnsi"/>
          <w:sz w:val="24"/>
          <w:szCs w:val="24"/>
        </w:rPr>
        <w:br/>
        <w:t>• RBAC-secured operational access using Microsoft Entra ID</w:t>
      </w:r>
      <w:r w:rsidRPr="002515CE">
        <w:rPr>
          <w:rFonts w:asciiTheme="majorHAnsi" w:hAnsiTheme="majorHAnsi" w:cstheme="majorHAnsi"/>
          <w:sz w:val="24"/>
          <w:szCs w:val="24"/>
        </w:rPr>
        <w:br/>
        <w:t>• Clerk organization and user-activity integration</w:t>
      </w:r>
      <w:r w:rsidRPr="002515CE">
        <w:rPr>
          <w:rFonts w:asciiTheme="majorHAnsi" w:hAnsiTheme="majorHAnsi" w:cstheme="majorHAnsi"/>
          <w:sz w:val="24"/>
          <w:szCs w:val="24"/>
        </w:rPr>
        <w:br/>
        <w:t>• FinOps segmentation and cost-boundary enforcement</w:t>
      </w:r>
      <w:r w:rsidRPr="002515CE">
        <w:rPr>
          <w:rFonts w:asciiTheme="majorHAnsi" w:hAnsiTheme="majorHAnsi" w:cstheme="majorHAnsi"/>
          <w:sz w:val="24"/>
          <w:szCs w:val="24"/>
        </w:rPr>
        <w:br/>
        <w:t>• Azure-native deployment architecture using Front Door and Container Apps</w:t>
      </w:r>
    </w:p>
    <w:p w14:paraId="5AC6835D"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 Command Center is the centralized operational platform for Kinisis-hosted applications. The platform aggregates live Azure infrastructure telemetry, network diagnostics, application health, alerting, cost-management data, and user engagement metrics into a unified Azure Portal–styled interface. Orbit replaces the earlier Global App Admin Center (GAAC) naming and consolidates operational visibility for production and development workloads into a single engineer-facing platform.</w:t>
      </w:r>
    </w:p>
    <w:p w14:paraId="794CAAC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Version: 3.0 Status: Draft — supersedes Kinisis Orbit Architecture Specification v2 Owner: Platform Engineering</w:t>
      </w:r>
    </w:p>
    <w:p w14:paraId="0D404B2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Rebrand note. The product previously codenamed Global App Admin Center (Orbit) and then Kinisis Orbit is now Orbit Command Center (or "Orbit" for short). Internal identifiers (workspace slug orbit, Entra group prefix Orbit-*) are intentionally retained to minimise churn in deployment pipelines and existing RBAC bindings. New Azure resources provisioned for v3 use the orbit prefix (see §5). Only user-facing surfaces and net-new infrastructure carry the rebrand.</w:t>
      </w:r>
    </w:p>
    <w:p w14:paraId="768F7C6A" w14:textId="77777777" w:rsidR="00E35981" w:rsidRPr="002515CE" w:rsidRDefault="007D4632">
      <w:pPr>
        <w:pStyle w:val="Heading1"/>
        <w:rPr>
          <w:rFonts w:cstheme="majorHAnsi"/>
          <w:sz w:val="24"/>
          <w:szCs w:val="24"/>
        </w:rPr>
      </w:pPr>
      <w:bookmarkStart w:id="1" w:name="_Toc230176770"/>
      <w:r w:rsidRPr="002515CE">
        <w:rPr>
          <w:rFonts w:cstheme="majorHAnsi"/>
          <w:sz w:val="24"/>
          <w:szCs w:val="24"/>
        </w:rPr>
        <w:t>1. Executive Summary</w:t>
      </w:r>
      <w:bookmarkEnd w:id="1"/>
    </w:p>
    <w:p w14:paraId="79A4F4A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Command Center is the centralised admin centre for every Kinisis-operated application. It gives engineers and operators a unified, real-time view of Azure infrastructure, network health, application telemetry, alerts, cost, and end-user engagement across all production workloads hosted in eastus2 of every Kinisis app from a single Azure Portal–styled dashboard.</w:t>
      </w:r>
    </w:p>
    <w:p w14:paraId="4849A39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The platform aggregates live operational data directly from Azure, Clerk, and per-application telemetry APIs. No monitoring, telemetry, end-user, or customer data </w:t>
      </w:r>
      <w:proofErr w:type="gramStart"/>
      <w:r w:rsidRPr="002515CE">
        <w:rPr>
          <w:rFonts w:asciiTheme="majorHAnsi" w:hAnsiTheme="majorHAnsi" w:cstheme="majorHAnsi"/>
          <w:sz w:val="24"/>
          <w:szCs w:val="24"/>
        </w:rPr>
        <w:t>is persisted</w:t>
      </w:r>
      <w:proofErr w:type="gramEnd"/>
      <w:r w:rsidRPr="002515CE">
        <w:rPr>
          <w:rFonts w:asciiTheme="majorHAnsi" w:hAnsiTheme="majorHAnsi" w:cstheme="majorHAnsi"/>
          <w:sz w:val="24"/>
          <w:szCs w:val="24"/>
        </w:rPr>
        <w:t xml:space="preserve"> inside Orbit — all data is queried live from authoritative sources at request time.</w:t>
      </w:r>
    </w:p>
    <w:p w14:paraId="4C150536" w14:textId="77777777" w:rsidR="00E35981" w:rsidRPr="002515CE" w:rsidRDefault="007D4632">
      <w:pPr>
        <w:pStyle w:val="Heading1"/>
        <w:rPr>
          <w:rFonts w:cstheme="majorHAnsi"/>
          <w:sz w:val="24"/>
          <w:szCs w:val="24"/>
        </w:rPr>
      </w:pPr>
      <w:bookmarkStart w:id="2" w:name="_Toc230176771"/>
      <w:r w:rsidRPr="002515CE">
        <w:rPr>
          <w:rFonts w:cstheme="majorHAnsi"/>
          <w:sz w:val="24"/>
          <w:szCs w:val="24"/>
        </w:rPr>
        <w:t>2. Objectives</w:t>
      </w:r>
      <w:bookmarkEnd w:id="2"/>
    </w:p>
    <w:p w14:paraId="5D75B50B"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One pane of glass for every Kinisis-hosted application, across all environments.</w:t>
      </w:r>
    </w:p>
    <w:p w14:paraId="3BAE3CC4" w14:textId="77777777" w:rsidR="00C826E9" w:rsidRDefault="00000000">
      <w:r>
        <w:lastRenderedPageBreak/>
        <w:t>Orbit additionally tracks the KinisisLabs corporate Static Web App as a first-class monitored application within the centralized Orbit inventory.</w:t>
      </w:r>
    </w:p>
    <w:p w14:paraId="07AF4B5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Per-environment isolation: prod and staging environments of the same app are tracked as independent scopes with their own status, alerts, infrastructure, cost, and user engagement.</w:t>
      </w:r>
    </w:p>
    <w:p w14:paraId="6AE9914E"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Live infrastructure, network, telemetry, cost, and end-user-engagement visibility — no internal data warehousing.</w:t>
      </w:r>
    </w:p>
    <w:p w14:paraId="1D785B98"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Centralised, severity-tiered alerting across all monitored apps.</w:t>
      </w:r>
    </w:p>
    <w:p w14:paraId="2D5E8C3E"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data segregated from operational data by RBAC group (FinOps boundary).</w:t>
      </w:r>
    </w:p>
    <w:p w14:paraId="1F36FEF1"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Scalable to additional apps, environments, and future mobile telemetry sources without re-architecting.</w:t>
      </w:r>
    </w:p>
    <w:p w14:paraId="1BDF23EB" w14:textId="77777777" w:rsidR="00E35981" w:rsidRPr="002515CE" w:rsidRDefault="007D4632">
      <w:pPr>
        <w:pStyle w:val="Heading1"/>
        <w:rPr>
          <w:rFonts w:cstheme="majorHAnsi"/>
          <w:sz w:val="24"/>
          <w:szCs w:val="24"/>
        </w:rPr>
      </w:pPr>
      <w:bookmarkStart w:id="3" w:name="_Toc230176772"/>
      <w:r w:rsidRPr="002515CE">
        <w:rPr>
          <w:rFonts w:cstheme="majorHAnsi"/>
          <w:sz w:val="24"/>
          <w:szCs w:val="24"/>
        </w:rPr>
        <w:t>3. High-Level Architecture</w:t>
      </w:r>
      <w:bookmarkEnd w:id="3"/>
    </w:p>
    <w:p w14:paraId="5A71A2F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Internal Engineers / Operators</w:t>
      </w:r>
    </w:p>
    <w:p w14:paraId="5485F19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3191099D" w14:textId="77777777" w:rsidR="00E35981" w:rsidRPr="002515CE" w:rsidRDefault="007D4632">
      <w:pPr>
        <w:spacing w:after="120"/>
        <w:rPr>
          <w:rFonts w:asciiTheme="majorHAnsi" w:hAnsiTheme="majorHAnsi" w:cstheme="majorHAnsi"/>
          <w:sz w:val="24"/>
          <w:szCs w:val="24"/>
        </w:rPr>
      </w:pPr>
      <w:r w:rsidRPr="002515CE">
        <w:rPr>
          <w:rFonts w:ascii="Arial" w:hAnsi="Arial" w:cs="Arial"/>
          <w:sz w:val="24"/>
          <w:szCs w:val="24"/>
        </w:rPr>
        <w:t>▼</w:t>
      </w:r>
    </w:p>
    <w:p w14:paraId="242A9FE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12445E65" w14:textId="77777777" w:rsidR="00E35981" w:rsidRPr="002515CE" w:rsidRDefault="007D4632">
      <w:pPr>
        <w:spacing w:after="120"/>
        <w:rPr>
          <w:rFonts w:asciiTheme="majorHAnsi" w:hAnsiTheme="majorHAnsi" w:cstheme="majorHAnsi"/>
          <w:sz w:val="24"/>
          <w:szCs w:val="24"/>
        </w:rPr>
      </w:pPr>
      <w:r w:rsidRPr="002515CE">
        <w:rPr>
          <w:rFonts w:ascii="Arial" w:hAnsi="Arial" w:cs="Arial"/>
          <w:sz w:val="24"/>
          <w:szCs w:val="24"/>
        </w:rPr>
        <w:t>▼</w:t>
      </w:r>
    </w:p>
    <w:p w14:paraId="63E6127E"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Front Door / Static Web App ← Orbit web UI (React + Vite + wouter)</w:t>
      </w:r>
    </w:p>
    <w:p w14:paraId="0C6068C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699F8D0D" w14:textId="77777777" w:rsidR="00E35981" w:rsidRPr="002515CE" w:rsidRDefault="007D4632">
      <w:pPr>
        <w:spacing w:after="120"/>
        <w:rPr>
          <w:rFonts w:asciiTheme="majorHAnsi" w:hAnsiTheme="majorHAnsi" w:cstheme="majorHAnsi"/>
          <w:sz w:val="24"/>
          <w:szCs w:val="24"/>
        </w:rPr>
      </w:pPr>
      <w:r w:rsidRPr="002515CE">
        <w:rPr>
          <w:rFonts w:ascii="Arial" w:hAnsi="Arial" w:cs="Arial"/>
          <w:sz w:val="24"/>
          <w:szCs w:val="24"/>
        </w:rPr>
        <w:t>▼</w:t>
      </w:r>
    </w:p>
    <w:p w14:paraId="28F31CDE"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Container Apps ← Orbit API (Express 5 / Node 24)</w:t>
      </w:r>
    </w:p>
    <w:p w14:paraId="11A72EC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55B9DEEE"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Azure Resource Graph (resource inventory &amp; topology)</w:t>
      </w:r>
    </w:p>
    <w:p w14:paraId="56AA4679"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Log Analytics (logs, KQL queries)</w:t>
      </w:r>
    </w:p>
    <w:p w14:paraId="5D5E6D04"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Network Watcher (latency, packet loss, NSG flow logs)</w:t>
      </w:r>
    </w:p>
    <w:p w14:paraId="0A892339"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Application Insights (RUM, traces, exceptions)</w:t>
      </w:r>
    </w:p>
    <w:p w14:paraId="4A190358"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Azure Cost Management (MTD spend, forecast, per-API allocation)</w:t>
      </w:r>
    </w:p>
    <w:p w14:paraId="3CA2254E"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Microsoft Graph (group membership for RBAC checks)</w:t>
      </w:r>
    </w:p>
    <w:p w14:paraId="337DEF1D"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Clerk Backend API (Organizations, members, users) ← new in v3</w:t>
      </w:r>
    </w:p>
    <w:p w14:paraId="014AF3D8" w14:textId="77777777" w:rsidR="00E35981" w:rsidRPr="002515CE" w:rsidRDefault="007D4632">
      <w:pPr>
        <w:spacing w:after="120"/>
        <w:rPr>
          <w:rFonts w:asciiTheme="majorHAnsi" w:hAnsiTheme="majorHAnsi" w:cstheme="majorHAnsi"/>
          <w:sz w:val="24"/>
          <w:szCs w:val="24"/>
        </w:rPr>
      </w:pPr>
      <w:r w:rsidRPr="002515CE">
        <w:rPr>
          <w:rFonts w:ascii="MS Gothic" w:eastAsia="MS Gothic" w:hAnsi="MS Gothic" w:cs="MS Gothic" w:hint="eastAsia"/>
          <w:sz w:val="24"/>
          <w:szCs w:val="24"/>
        </w:rPr>
        <w:lastRenderedPageBreak/>
        <w:t>├</w:t>
      </w: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Clerk Webhooks (session / user events → Orbit DB) ← new in v3</w:t>
      </w:r>
    </w:p>
    <w:p w14:paraId="337963C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r w:rsidRPr="002515CE">
        <w:rPr>
          <w:rFonts w:ascii="Arial" w:hAnsi="Arial" w:cs="Arial"/>
          <w:sz w:val="24"/>
          <w:szCs w:val="24"/>
        </w:rPr>
        <w:t>►</w:t>
      </w:r>
      <w:r w:rsidRPr="002515CE">
        <w:rPr>
          <w:rFonts w:asciiTheme="majorHAnsi" w:hAnsiTheme="majorHAnsi" w:cstheme="majorHAnsi"/>
          <w:sz w:val="24"/>
          <w:szCs w:val="24"/>
        </w:rPr>
        <w:t xml:space="preserve"> Per-app telemetry APIs (custom KPIs exposed by each app)</w:t>
      </w:r>
    </w:p>
    <w:p w14:paraId="52F6DAD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Frontend and API are deployed as a single logical unit per environment. The API performs all Azure-facing calls server-side via managed identity, so no Azure tokens are ever issued to the browser. Clerk credentials are held in Key Vault and never reach the browser.</w:t>
      </w:r>
    </w:p>
    <w:p w14:paraId="63361287" w14:textId="77777777" w:rsidR="00E35981" w:rsidRPr="002515CE" w:rsidRDefault="007D4632">
      <w:pPr>
        <w:pStyle w:val="Heading1"/>
        <w:rPr>
          <w:rFonts w:cstheme="majorHAnsi"/>
          <w:sz w:val="24"/>
          <w:szCs w:val="24"/>
        </w:rPr>
      </w:pPr>
      <w:bookmarkStart w:id="4" w:name="_Toc230176773"/>
      <w:r w:rsidRPr="002515CE">
        <w:rPr>
          <w:rFonts w:cstheme="majorHAnsi"/>
          <w:sz w:val="24"/>
          <w:szCs w:val="24"/>
        </w:rPr>
        <w:t>4. Tracked Applications (Tenant Inventory)</w:t>
      </w:r>
      <w:bookmarkEnd w:id="4"/>
    </w:p>
    <w:p w14:paraId="2C71B1E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treats each {app, environment} pair as a first-class scope, a first-class Clerk Organization, and a first-class Cost-Management tag pair. The seeded inventory is:</w:t>
      </w:r>
    </w:p>
    <w:p w14:paraId="20C334E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New in v3: every tracked pair now binds to a real subscription name and a Clerk Organization. v2 placeholder subscription IDs (a1f4-shared-platform, b203-internal-tools, c508-finance) map onto sub-sharedplatform-prod, sub-GrailBabe-Prod, and sub-grailbabedev-dev where applicable respectively.</w:t>
      </w:r>
    </w:p>
    <w:p w14:paraId="7BD2368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Future environments (kinisis-id-dev, ledger-api-stg, …) onboard by the same pattern — one row per {app, environment}, one Clerk Organization, one resource group.</w:t>
      </w:r>
    </w:p>
    <w:p w14:paraId="4A837984" w14:textId="77777777" w:rsidR="00E35981" w:rsidRPr="002515CE" w:rsidRDefault="007D4632">
      <w:pPr>
        <w:pStyle w:val="Heading1"/>
        <w:rPr>
          <w:rFonts w:cstheme="majorHAnsi"/>
          <w:sz w:val="24"/>
          <w:szCs w:val="24"/>
        </w:rPr>
      </w:pPr>
      <w:bookmarkStart w:id="5" w:name="_Toc230176774"/>
      <w:r w:rsidRPr="002515CE">
        <w:rPr>
          <w:rFonts w:cstheme="majorHAnsi"/>
          <w:sz w:val="24"/>
          <w:szCs w:val="24"/>
        </w:rPr>
        <w:t>5. Azure Deployment Architecture</w:t>
      </w:r>
      <w:bookmarkEnd w:id="5"/>
    </w:p>
    <w:p w14:paraId="30D9A2E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(the platform) deploys into the Shared Platform subscriptions. Orbit runs a single production environment — it is an internal staff tool with no Orbit nonprod/dev. v3 formalises the subscription topology (which retains a prod/nonprod split for the customer-facing apps Orbit monitors) and applies a Cloud Adoption Framework–aligned naming and tagging scheme.</w:t>
      </w:r>
    </w:p>
    <w:p w14:paraId="284C6678" w14:textId="77777777" w:rsidR="00E35981" w:rsidRPr="002515CE" w:rsidRDefault="007D4632">
      <w:pPr>
        <w:pStyle w:val="Heading2"/>
        <w:rPr>
          <w:rFonts w:cstheme="majorHAnsi"/>
          <w:sz w:val="24"/>
          <w:szCs w:val="24"/>
        </w:rPr>
      </w:pPr>
      <w:bookmarkStart w:id="6" w:name="_Toc230176775"/>
      <w:r w:rsidRPr="002515CE">
        <w:rPr>
          <w:rFonts w:cstheme="majorHAnsi"/>
          <w:sz w:val="24"/>
          <w:szCs w:val="24"/>
        </w:rPr>
        <w:t>5.1 Naming convention (new in v3)</w:t>
      </w:r>
      <w:bookmarkEnd w:id="6"/>
    </w:p>
    <w:p w14:paraId="1603D38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All v3 infrastructure follows Microsoft's Cloud Adoption Framework naming pattern. Adopt these before provisioning anything.</w:t>
      </w:r>
    </w:p>
    <w:p w14:paraId="2BD7866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Tokens:</w:t>
      </w:r>
    </w:p>
    <w:p w14:paraId="064C613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&lt;workload&gt; — orbit, grailbabe, kid, ops, ledger, atlas.</w:t>
      </w:r>
    </w:p>
    <w:p w14:paraId="3B39F9C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&lt;env&gt; — prod, nonprod, dev, stg. (Orbit itself is prod-only; nonprod/dev/stg are used by the tracked apps and their shared infra.)</w:t>
      </w:r>
    </w:p>
    <w:p w14:paraId="3A304B1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&lt;region&gt; - eus2 only for the current architecture.</w:t>
      </w:r>
    </w:p>
    <w:p w14:paraId="69BD9E9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&lt;instance&gt; — numeric suffix when more than one of the same </w:t>
      </w:r>
      <w:proofErr w:type="gramStart"/>
      <w:r w:rsidRPr="002515CE">
        <w:rPr>
          <w:rFonts w:asciiTheme="majorHAnsi" w:hAnsiTheme="majorHAnsi" w:cstheme="majorHAnsi"/>
          <w:sz w:val="24"/>
          <w:szCs w:val="24"/>
        </w:rPr>
        <w:t>resource</w:t>
      </w:r>
      <w:proofErr w:type="gramEnd"/>
      <w:r w:rsidRPr="002515CE">
        <w:rPr>
          <w:rFonts w:asciiTheme="majorHAnsi" w:hAnsiTheme="majorHAnsi" w:cstheme="majorHAnsi"/>
          <w:sz w:val="24"/>
          <w:szCs w:val="24"/>
        </w:rPr>
        <w:t xml:space="preserve"> exists.</w:t>
      </w:r>
    </w:p>
    <w:p w14:paraId="2A7A4D5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Patterns:</w:t>
      </w:r>
    </w:p>
    <w:p w14:paraId="30F5E2D1"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Subscriptions: use the existing Kinisis Labs subscriptions already provisioned for each business workload/environment.</w:t>
      </w:r>
    </w:p>
    <w:p w14:paraId="640B2817"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lastRenderedPageBreak/>
        <w:t>Resource groups: rg-&lt;workload&gt;-&lt;env&gt;-&lt;region&gt; — one per {workload, environment, region} tuple; never spans environments.</w:t>
      </w:r>
    </w:p>
    <w:p w14:paraId="1B0DF51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General resources: &lt;type&gt;-&lt;workload&gt;-&lt;purpose?&gt;-&lt;env&gt;-&lt;region?&gt; using CAF abbreviations (afd-, stapp-, cae-, ca-, psql-, kv-, appcs-, appi-, law-, id-, pe-, pdnsz-, vnet-, snet-, nsg-).</w:t>
      </w:r>
    </w:p>
    <w:p w14:paraId="01803B11" w14:textId="77777777" w:rsidR="00E35981" w:rsidRPr="002515CE" w:rsidRDefault="007D4632">
      <w:pPr>
        <w:spacing w:after="120"/>
        <w:rPr>
          <w:rFonts w:asciiTheme="majorHAnsi" w:hAnsiTheme="majorHAnsi" w:cstheme="majorHAnsi"/>
          <w:sz w:val="24"/>
          <w:szCs w:val="24"/>
        </w:rPr>
      </w:pPr>
      <w:proofErr w:type="gramStart"/>
      <w:r w:rsidRPr="002515CE">
        <w:rPr>
          <w:rFonts w:asciiTheme="majorHAnsi" w:hAnsiTheme="majorHAnsi" w:cstheme="majorHAnsi"/>
          <w:sz w:val="24"/>
          <w:szCs w:val="24"/>
        </w:rPr>
        <w:t>Globally-unique</w:t>
      </w:r>
      <w:proofErr w:type="gramEnd"/>
      <w:r w:rsidRPr="002515CE">
        <w:rPr>
          <w:rFonts w:asciiTheme="majorHAnsi" w:hAnsiTheme="majorHAnsi" w:cstheme="majorHAnsi"/>
          <w:sz w:val="24"/>
          <w:szCs w:val="24"/>
        </w:rPr>
        <w:t xml:space="preserve"> no-hyphen types (Storage, ACR): &lt;type&gt;&lt;workload&gt;&lt;env&gt;&lt;suffix&gt; (e.g. storbitprod01, acrkinisis01).</w:t>
      </w:r>
    </w:p>
    <w:p w14:paraId="2F66A82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Mandatory tags on every RG and tagged resource: workload, environment, owner, cost-center, data-class, criticality. Enforce via Azure Policy "Require a tag and its value" — Cost Management exports and the FinOps boundary in §8 depend on workload + environment being set on every resource.</w:t>
      </w:r>
    </w:p>
    <w:p w14:paraId="104CF998" w14:textId="77777777" w:rsidR="00E35981" w:rsidRPr="002515CE" w:rsidRDefault="007D4632">
      <w:pPr>
        <w:pStyle w:val="Heading2"/>
        <w:rPr>
          <w:rFonts w:cstheme="majorHAnsi"/>
          <w:sz w:val="24"/>
          <w:szCs w:val="24"/>
        </w:rPr>
      </w:pPr>
      <w:bookmarkStart w:id="7" w:name="_Toc230176776"/>
      <w:r w:rsidRPr="002515CE">
        <w:rPr>
          <w:rFonts w:cstheme="majorHAnsi"/>
          <w:sz w:val="24"/>
          <w:szCs w:val="24"/>
        </w:rPr>
        <w:t>5.2 Subscriptions (new in v3)</w:t>
      </w:r>
      <w:bookmarkEnd w:id="7"/>
    </w:p>
    <w:p w14:paraId="74100802"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Orbit uses a centralized shared-platform subscription model. All Orbit platform resources are deployed into the shared production subscription 'sub-sharedplatform-prod' in the eastus2 region following Azure best practices for centralized governance, RBAC, and cost management. This keeps Cost Management, Policy, and RBAC tractable as the estate grows.</w:t>
      </w:r>
    </w:p>
    <w:p w14:paraId="2610175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Provision the following in each environment (prod only for Orbit; app environments remain in their owning subscriptions). Resource names follow §5.1.</w:t>
      </w:r>
    </w:p>
    <w:p w14:paraId="525D631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ate connectivity to Postgres, Key Vault, App Config</w:t>
      </w:r>
    </w:p>
    <w:p w14:paraId="63B033F0" w14:textId="77777777" w:rsidR="00E35981" w:rsidRPr="002515CE" w:rsidRDefault="007D4632">
      <w:pPr>
        <w:pStyle w:val="Heading2"/>
        <w:rPr>
          <w:rFonts w:cstheme="majorHAnsi"/>
          <w:sz w:val="24"/>
          <w:szCs w:val="24"/>
        </w:rPr>
      </w:pPr>
      <w:bookmarkStart w:id="8" w:name="_Toc230176777"/>
      <w:r w:rsidRPr="002515CE">
        <w:rPr>
          <w:rFonts w:cstheme="majorHAnsi"/>
          <w:sz w:val="24"/>
          <w:szCs w:val="24"/>
        </w:rPr>
        <w:t>5.4 New resources required for v3 (delta from v2)</w:t>
      </w:r>
      <w:bookmarkEnd w:id="8"/>
    </w:p>
    <w:p w14:paraId="79C5674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These are items v2 did not call out and must be added before deployment:</w:t>
      </w:r>
    </w:p>
    <w:p w14:paraId="25193BD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Subscription and tag policy. Use the existing Kinisis Labs subscriptions and assign §5.1 tag-enforcement Azure Policy at each active subscription scope.</w:t>
      </w:r>
    </w:p>
    <w:p w14:paraId="5419371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Resource-group rename pass. Every existing RG in §4 renamed to the rg-&lt;workload&gt;-&lt;env&gt;-&lt;region&gt; pattern; all Orbit -orbit- resources re-provisioned (or aliased) under the new -orbit- names as part of v3 cutover.</w:t>
      </w:r>
    </w:p>
    <w:p w14:paraId="6662551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Clerk Backend API integration. Orbit calls Clerk's Backend API for org rosters, user lookups, and active-session counts. Key + webhook signing secret stored in Key Vault.</w:t>
      </w:r>
    </w:p>
    <w:p w14:paraId="65679CB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Clerk webhook receiver on the Orbit API. New endpoint POST /api/webhooks/clerk (Svix-signed) consumes </w:t>
      </w:r>
      <w:proofErr w:type="gramStart"/>
      <w:r w:rsidRPr="002515CE">
        <w:rPr>
          <w:rFonts w:asciiTheme="majorHAnsi" w:hAnsiTheme="majorHAnsi" w:cstheme="majorHAnsi"/>
          <w:sz w:val="24"/>
          <w:szCs w:val="24"/>
        </w:rPr>
        <w:t>session.created</w:t>
      </w:r>
      <w:proofErr w:type="gramEnd"/>
      <w:r w:rsidRPr="002515CE">
        <w:rPr>
          <w:rFonts w:asciiTheme="majorHAnsi" w:hAnsiTheme="majorHAnsi" w:cstheme="majorHAnsi"/>
          <w:sz w:val="24"/>
          <w:szCs w:val="24"/>
        </w:rPr>
        <w:t xml:space="preserve">, </w:t>
      </w:r>
      <w:proofErr w:type="gramStart"/>
      <w:r w:rsidRPr="002515CE">
        <w:rPr>
          <w:rFonts w:asciiTheme="majorHAnsi" w:hAnsiTheme="majorHAnsi" w:cstheme="majorHAnsi"/>
          <w:sz w:val="24"/>
          <w:szCs w:val="24"/>
        </w:rPr>
        <w:t>session.ended</w:t>
      </w:r>
      <w:proofErr w:type="gramEnd"/>
      <w:r w:rsidRPr="002515CE">
        <w:rPr>
          <w:rFonts w:asciiTheme="majorHAnsi" w:hAnsiTheme="majorHAnsi" w:cstheme="majorHAnsi"/>
          <w:sz w:val="24"/>
          <w:szCs w:val="24"/>
        </w:rPr>
        <w:t xml:space="preserve">, </w:t>
      </w:r>
      <w:proofErr w:type="gramStart"/>
      <w:r w:rsidRPr="002515CE">
        <w:rPr>
          <w:rFonts w:asciiTheme="majorHAnsi" w:hAnsiTheme="majorHAnsi" w:cstheme="majorHAnsi"/>
          <w:sz w:val="24"/>
          <w:szCs w:val="24"/>
        </w:rPr>
        <w:t>user.created</w:t>
      </w:r>
      <w:proofErr w:type="gramEnd"/>
      <w:r w:rsidRPr="002515CE">
        <w:rPr>
          <w:rFonts w:asciiTheme="majorHAnsi" w:hAnsiTheme="majorHAnsi" w:cstheme="majorHAnsi"/>
          <w:sz w:val="24"/>
          <w:szCs w:val="24"/>
        </w:rPr>
        <w:t xml:space="preserve">, </w:t>
      </w:r>
      <w:proofErr w:type="gramStart"/>
      <w:r w:rsidRPr="002515CE">
        <w:rPr>
          <w:rFonts w:asciiTheme="majorHAnsi" w:hAnsiTheme="majorHAnsi" w:cstheme="majorHAnsi"/>
          <w:sz w:val="24"/>
          <w:szCs w:val="24"/>
        </w:rPr>
        <w:t>user.updated</w:t>
      </w:r>
      <w:proofErr w:type="gramEnd"/>
      <w:r w:rsidRPr="002515CE">
        <w:rPr>
          <w:rFonts w:asciiTheme="majorHAnsi" w:hAnsiTheme="majorHAnsi" w:cstheme="majorHAnsi"/>
          <w:sz w:val="24"/>
          <w:szCs w:val="24"/>
        </w:rPr>
        <w:t xml:space="preserve">, </w:t>
      </w:r>
      <w:proofErr w:type="gramStart"/>
      <w:r w:rsidRPr="002515CE">
        <w:rPr>
          <w:rFonts w:asciiTheme="majorHAnsi" w:hAnsiTheme="majorHAnsi" w:cstheme="majorHAnsi"/>
          <w:sz w:val="24"/>
          <w:szCs w:val="24"/>
        </w:rPr>
        <w:t>user.deleted</w:t>
      </w:r>
      <w:proofErr w:type="gramEnd"/>
      <w:r w:rsidRPr="002515CE">
        <w:rPr>
          <w:rFonts w:asciiTheme="majorHAnsi" w:hAnsiTheme="majorHAnsi" w:cstheme="majorHAnsi"/>
          <w:sz w:val="24"/>
          <w:szCs w:val="24"/>
        </w:rPr>
        <w:t>, organizationMembership.created, organizationMembership.deleted.</w:t>
      </w:r>
    </w:p>
    <w:p w14:paraId="52F2E86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lastRenderedPageBreak/>
        <w:t>user_activity rollup table in pg-orbit-prod. Schema: (org_id, user_id, event_type, occurred_at) with daily materialised views (dau_by_app, wau_by_app, mau_by_app). Retention: 13 months. The only new persisted data category in v3.</w:t>
      </w:r>
    </w:p>
    <w:p w14:paraId="4BCA7070"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One Clerk Organization per tracked {app, environment} (§4), named &lt;app&gt;-&lt;env&gt;. Each Kinisis app reconfigured to enrol users into its org.</w:t>
      </w:r>
    </w:p>
    <w:p w14:paraId="30485B4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API identity bindings extended to every subscription that hosts a tracked app (platform-prod/nonprod, internal-prod/nonprod, finance-prod) — see §5.5.</w:t>
      </w:r>
    </w:p>
    <w:p w14:paraId="62E32795" w14:textId="77777777" w:rsidR="00E35981" w:rsidRPr="002515CE" w:rsidRDefault="007D4632">
      <w:pPr>
        <w:pStyle w:val="Heading2"/>
        <w:rPr>
          <w:rFonts w:cstheme="majorHAnsi"/>
          <w:sz w:val="24"/>
          <w:szCs w:val="24"/>
        </w:rPr>
      </w:pPr>
      <w:bookmarkStart w:id="9" w:name="_Toc230176778"/>
      <w:r w:rsidRPr="002515CE">
        <w:rPr>
          <w:rFonts w:cstheme="majorHAnsi"/>
          <w:sz w:val="24"/>
          <w:szCs w:val="24"/>
        </w:rPr>
        <w:t>5.5 RBAC bindings the API identity needs</w:t>
      </w:r>
      <w:bookmarkEnd w:id="9"/>
    </w:p>
    <w:p w14:paraId="3F72691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Assign to id-orbit-api-prod at the subscription scope of every subscription that contains a tracked app (or each monitored RG, if subscription-wide is rejected):</w:t>
      </w:r>
    </w:p>
    <w:p w14:paraId="2335F7F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Reader — Resource Graph queries</w:t>
      </w:r>
    </w:p>
    <w:p w14:paraId="68766E15"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Management Reader — Cost Management API</w:t>
      </w:r>
    </w:p>
    <w:p w14:paraId="226A140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Log Analytics Reader — KQL queries against per-app workspaces</w:t>
      </w:r>
    </w:p>
    <w:p w14:paraId="5A8F998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Network Contributor (read-only via custom role preferred) — Network Watcher data</w:t>
      </w:r>
    </w:p>
    <w:p w14:paraId="5200A37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Key Vault Secrets User — on kv-orbit-&lt;env&gt; (own-env only)</w:t>
      </w:r>
    </w:p>
    <w:p w14:paraId="7D8C99AB" w14:textId="77777777" w:rsidR="00E35981" w:rsidRPr="002515CE" w:rsidRDefault="007D4632">
      <w:pPr>
        <w:pStyle w:val="Heading1"/>
        <w:rPr>
          <w:rFonts w:cstheme="majorHAnsi"/>
          <w:sz w:val="24"/>
          <w:szCs w:val="24"/>
        </w:rPr>
      </w:pPr>
      <w:bookmarkStart w:id="10" w:name="_Toc230176779"/>
      <w:r w:rsidRPr="002515CE">
        <w:rPr>
          <w:rFonts w:cstheme="majorHAnsi"/>
          <w:sz w:val="24"/>
          <w:szCs w:val="24"/>
        </w:rPr>
        <w:t>6. Application Architecture (as built)</w:t>
      </w:r>
      <w:bookmarkEnd w:id="10"/>
    </w:p>
    <w:p w14:paraId="15F03C3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repository is a pnpm monorepo with the following deployable artifacts:</w:t>
      </w:r>
    </w:p>
    <w:p w14:paraId="3C42F70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Path Artifact Stack</w:t>
      </w:r>
    </w:p>
    <w:p w14:paraId="700A9FD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artifacts/orbit/ Orbit web React 19, Vite, wouter, TanStack Query, Recharts, Tailwind</w:t>
      </w:r>
    </w:p>
    <w:p w14:paraId="62A35AC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artifacts/api-server/ Orbit API Express 5, Node 24, Zod, Drizzle ORM, Pino</w:t>
      </w:r>
    </w:p>
    <w:p w14:paraId="2FDDF2B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lib/api-spec/ OpenAPI contract OpenAPI 3 source-of-truth, Orval codegen</w:t>
      </w:r>
    </w:p>
    <w:p w14:paraId="70B4097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lib/api-zod/ Zod schemas Generated from OpenAPI</w:t>
      </w:r>
    </w:p>
    <w:p w14:paraId="45DC685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lib/api-client-react/ React Query hooks Generated from OpenAPI</w:t>
      </w:r>
    </w:p>
    <w:p w14:paraId="339C5F9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lib/db/ Drizzle schema Postgres schema + migration helpers</w:t>
      </w:r>
    </w:p>
    <w:p w14:paraId="110B4F31"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Contract-first. All HTTP surfaces are defined in lib/api-spec, with Zod validators and React Query hooks generated from it. The API server validates every request and response against the same Zod schemas.</w:t>
      </w:r>
    </w:p>
    <w:p w14:paraId="79E9B48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Mocked data layer (current). All app, telemetry, network, alert, cost, and user-activity data </w:t>
      </w:r>
      <w:proofErr w:type="gramStart"/>
      <w:r w:rsidRPr="002515CE">
        <w:rPr>
          <w:rFonts w:asciiTheme="majorHAnsi" w:hAnsiTheme="majorHAnsi" w:cstheme="majorHAnsi"/>
          <w:sz w:val="24"/>
          <w:szCs w:val="24"/>
        </w:rPr>
        <w:t>is</w:t>
      </w:r>
      <w:proofErr w:type="gramEnd"/>
      <w:r w:rsidRPr="002515CE">
        <w:rPr>
          <w:rFonts w:asciiTheme="majorHAnsi" w:hAnsiTheme="majorHAnsi" w:cstheme="majorHAnsi"/>
          <w:sz w:val="24"/>
          <w:szCs w:val="24"/>
        </w:rPr>
        <w:t xml:space="preserve"> currently produced by deterministic seed functions in artifacts/api-server/src/routes/orbit.ts and artifacts/orbit/src/lib/mock-data.ts. The intent is for </w:t>
      </w:r>
      <w:r w:rsidRPr="002515CE">
        <w:rPr>
          <w:rFonts w:asciiTheme="majorHAnsi" w:hAnsiTheme="majorHAnsi" w:cstheme="majorHAnsi"/>
          <w:sz w:val="24"/>
          <w:szCs w:val="24"/>
        </w:rPr>
        <w:lastRenderedPageBreak/>
        <w:t>those handlers to be replaced one-by-one by live Azure + Clerk calls without changing the OpenAPI contract.</w:t>
      </w:r>
    </w:p>
    <w:p w14:paraId="15BFCC48" w14:textId="77777777" w:rsidR="00E35981" w:rsidRPr="002515CE" w:rsidRDefault="007D4632">
      <w:pPr>
        <w:pStyle w:val="Heading1"/>
        <w:rPr>
          <w:rFonts w:cstheme="majorHAnsi"/>
          <w:sz w:val="24"/>
          <w:szCs w:val="24"/>
        </w:rPr>
      </w:pPr>
      <w:bookmarkStart w:id="11" w:name="_Toc230176780"/>
      <w:r w:rsidRPr="002515CE">
        <w:rPr>
          <w:rFonts w:cstheme="majorHAnsi"/>
          <w:sz w:val="24"/>
          <w:szCs w:val="24"/>
        </w:rPr>
        <w:t>7. Security, Identity, and RBAC</w:t>
      </w:r>
      <w:bookmarkEnd w:id="11"/>
    </w:p>
    <w:p w14:paraId="7A0C97D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Authorisation model: Group-based. Membership is verified per request via Microsoft Graph (cached in Postgres for ≤5 min).</w:t>
      </w:r>
    </w:p>
    <w:p w14:paraId="5029B0A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HTTPS-only, HSTS preload, TLS 1.2+ at Front Door.</w:t>
      </w:r>
    </w:p>
    <w:p w14:paraId="6A69D9B1"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Managed identity for all Azure-facing calls — no service principal secrets in code or Key Vault.</w:t>
      </w:r>
    </w:p>
    <w:p w14:paraId="79D146E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Clerk Backend API key + webhook secret held in Key Vault; webhook requests verified with Svix HMAC signatures before any DB write. (new in v3)</w:t>
      </w:r>
    </w:p>
    <w:p w14:paraId="6C99B91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Audit logging of every privileged action (group changes, cost queries, alert acknowledgements, user-search) to Log Analytics.</w:t>
      </w:r>
    </w:p>
    <w:p w14:paraId="605EE24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Required Entra security groups</w:t>
      </w:r>
    </w:p>
    <w:p w14:paraId="331C854E"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Group Purpose</w:t>
      </w:r>
    </w:p>
    <w:p w14:paraId="6832D94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Orbit-Authorized-Users Baseline access — required to load Orbit at all</w:t>
      </w:r>
    </w:p>
    <w:p w14:paraId="01C7424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Orbit-Admins Platform administration, group simulation, feature flags</w:t>
      </w:r>
    </w:p>
    <w:p w14:paraId="544584F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Orbit-Engineers Operational actions (acknowledge alerts, trigger refresh)</w:t>
      </w:r>
    </w:p>
    <w:p w14:paraId="0A09D66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Orbit-Cost-Readers Required to view any cost surface (see §8)</w:t>
      </w:r>
    </w:p>
    <w:p w14:paraId="3673683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Orbit-FinOps Cost Management write actions (budgets, allocations) — future use</w:t>
      </w:r>
    </w:p>
    <w:p w14:paraId="0471D94E" w14:textId="77777777" w:rsidR="00E35981" w:rsidRPr="002515CE" w:rsidRDefault="007D4632">
      <w:pPr>
        <w:pStyle w:val="Heading1"/>
        <w:rPr>
          <w:rFonts w:cstheme="majorHAnsi"/>
          <w:sz w:val="24"/>
          <w:szCs w:val="24"/>
        </w:rPr>
      </w:pPr>
      <w:bookmarkStart w:id="12" w:name="_Toc230176781"/>
      <w:r w:rsidRPr="002515CE">
        <w:rPr>
          <w:rFonts w:cstheme="majorHAnsi"/>
          <w:sz w:val="24"/>
          <w:szCs w:val="24"/>
        </w:rPr>
        <w:t>8. Cost Visibility &amp; FinOps Boundary</w:t>
      </w:r>
      <w:bookmarkEnd w:id="12"/>
    </w:p>
    <w:p w14:paraId="1EAA383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v1 surfaced cost data alongside operational telemetry on every page. v2 established the FinOps boundary; v3 reinforces it by pinning cost allocation to the workload + environment tag pair from §5.1.</w:t>
      </w:r>
    </w:p>
    <w:p w14:paraId="033B564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Cost Management is the only surface that displays cost data. The Home dashboard and the app-detail Overview / Infrastructure / Network / Telemetry / Alerts / Users tabs show no monetary information of any kind, regardless of caller identity.</w:t>
      </w:r>
    </w:p>
    <w:p w14:paraId="1669691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dedicated Cost Management page (Overview / Budgets / Forecasts) and the per-app Cost tab are both gated by membership in Orbit-Cost-Readers. Users without that group see an Azure-styled access-denied panel and a lock icon on the navigation entry / tab.</w:t>
      </w:r>
    </w:p>
    <w:p w14:paraId="64F0560A"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lastRenderedPageBreak/>
        <w:t>Cost queries are short-circuited at the API layer when the caller is not in Orbit-Cost-Readers, so cost data never crosses the wire to unauthorised browsers.</w:t>
      </w:r>
    </w:p>
    <w:p w14:paraId="7321BC8F"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is allocated per {workload, environment} tag pair, so grailbabe (prod) and grailbabe-dev show independent MTD spend, forecast, and budget burn.</w:t>
      </w:r>
    </w:p>
    <w:p w14:paraId="704BAE9C" w14:textId="77777777" w:rsidR="00E35981" w:rsidRPr="002515CE" w:rsidRDefault="007D4632">
      <w:pPr>
        <w:pStyle w:val="Heading1"/>
        <w:rPr>
          <w:rFonts w:cstheme="majorHAnsi"/>
          <w:sz w:val="24"/>
          <w:szCs w:val="24"/>
        </w:rPr>
      </w:pPr>
      <w:bookmarkStart w:id="13" w:name="_Toc230176782"/>
      <w:r w:rsidRPr="002515CE">
        <w:rPr>
          <w:rFonts w:cstheme="majorHAnsi"/>
          <w:sz w:val="24"/>
          <w:szCs w:val="24"/>
        </w:rPr>
        <w:t>9. Users &amp; Activity (new in v3)</w:t>
      </w:r>
      <w:bookmarkEnd w:id="13"/>
    </w:p>
    <w:p w14:paraId="22768FD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Orbit's Users &amp; activity page reports DAU / WAU / MAU, stickiness, inactive-user counts, and a recent-users roster per Kinisis app. Each tracked {app, environment} is modelled as a Clerk Organization (§4); "Active users for GrailBabe (prod)" = members of grailbabe-prod with last_active_at in the window.</w:t>
      </w:r>
    </w:p>
    <w:p w14:paraId="3978AD4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Data flow:</w:t>
      </w:r>
    </w:p>
    <w:p w14:paraId="659C60E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Each Kinisis app (signs users in via Clerk)</w:t>
      </w:r>
    </w:p>
    <w:p w14:paraId="3B3E24CE"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 </w:t>
      </w:r>
      <w:proofErr w:type="gramStart"/>
      <w:r w:rsidRPr="002515CE">
        <w:rPr>
          <w:rFonts w:asciiTheme="majorHAnsi" w:hAnsiTheme="majorHAnsi" w:cstheme="majorHAnsi"/>
          <w:sz w:val="24"/>
          <w:szCs w:val="24"/>
        </w:rPr>
        <w:t>session.created</w:t>
      </w:r>
      <w:proofErr w:type="gramEnd"/>
      <w:r w:rsidRPr="002515CE">
        <w:rPr>
          <w:rFonts w:asciiTheme="majorHAnsi" w:hAnsiTheme="majorHAnsi" w:cstheme="majorHAnsi"/>
          <w:sz w:val="24"/>
          <w:szCs w:val="24"/>
        </w:rPr>
        <w:t xml:space="preserve"> / </w:t>
      </w:r>
      <w:proofErr w:type="gramStart"/>
      <w:r w:rsidRPr="002515CE">
        <w:rPr>
          <w:rFonts w:asciiTheme="majorHAnsi" w:hAnsiTheme="majorHAnsi" w:cstheme="majorHAnsi"/>
          <w:sz w:val="24"/>
          <w:szCs w:val="24"/>
        </w:rPr>
        <w:t>user.*</w:t>
      </w:r>
      <w:proofErr w:type="gramEnd"/>
      <w:r w:rsidRPr="002515CE">
        <w:rPr>
          <w:rFonts w:asciiTheme="majorHAnsi" w:hAnsiTheme="majorHAnsi" w:cstheme="majorHAnsi"/>
          <w:sz w:val="24"/>
          <w:szCs w:val="24"/>
        </w:rPr>
        <w:t xml:space="preserve"> webhooks (Svix-signed)</w:t>
      </w:r>
    </w:p>
    <w:p w14:paraId="5A16D71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POST /api/webhooks/clerk ← Orbit API</w:t>
      </w:r>
    </w:p>
    <w:p w14:paraId="3946688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5D25788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pg-orbit-prod.user_activity ← append-only event log, 13-month retention</w:t>
      </w:r>
    </w:p>
    <w:p w14:paraId="018CEF2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16BFF33B"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materialised views (dau_by_app, wau_by_app, mau_by_app)</w:t>
      </w:r>
    </w:p>
    <w:p w14:paraId="5CE2D12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047EF61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GET /api/users/activity, GET /api/users ← Orbit UI</w:t>
      </w:r>
    </w:p>
    <w:p w14:paraId="15B47B1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does not store user PII beyond what's required to render the recent-users table (display name, email, last-active timestamp). The full user record always lives in Clerk; Orbit reads it on demand via the Backend API.</w:t>
      </w:r>
    </w:p>
    <w:p w14:paraId="47E3294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Users &amp; activity page is visible to all Orbit-Authorized-Users. It is not behind the FinOps boundary, because engagement metrics are operational data, not financial data.</w:t>
      </w:r>
    </w:p>
    <w:p w14:paraId="70B34F4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Recent Users roster respects the global / per-app scope selector, identical to every other Orbit surface.</w:t>
      </w:r>
    </w:p>
    <w:p w14:paraId="29F613E4" w14:textId="77777777" w:rsidR="00E35981" w:rsidRPr="002515CE" w:rsidRDefault="007D4632">
      <w:pPr>
        <w:pStyle w:val="Heading1"/>
        <w:rPr>
          <w:rFonts w:cstheme="majorHAnsi"/>
          <w:sz w:val="24"/>
          <w:szCs w:val="24"/>
        </w:rPr>
      </w:pPr>
      <w:bookmarkStart w:id="14" w:name="_Toc230176783"/>
      <w:r w:rsidRPr="002515CE">
        <w:rPr>
          <w:rFonts w:cstheme="majorHAnsi"/>
          <w:sz w:val="24"/>
          <w:szCs w:val="24"/>
        </w:rPr>
        <w:t>10. Dashboard Capabilities (as built)</w:t>
      </w:r>
      <w:bookmarkEnd w:id="14"/>
    </w:p>
    <w:p w14:paraId="6065E04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Scope selector — Global view, or scoped to any single {app, environment} (e.g. GrailBabe prod vs GrailBabe dev).</w:t>
      </w:r>
    </w:p>
    <w:p w14:paraId="3F59E47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lastRenderedPageBreak/>
        <w:t>Home (status-only): Total Applications, Global Health (healthy/degraded/unhealthy), Active Alerts, Active Regions; App Services table with status, environment, location, alert count.</w:t>
      </w:r>
    </w:p>
    <w:p w14:paraId="769DF5C0"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Per-app blade (Azure-portal styled): Overview / Infrastructure / Network / Telemetry / Cost / Alerts tabs, with Azure-style command bar (Start / Restart / Stop / Configuration).</w:t>
      </w:r>
    </w:p>
    <w:p w14:paraId="24E9CF1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Monitoring group: Alerts, Deployments, Incidents (ServiceNow stub), Activity log, Health &amp; SLOs, Network, Log search, Service health, Users &amp; activity (new in v3).</w:t>
      </w:r>
    </w:p>
    <w:p w14:paraId="38BBA237"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group: Cost Management — Overview / Budgets / Forecasts; all gated by Orbit-Cost-Readers.</w:t>
      </w:r>
    </w:p>
    <w:p w14:paraId="114AFC8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Governance group: Subscriptions, Tags, Identity &amp; access.</w:t>
      </w:r>
    </w:p>
    <w:p w14:paraId="04C6E47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Resources group: All resources.</w:t>
      </w:r>
    </w:p>
    <w:p w14:paraId="5D379B1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Settings group: Preferences.</w:t>
      </w:r>
    </w:p>
    <w:p w14:paraId="3946D1B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Theme: </w:t>
      </w:r>
      <w:proofErr w:type="gramStart"/>
      <w:r w:rsidRPr="002515CE">
        <w:rPr>
          <w:rFonts w:asciiTheme="majorHAnsi" w:hAnsiTheme="majorHAnsi" w:cstheme="majorHAnsi"/>
          <w:sz w:val="24"/>
          <w:szCs w:val="24"/>
        </w:rPr>
        <w:t>Azure Portal dark/light,</w:t>
      </w:r>
      <w:proofErr w:type="gramEnd"/>
      <w:r w:rsidRPr="002515CE">
        <w:rPr>
          <w:rFonts w:asciiTheme="majorHAnsi" w:hAnsiTheme="majorHAnsi" w:cstheme="majorHAnsi"/>
          <w:sz w:val="24"/>
          <w:szCs w:val="24"/>
        </w:rPr>
        <w:t xml:space="preserve"> persisted per user.</w:t>
      </w:r>
    </w:p>
    <w:p w14:paraId="6CE786E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Identity simulator (dev only): the avatar menu lets </w:t>
      </w:r>
      <w:proofErr w:type="gramStart"/>
      <w:r w:rsidRPr="002515CE">
        <w:rPr>
          <w:rFonts w:asciiTheme="majorHAnsi" w:hAnsiTheme="majorHAnsi" w:cstheme="majorHAnsi"/>
          <w:sz w:val="24"/>
          <w:szCs w:val="24"/>
        </w:rPr>
        <w:t>engineers</w:t>
      </w:r>
      <w:proofErr w:type="gramEnd"/>
      <w:r w:rsidRPr="002515CE">
        <w:rPr>
          <w:rFonts w:asciiTheme="majorHAnsi" w:hAnsiTheme="majorHAnsi" w:cstheme="majorHAnsi"/>
          <w:sz w:val="24"/>
          <w:szCs w:val="24"/>
        </w:rPr>
        <w:t xml:space="preserve"> toggle in/out of Orbit-Cost-Readers to exercise the gated surfaces without an Entra round-trip.</w:t>
      </w:r>
    </w:p>
    <w:p w14:paraId="092F6C0B" w14:textId="77777777" w:rsidR="00E35981" w:rsidRPr="002515CE" w:rsidRDefault="007D4632">
      <w:pPr>
        <w:pStyle w:val="Heading1"/>
        <w:rPr>
          <w:rFonts w:cstheme="majorHAnsi"/>
          <w:sz w:val="24"/>
          <w:szCs w:val="24"/>
        </w:rPr>
      </w:pPr>
      <w:bookmarkStart w:id="15" w:name="_Toc230176784"/>
      <w:r w:rsidRPr="002515CE">
        <w:rPr>
          <w:rFonts w:cstheme="majorHAnsi"/>
          <w:sz w:val="24"/>
          <w:szCs w:val="24"/>
        </w:rPr>
        <w:t>11. Alerting &amp; Incident Sources</w:t>
      </w:r>
      <w:bookmarkEnd w:id="15"/>
    </w:p>
    <w:p w14:paraId="7B509BE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Source Monitoring area</w:t>
      </w:r>
    </w:p>
    <w:p w14:paraId="5E7A4981"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Log Analytics Operational &amp; network logs (KQL)</w:t>
      </w:r>
    </w:p>
    <w:p w14:paraId="1462D07A"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Network Watcher Connectivity, latency, packet loss</w:t>
      </w:r>
    </w:p>
    <w:p w14:paraId="2DE4A067"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Cost Management Budget breaches, cost anomalies</w:t>
      </w:r>
    </w:p>
    <w:p w14:paraId="36EA5F3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Application Insights App performance, exceptions, availability</w:t>
      </w:r>
    </w:p>
    <w:p w14:paraId="5853ABFA"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Per-app telemetry APIs Custom app-defined health &amp; KPI signals</w:t>
      </w:r>
    </w:p>
    <w:p w14:paraId="1CF97E5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ServiceNow Incident management (live tickets, ack flow)</w:t>
      </w:r>
    </w:p>
    <w:p w14:paraId="2A70DEB8" w14:textId="77777777" w:rsidR="00E35981" w:rsidRPr="002515CE" w:rsidRDefault="007D4632">
      <w:pPr>
        <w:pStyle w:val="Heading1"/>
        <w:rPr>
          <w:rFonts w:cstheme="majorHAnsi"/>
          <w:sz w:val="24"/>
          <w:szCs w:val="24"/>
        </w:rPr>
      </w:pPr>
      <w:bookmarkStart w:id="16" w:name="_Toc230176785"/>
      <w:r w:rsidRPr="002515CE">
        <w:rPr>
          <w:rFonts w:cstheme="majorHAnsi"/>
          <w:sz w:val="24"/>
          <w:szCs w:val="24"/>
        </w:rPr>
        <w:t>12. Data-Flow Model</w:t>
      </w:r>
      <w:bookmarkEnd w:id="16"/>
    </w:p>
    <w:p w14:paraId="471D102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Operator opens Orbit Command Center</w:t>
      </w:r>
    </w:p>
    <w:p w14:paraId="4100D9A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58AA5AFE"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Entra ID SSO + MFA + group check (Orbit-Authorized-Users)</w:t>
      </w:r>
    </w:p>
    <w:p w14:paraId="1A71AA2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lastRenderedPageBreak/>
        <w:t>↓</w:t>
      </w:r>
    </w:p>
    <w:p w14:paraId="15985E0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Selects scope (Global or a specific {app, environment})</w:t>
      </w:r>
    </w:p>
    <w:p w14:paraId="115BE23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0D01861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Express API (managed identity) queries Azure + Clerk APIs in parallel</w:t>
      </w:r>
    </w:p>
    <w:p w14:paraId="0E81BF61"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2297A75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Responses validated against Zod schemas</w:t>
      </w:r>
    </w:p>
    <w:p w14:paraId="2EFC33F6"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w:t>
      </w:r>
    </w:p>
    <w:p w14:paraId="1C623F6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Unified dashboard rendered in the browser</w:t>
      </w:r>
    </w:p>
    <w:p w14:paraId="002746D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No monitoring data, telemetry history, customer data, or cost line items </w:t>
      </w:r>
      <w:proofErr w:type="gramStart"/>
      <w:r w:rsidRPr="002515CE">
        <w:rPr>
          <w:rFonts w:asciiTheme="majorHAnsi" w:hAnsiTheme="majorHAnsi" w:cstheme="majorHAnsi"/>
          <w:sz w:val="24"/>
          <w:szCs w:val="24"/>
        </w:rPr>
        <w:t>are persisted</w:t>
      </w:r>
      <w:proofErr w:type="gramEnd"/>
      <w:r w:rsidRPr="002515CE">
        <w:rPr>
          <w:rFonts w:asciiTheme="majorHAnsi" w:hAnsiTheme="majorHAnsi" w:cstheme="majorHAnsi"/>
          <w:sz w:val="24"/>
          <w:szCs w:val="24"/>
        </w:rPr>
        <w:t xml:space="preserve"> by Orbit. The only persisted state is platform-internal: sessions, cached group membership, audit log, feature flags, and the Clerk user-activity rollup table (§9).</w:t>
      </w:r>
    </w:p>
    <w:p w14:paraId="7DD623BC" w14:textId="77777777" w:rsidR="00E35981" w:rsidRPr="002515CE" w:rsidRDefault="007D4632">
      <w:pPr>
        <w:pStyle w:val="Heading1"/>
        <w:rPr>
          <w:rFonts w:cstheme="majorHAnsi"/>
          <w:sz w:val="24"/>
          <w:szCs w:val="24"/>
        </w:rPr>
      </w:pPr>
      <w:bookmarkStart w:id="17" w:name="_Toc230176786"/>
      <w:r w:rsidRPr="002515CE">
        <w:rPr>
          <w:rFonts w:cstheme="majorHAnsi"/>
          <w:sz w:val="24"/>
          <w:szCs w:val="24"/>
        </w:rPr>
        <w:t>13. Deployment Checklist (delta from v2)</w:t>
      </w:r>
      <w:bookmarkEnd w:id="17"/>
    </w:p>
    <w:p w14:paraId="1B25DDE2"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Before promoting v3 to production, the following must be in place (in this order):</w:t>
      </w:r>
    </w:p>
    <w:p w14:paraId="16BDEF43"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§5.2 subscriptions created or renamed; §5.1 tag-enforcement Azure Policy assigned at every subscription scope.</w:t>
      </w:r>
    </w:p>
    <w:p w14:paraId="0F908DBF"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Resource groups renamed / created per §5.1 for Orbit and every tracked app in §4.</w:t>
      </w:r>
    </w:p>
    <w:p w14:paraId="379A98E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rg-kinisislabs-platform-shared-prod-eus2 and populated with all resources in §5.3.</w:t>
      </w:r>
    </w:p>
    <w:p w14:paraId="40E89874"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Container Apps environment + Container App for the Orbit API in production.</w:t>
      </w:r>
    </w:p>
    <w:p w14:paraId="362D7F5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PostgreSQL Flexible Server provisioned for Orbit production, including the new user_activity schema from §5.4.</w:t>
      </w:r>
    </w:p>
    <w:p w14:paraId="0A7C2234"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Container Registry (acrkinisis01) created; CI/CD publishing API images.</w:t>
      </w:r>
    </w:p>
    <w:p w14:paraId="5738CB5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User-assigned managed identities created and assigned the §5.5 RBAC roles across all subscriptions that host tracked apps.</w:t>
      </w:r>
    </w:p>
    <w:p w14:paraId="38DD365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Front Door created with /api/* routing rule + WAF policy.</w:t>
      </w:r>
    </w:p>
    <w:p w14:paraId="1979DBB5"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Entra group Orbit-Cost-Readers created and populated with FinOps &amp; engineering leads.</w:t>
      </w:r>
    </w:p>
    <w:p w14:paraId="72EE6227"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 xml:space="preserve">Microsoft Graph </w:t>
      </w:r>
      <w:proofErr w:type="gramStart"/>
      <w:r w:rsidRPr="002515CE">
        <w:rPr>
          <w:rFonts w:asciiTheme="majorHAnsi" w:hAnsiTheme="majorHAnsi" w:cstheme="majorHAnsi"/>
          <w:sz w:val="24"/>
          <w:szCs w:val="24"/>
        </w:rPr>
        <w:t>GroupMember.Read.All</w:t>
      </w:r>
      <w:proofErr w:type="gramEnd"/>
      <w:r w:rsidRPr="002515CE">
        <w:rPr>
          <w:rFonts w:asciiTheme="majorHAnsi" w:hAnsiTheme="majorHAnsi" w:cstheme="majorHAnsi"/>
          <w:sz w:val="24"/>
          <w:szCs w:val="24"/>
        </w:rPr>
        <w:t xml:space="preserve"> consented for the Orbit app registration.</w:t>
      </w:r>
    </w:p>
    <w:p w14:paraId="3E38633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Clerk Organizations created for every tracked {app, environment} (&lt;app&gt;-&lt;env&gt;); each Kinisis app reconfigured to enrol users into its org.</w:t>
      </w:r>
    </w:p>
    <w:p w14:paraId="1443D263"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lastRenderedPageBreak/>
        <w:t>Clerk webhook endpoint registered (/api/webhooks/clerk) with signing secret stored in kv-orbit-&lt;env&gt;.</w:t>
      </w:r>
    </w:p>
    <w:p w14:paraId="08EACE6D"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Private endpoints for Postgres, Key Vault, App Config; public network access disabled.</w:t>
      </w:r>
    </w:p>
    <w:p w14:paraId="32FDD063"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Management exports + per-RG budgets configured for every tracked {app, environment} pair, including grailbabe-dev.</w:t>
      </w:r>
    </w:p>
    <w:p w14:paraId="4E3046E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Diagnostic settings on every monitored RG forwarding to law-orbit-&lt;env&gt;.</w:t>
      </w:r>
    </w:p>
    <w:p w14:paraId="2D1DA73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Custom domain klabsorbit.com bound to Front Door with managed certificate.</w:t>
      </w:r>
    </w:p>
    <w:p w14:paraId="65A5073A" w14:textId="77777777" w:rsidR="00E35981" w:rsidRPr="002515CE" w:rsidRDefault="007D4632">
      <w:pPr>
        <w:pStyle w:val="Heading1"/>
        <w:rPr>
          <w:rFonts w:cstheme="majorHAnsi"/>
          <w:sz w:val="24"/>
          <w:szCs w:val="24"/>
        </w:rPr>
      </w:pPr>
      <w:bookmarkStart w:id="18" w:name="_Toc230176787"/>
      <w:r w:rsidRPr="002515CE">
        <w:rPr>
          <w:rFonts w:cstheme="majorHAnsi"/>
          <w:sz w:val="24"/>
          <w:szCs w:val="24"/>
        </w:rPr>
        <w:t>14. Future-State Enhancements</w:t>
      </w:r>
      <w:bookmarkEnd w:id="18"/>
    </w:p>
    <w:p w14:paraId="07132DE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iOS and Android telemetry ingest (per-app SDKs → Application Insights → Orbit).</w:t>
      </w:r>
    </w:p>
    <w:p w14:paraId="05D433F0"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Predictive cost analytics &amp; AI-driven anomaly detection.</w:t>
      </w:r>
    </w:p>
    <w:p w14:paraId="38D922D4"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Automated remediation runbooks (Azure Automation / Logic Apps triggered from the Alerts page).</w:t>
      </w:r>
    </w:p>
    <w:p w14:paraId="7D19F20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Microsoft Teams and PagerDuty integrations for two-way alert acknowledgement.</w:t>
      </w:r>
    </w:p>
    <w:p w14:paraId="676726FF"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Two-way ServiceNow integration (acknowledge / resolve from Orbit).</w:t>
      </w:r>
    </w:p>
    <w:p w14:paraId="7B4FFBD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Historical trend analysis beyond 13 months (would require introducing a time-series store — out of scope for v3).</w:t>
      </w:r>
    </w:p>
    <w:p w14:paraId="467D8D4C"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Self-service onboarding flow for new {app, environment} scopes (new RG + Clerk Org + tag set + Orbit registry entry in one click).</w:t>
      </w:r>
    </w:p>
    <w:p w14:paraId="59A271CD" w14:textId="77777777" w:rsidR="00E35981" w:rsidRPr="002515CE" w:rsidRDefault="007D4632">
      <w:pPr>
        <w:pStyle w:val="Heading1"/>
        <w:rPr>
          <w:rFonts w:cstheme="majorHAnsi"/>
          <w:sz w:val="24"/>
          <w:szCs w:val="24"/>
        </w:rPr>
      </w:pPr>
      <w:bookmarkStart w:id="19" w:name="_Toc230176788"/>
      <w:r w:rsidRPr="002515CE">
        <w:rPr>
          <w:rFonts w:cstheme="majorHAnsi"/>
          <w:sz w:val="24"/>
          <w:szCs w:val="24"/>
        </w:rPr>
        <w:t>15. Conclusion</w:t>
      </w:r>
      <w:bookmarkEnd w:id="19"/>
    </w:p>
    <w:p w14:paraId="47F4B378"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Command Center v3 is the next evolution of the platform after v2's Kinisis Orbit. It carries forward v1/v2's core principle — aggregate, never store — while adding a Cloud Adoption Framework–aligned subscription, resource-group, and tagging scheme, end-user engagement visibility via Clerk Organizations, and the lone new persisted data category needed to support it (the user_activity rollup table). With the naming applied in §5.1, the resources in §5 provisioned, and the checklist in §13 completed, Orbit is ready to be the single operational pane of glass for every Kinisis-hosted application.</w:t>
      </w:r>
    </w:p>
    <w:p w14:paraId="1195CEF3" w14:textId="77777777" w:rsidR="00E35981" w:rsidRPr="002515CE" w:rsidRDefault="007D4632">
      <w:pPr>
        <w:pStyle w:val="Heading1"/>
        <w:rPr>
          <w:rFonts w:cstheme="majorHAnsi"/>
          <w:sz w:val="24"/>
          <w:szCs w:val="24"/>
        </w:rPr>
      </w:pPr>
      <w:bookmarkStart w:id="20" w:name="_Toc230176789"/>
      <w:r w:rsidRPr="002515CE">
        <w:rPr>
          <w:rFonts w:cstheme="majorHAnsi"/>
          <w:sz w:val="24"/>
          <w:szCs w:val="24"/>
        </w:rPr>
        <w:t>High-Level Platform Architecture</w:t>
      </w:r>
      <w:bookmarkEnd w:id="20"/>
    </w:p>
    <w:p w14:paraId="3B30F746"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Microsoft Entra ID (OIDC + MFA + Conditional Access)</w:t>
      </w:r>
    </w:p>
    <w:p w14:paraId="608B1EB5"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Azure Front Door + WAF</w:t>
      </w:r>
    </w:p>
    <w:p w14:paraId="5425DD45"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Static Web Apps (React + Vite frontend)</w:t>
      </w:r>
    </w:p>
    <w:p w14:paraId="4BA67FE6"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lastRenderedPageBreak/>
        <w:t>Azure Container Apps (Express / Node.js API)</w:t>
      </w:r>
    </w:p>
    <w:p w14:paraId="4D85809B"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Azure Monitor &amp; Application Insights</w:t>
      </w:r>
    </w:p>
    <w:p w14:paraId="15A3A349"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Azure Resource Graph &amp; Log Analytics</w:t>
      </w:r>
    </w:p>
    <w:p w14:paraId="41BBED5A"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Azure Network Watcher</w:t>
      </w:r>
    </w:p>
    <w:p w14:paraId="618D7A9F"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Azure Cost Management</w:t>
      </w:r>
    </w:p>
    <w:p w14:paraId="0BA6194E"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Clerk Backend API &amp; Webhooks</w:t>
      </w:r>
    </w:p>
    <w:p w14:paraId="7E257C41" w14:textId="77777777" w:rsidR="00E35981" w:rsidRPr="002515CE" w:rsidRDefault="007D4632">
      <w:pPr>
        <w:pStyle w:val="ListNumber"/>
        <w:rPr>
          <w:rFonts w:asciiTheme="majorHAnsi" w:hAnsiTheme="majorHAnsi" w:cstheme="majorHAnsi"/>
          <w:sz w:val="24"/>
          <w:szCs w:val="24"/>
        </w:rPr>
      </w:pPr>
      <w:r w:rsidRPr="002515CE">
        <w:rPr>
          <w:rFonts w:asciiTheme="majorHAnsi" w:hAnsiTheme="majorHAnsi" w:cstheme="majorHAnsi"/>
          <w:sz w:val="24"/>
          <w:szCs w:val="24"/>
        </w:rPr>
        <w:t>Per-Application Telemetry APIs</w:t>
      </w:r>
    </w:p>
    <w:p w14:paraId="7F1CCF48" w14:textId="77777777" w:rsidR="00E35981" w:rsidRPr="002515CE" w:rsidRDefault="007D4632">
      <w:pPr>
        <w:pStyle w:val="Heading1"/>
        <w:rPr>
          <w:rFonts w:cstheme="majorHAnsi"/>
          <w:sz w:val="24"/>
          <w:szCs w:val="24"/>
        </w:rPr>
      </w:pPr>
      <w:bookmarkStart w:id="21" w:name="_Toc230176790"/>
      <w:r w:rsidRPr="002515CE">
        <w:rPr>
          <w:rFonts w:cstheme="majorHAnsi"/>
          <w:sz w:val="24"/>
          <w:szCs w:val="24"/>
        </w:rPr>
        <w:t>Tracked Applications</w:t>
      </w:r>
      <w:bookmarkEnd w:id="21"/>
    </w:p>
    <w:tbl>
      <w:tblPr>
        <w:tblStyle w:val="TableGrid"/>
        <w:tblW w:w="0" w:type="auto"/>
        <w:jc w:val="center"/>
        <w:tblLook w:val="04A0" w:firstRow="1" w:lastRow="0" w:firstColumn="1" w:lastColumn="0" w:noHBand="0" w:noVBand="1"/>
      </w:tblPr>
      <w:tblGrid>
        <w:gridCol w:w="1314"/>
        <w:gridCol w:w="1310"/>
        <w:gridCol w:w="1506"/>
        <w:gridCol w:w="1033"/>
        <w:gridCol w:w="1661"/>
        <w:gridCol w:w="1806"/>
      </w:tblGrid>
      <w:tr w:rsidR="00E35981" w:rsidRPr="002515CE" w14:paraId="3AF2CCD8" w14:textId="77777777">
        <w:trPr>
          <w:jc w:val="center"/>
        </w:trPr>
        <w:tc>
          <w:tcPr>
            <w:tcW w:w="1440" w:type="dxa"/>
            <w:shd w:val="clear" w:color="auto" w:fill="1F4E79"/>
            <w:vAlign w:val="center"/>
          </w:tcPr>
          <w:p w14:paraId="0F48FF29"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App ID</w:t>
            </w:r>
          </w:p>
        </w:tc>
        <w:tc>
          <w:tcPr>
            <w:tcW w:w="1440" w:type="dxa"/>
            <w:shd w:val="clear" w:color="auto" w:fill="1F4E79"/>
            <w:vAlign w:val="center"/>
          </w:tcPr>
          <w:p w14:paraId="7E718110"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Display Name</w:t>
            </w:r>
          </w:p>
        </w:tc>
        <w:tc>
          <w:tcPr>
            <w:tcW w:w="1440" w:type="dxa"/>
            <w:shd w:val="clear" w:color="auto" w:fill="1F4E79"/>
            <w:vAlign w:val="center"/>
          </w:tcPr>
          <w:p w14:paraId="6371335A"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Environment</w:t>
            </w:r>
          </w:p>
        </w:tc>
        <w:tc>
          <w:tcPr>
            <w:tcW w:w="1440" w:type="dxa"/>
            <w:shd w:val="clear" w:color="auto" w:fill="1F4E79"/>
            <w:vAlign w:val="center"/>
          </w:tcPr>
          <w:p w14:paraId="08CBFD28"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Region</w:t>
            </w:r>
          </w:p>
        </w:tc>
        <w:tc>
          <w:tcPr>
            <w:tcW w:w="1440" w:type="dxa"/>
            <w:shd w:val="clear" w:color="auto" w:fill="1F4E79"/>
            <w:vAlign w:val="center"/>
          </w:tcPr>
          <w:p w14:paraId="14BBABD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1440" w:type="dxa"/>
            <w:shd w:val="clear" w:color="auto" w:fill="1F4E79"/>
            <w:vAlign w:val="center"/>
          </w:tcPr>
          <w:p w14:paraId="7EBD304C"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r>
      <w:tr w:rsidR="00E35981" w:rsidRPr="002515CE" w14:paraId="15D33BD3" w14:textId="77777777">
        <w:trPr>
          <w:jc w:val="center"/>
        </w:trPr>
        <w:tc>
          <w:tcPr>
            <w:tcW w:w="1440" w:type="dxa"/>
            <w:vAlign w:val="center"/>
          </w:tcPr>
          <w:p w14:paraId="0FA95044"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440" w:type="dxa"/>
            <w:vAlign w:val="center"/>
          </w:tcPr>
          <w:p w14:paraId="6D78F35A"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440" w:type="dxa"/>
            <w:vAlign w:val="center"/>
          </w:tcPr>
          <w:p w14:paraId="541CBBC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6D5DAE44"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3DF35E2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1440" w:type="dxa"/>
            <w:vAlign w:val="center"/>
          </w:tcPr>
          <w:p w14:paraId="3C6F531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r>
      <w:tr w:rsidR="00E35981" w:rsidRPr="002515CE" w14:paraId="5194E055" w14:textId="77777777">
        <w:trPr>
          <w:jc w:val="center"/>
        </w:trPr>
        <w:tc>
          <w:tcPr>
            <w:tcW w:w="1440" w:type="dxa"/>
            <w:vAlign w:val="center"/>
          </w:tcPr>
          <w:p w14:paraId="63AAD668"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grailbabe-dev</w:t>
            </w:r>
          </w:p>
        </w:tc>
        <w:tc>
          <w:tcPr>
            <w:tcW w:w="1440" w:type="dxa"/>
            <w:vAlign w:val="center"/>
          </w:tcPr>
          <w:p w14:paraId="2BF03BEF"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(dev)</w:t>
            </w:r>
          </w:p>
        </w:tc>
        <w:tc>
          <w:tcPr>
            <w:tcW w:w="1440" w:type="dxa"/>
            <w:vAlign w:val="center"/>
          </w:tcPr>
          <w:p w14:paraId="3A3805BC"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dev</w:t>
            </w:r>
          </w:p>
        </w:tc>
        <w:tc>
          <w:tcPr>
            <w:tcW w:w="1440" w:type="dxa"/>
            <w:vAlign w:val="center"/>
          </w:tcPr>
          <w:p w14:paraId="1240C2D5"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597F2E6F"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rg-grailbabe-dev-eus2</w:t>
            </w:r>
          </w:p>
        </w:tc>
        <w:tc>
          <w:tcPr>
            <w:tcW w:w="1440" w:type="dxa"/>
            <w:vAlign w:val="center"/>
          </w:tcPr>
          <w:p w14:paraId="7F2535F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r>
      <w:tr w:rsidR="00E35981" w:rsidRPr="002515CE" w14:paraId="22F348AF" w14:textId="77777777">
        <w:trPr>
          <w:jc w:val="center"/>
        </w:trPr>
        <w:tc>
          <w:tcPr>
            <w:tcW w:w="1440" w:type="dxa"/>
            <w:vAlign w:val="center"/>
          </w:tcPr>
          <w:p w14:paraId="576F0A59"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ops-portal</w:t>
            </w:r>
          </w:p>
        </w:tc>
        <w:tc>
          <w:tcPr>
            <w:tcW w:w="1440" w:type="dxa"/>
            <w:vAlign w:val="center"/>
          </w:tcPr>
          <w:p w14:paraId="59ECE0A2"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Ops Portal</w:t>
            </w:r>
          </w:p>
        </w:tc>
        <w:tc>
          <w:tcPr>
            <w:tcW w:w="1440" w:type="dxa"/>
            <w:vAlign w:val="center"/>
          </w:tcPr>
          <w:p w14:paraId="6F727AB2"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15D9E252"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62CC2D9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rg-ops-prod-eus2</w:t>
            </w:r>
          </w:p>
        </w:tc>
        <w:tc>
          <w:tcPr>
            <w:tcW w:w="1440" w:type="dxa"/>
            <w:vAlign w:val="center"/>
          </w:tcPr>
          <w:p w14:paraId="4DFDF6D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C826E9" w14:paraId="0F473377" w14:textId="77777777">
        <w:trPr>
          <w:jc w:val="center"/>
        </w:trPr>
        <w:tc>
          <w:tcPr>
            <w:tcW w:w="1278" w:type="dxa"/>
          </w:tcPr>
          <w:p w14:paraId="265E039F" w14:textId="77777777" w:rsidR="00C826E9" w:rsidRDefault="00000000">
            <w:r>
              <w:t>kinisislabs-web</w:t>
            </w:r>
          </w:p>
        </w:tc>
        <w:tc>
          <w:tcPr>
            <w:tcW w:w="1257" w:type="dxa"/>
          </w:tcPr>
          <w:p w14:paraId="7FBDAB1F" w14:textId="77777777" w:rsidR="00C826E9" w:rsidRDefault="00000000">
            <w:r>
              <w:t>KinisisLabs Static Web App</w:t>
            </w:r>
          </w:p>
        </w:tc>
        <w:tc>
          <w:tcPr>
            <w:tcW w:w="1506" w:type="dxa"/>
          </w:tcPr>
          <w:p w14:paraId="2A5AC597" w14:textId="77777777" w:rsidR="00C826E9" w:rsidRDefault="00000000">
            <w:r>
              <w:t>prod</w:t>
            </w:r>
          </w:p>
        </w:tc>
        <w:tc>
          <w:tcPr>
            <w:tcW w:w="1122" w:type="dxa"/>
          </w:tcPr>
          <w:p w14:paraId="775AF8F6" w14:textId="77777777" w:rsidR="00C826E9" w:rsidRDefault="00000000">
            <w:r>
              <w:t>eastus2</w:t>
            </w:r>
          </w:p>
        </w:tc>
        <w:tc>
          <w:tcPr>
            <w:tcW w:w="1661" w:type="dxa"/>
          </w:tcPr>
          <w:p w14:paraId="780DDDAA" w14:textId="77777777" w:rsidR="00C826E9" w:rsidRDefault="00000000">
            <w:r>
              <w:t>rg-kinisislabs-web-prod-eus2</w:t>
            </w:r>
          </w:p>
        </w:tc>
        <w:tc>
          <w:tcPr>
            <w:tcW w:w="1806" w:type="dxa"/>
          </w:tcPr>
          <w:p w14:paraId="46FDBCF7" w14:textId="77777777" w:rsidR="00C826E9" w:rsidRDefault="00000000">
            <w:r>
              <w:t>sub-sharedplatform-prod</w:t>
            </w:r>
          </w:p>
        </w:tc>
      </w:tr>
    </w:tbl>
    <w:p w14:paraId="6A382C5A" w14:textId="77777777" w:rsidR="00E35981" w:rsidRPr="002515CE" w:rsidRDefault="007D4632">
      <w:pPr>
        <w:pStyle w:val="Heading1"/>
        <w:rPr>
          <w:rFonts w:cstheme="majorHAnsi"/>
          <w:sz w:val="24"/>
          <w:szCs w:val="24"/>
        </w:rPr>
      </w:pPr>
      <w:bookmarkStart w:id="22" w:name="_Toc230176791"/>
      <w:r w:rsidRPr="002515CE">
        <w:rPr>
          <w:rFonts w:cstheme="majorHAnsi"/>
          <w:sz w:val="24"/>
          <w:szCs w:val="24"/>
        </w:rPr>
        <w:t>Production Resource Inventory</w:t>
      </w:r>
      <w:bookmarkEnd w:id="22"/>
    </w:p>
    <w:tbl>
      <w:tblPr>
        <w:tblStyle w:val="TableGrid"/>
        <w:tblW w:w="0" w:type="auto"/>
        <w:jc w:val="center"/>
        <w:tblLook w:val="04A0" w:firstRow="1" w:lastRow="0" w:firstColumn="1" w:lastColumn="0" w:noHBand="0" w:noVBand="1"/>
      </w:tblPr>
      <w:tblGrid>
        <w:gridCol w:w="2186"/>
        <w:gridCol w:w="2159"/>
        <w:gridCol w:w="2207"/>
        <w:gridCol w:w="2078"/>
      </w:tblGrid>
      <w:tr w:rsidR="00E35981" w:rsidRPr="002515CE" w14:paraId="72CE45F1" w14:textId="77777777">
        <w:trPr>
          <w:jc w:val="center"/>
        </w:trPr>
        <w:tc>
          <w:tcPr>
            <w:tcW w:w="2880" w:type="dxa"/>
            <w:shd w:val="clear" w:color="auto" w:fill="1F4E79"/>
          </w:tcPr>
          <w:p w14:paraId="080A5D2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Type</w:t>
            </w:r>
          </w:p>
        </w:tc>
        <w:tc>
          <w:tcPr>
            <w:tcW w:w="2880" w:type="dxa"/>
            <w:shd w:val="clear" w:color="auto" w:fill="1F4E79"/>
          </w:tcPr>
          <w:p w14:paraId="10A55115"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Name</w:t>
            </w:r>
          </w:p>
        </w:tc>
        <w:tc>
          <w:tcPr>
            <w:tcW w:w="2880" w:type="dxa"/>
            <w:shd w:val="clear" w:color="auto" w:fill="1F4E79"/>
          </w:tcPr>
          <w:p w14:paraId="31243BEA"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Purpose</w:t>
            </w:r>
          </w:p>
        </w:tc>
        <w:tc>
          <w:tcPr>
            <w:tcW w:w="2592" w:type="dxa"/>
            <w:shd w:val="clear" w:color="auto" w:fill="1F4E79"/>
            <w:vAlign w:val="center"/>
          </w:tcPr>
          <w:p w14:paraId="561B5D1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Convention</w:t>
            </w:r>
          </w:p>
        </w:tc>
      </w:tr>
      <w:tr w:rsidR="00E35981" w:rsidRPr="002515CE" w14:paraId="01FECEF9" w14:textId="77777777">
        <w:trPr>
          <w:jc w:val="center"/>
        </w:trPr>
        <w:tc>
          <w:tcPr>
            <w:tcW w:w="2880" w:type="dxa"/>
          </w:tcPr>
          <w:p w14:paraId="6E5E168C"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Resource Group</w:t>
            </w:r>
          </w:p>
        </w:tc>
        <w:tc>
          <w:tcPr>
            <w:tcW w:w="2880" w:type="dxa"/>
          </w:tcPr>
          <w:p w14:paraId="2A93FD8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880" w:type="dxa"/>
          </w:tcPr>
          <w:p w14:paraId="0A7324C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Primary Orbit production resource group</w:t>
            </w:r>
          </w:p>
        </w:tc>
        <w:tc>
          <w:tcPr>
            <w:tcW w:w="2592" w:type="dxa"/>
            <w:vAlign w:val="center"/>
          </w:tcPr>
          <w:p w14:paraId="7E579BB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rg-&lt;workload&gt;-&lt;env&gt;-&lt;region&gt;</w:t>
            </w:r>
          </w:p>
        </w:tc>
      </w:tr>
      <w:tr w:rsidR="00E35981" w:rsidRPr="002515CE" w14:paraId="5BB74415" w14:textId="77777777">
        <w:trPr>
          <w:jc w:val="center"/>
        </w:trPr>
        <w:tc>
          <w:tcPr>
            <w:tcW w:w="2880" w:type="dxa"/>
          </w:tcPr>
          <w:p w14:paraId="2756DF2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Front Door</w:t>
            </w:r>
          </w:p>
        </w:tc>
        <w:tc>
          <w:tcPr>
            <w:tcW w:w="2880" w:type="dxa"/>
          </w:tcPr>
          <w:p w14:paraId="4ABCAE72"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afd-orbit-prod</w:t>
            </w:r>
          </w:p>
        </w:tc>
        <w:tc>
          <w:tcPr>
            <w:tcW w:w="2880" w:type="dxa"/>
          </w:tcPr>
          <w:p w14:paraId="437D27E0"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TLS termination and WAF</w:t>
            </w:r>
          </w:p>
        </w:tc>
        <w:tc>
          <w:tcPr>
            <w:tcW w:w="2592" w:type="dxa"/>
            <w:vAlign w:val="center"/>
          </w:tcPr>
          <w:p w14:paraId="336F9BC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afd-&lt;workload&gt;-&lt;env&gt;</w:t>
            </w:r>
          </w:p>
        </w:tc>
      </w:tr>
      <w:tr w:rsidR="00E35981" w:rsidRPr="002515CE" w14:paraId="4E57EF0C" w14:textId="77777777">
        <w:trPr>
          <w:jc w:val="center"/>
        </w:trPr>
        <w:tc>
          <w:tcPr>
            <w:tcW w:w="2880" w:type="dxa"/>
          </w:tcPr>
          <w:p w14:paraId="20BBB4F8"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Static Web App</w:t>
            </w:r>
          </w:p>
        </w:tc>
        <w:tc>
          <w:tcPr>
            <w:tcW w:w="2880" w:type="dxa"/>
          </w:tcPr>
          <w:p w14:paraId="5C1A51AD"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swa-orbit-prod</w:t>
            </w:r>
          </w:p>
        </w:tc>
        <w:tc>
          <w:tcPr>
            <w:tcW w:w="2880" w:type="dxa"/>
          </w:tcPr>
          <w:p w14:paraId="78BC53E7"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Frontend hosting</w:t>
            </w:r>
          </w:p>
        </w:tc>
        <w:tc>
          <w:tcPr>
            <w:tcW w:w="2592" w:type="dxa"/>
            <w:vAlign w:val="center"/>
          </w:tcPr>
          <w:p w14:paraId="6BEBC0F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stapp-&lt;workload&gt;-&lt;env&gt;-&lt;region&gt;</w:t>
            </w:r>
          </w:p>
        </w:tc>
      </w:tr>
      <w:tr w:rsidR="00E35981" w:rsidRPr="002515CE" w14:paraId="78490725" w14:textId="77777777">
        <w:trPr>
          <w:jc w:val="center"/>
        </w:trPr>
        <w:tc>
          <w:tcPr>
            <w:tcW w:w="2880" w:type="dxa"/>
          </w:tcPr>
          <w:p w14:paraId="1E7A754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Container Apps Env</w:t>
            </w:r>
          </w:p>
        </w:tc>
        <w:tc>
          <w:tcPr>
            <w:tcW w:w="2880" w:type="dxa"/>
          </w:tcPr>
          <w:p w14:paraId="5AF2F1EC"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cae-orbit-prod-eus2</w:t>
            </w:r>
          </w:p>
        </w:tc>
        <w:tc>
          <w:tcPr>
            <w:tcW w:w="2880" w:type="dxa"/>
          </w:tcPr>
          <w:p w14:paraId="3537DA9A"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API runtime</w:t>
            </w:r>
          </w:p>
        </w:tc>
        <w:tc>
          <w:tcPr>
            <w:tcW w:w="2592" w:type="dxa"/>
            <w:vAlign w:val="center"/>
          </w:tcPr>
          <w:p w14:paraId="3ACA270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cae-&lt;workload&gt;-&lt;env&gt;-&lt;region&gt;</w:t>
            </w:r>
          </w:p>
        </w:tc>
      </w:tr>
      <w:tr w:rsidR="00E35981" w:rsidRPr="002515CE" w14:paraId="75AD41DB" w14:textId="77777777">
        <w:trPr>
          <w:jc w:val="center"/>
        </w:trPr>
        <w:tc>
          <w:tcPr>
            <w:tcW w:w="2880" w:type="dxa"/>
          </w:tcPr>
          <w:p w14:paraId="24A40616"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Container App</w:t>
            </w:r>
          </w:p>
        </w:tc>
        <w:tc>
          <w:tcPr>
            <w:tcW w:w="2880" w:type="dxa"/>
          </w:tcPr>
          <w:p w14:paraId="438A4632"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ca-orbit-api-prod</w:t>
            </w:r>
          </w:p>
        </w:tc>
        <w:tc>
          <w:tcPr>
            <w:tcW w:w="2880" w:type="dxa"/>
          </w:tcPr>
          <w:p w14:paraId="2AB3BB97"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API service</w:t>
            </w:r>
          </w:p>
        </w:tc>
        <w:tc>
          <w:tcPr>
            <w:tcW w:w="2592" w:type="dxa"/>
            <w:vAlign w:val="center"/>
          </w:tcPr>
          <w:p w14:paraId="4C30580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ca-&lt;workload&gt;-&lt;purpose&gt;-&lt;env&gt;-&lt;region&gt;</w:t>
            </w:r>
          </w:p>
        </w:tc>
      </w:tr>
      <w:tr w:rsidR="00E35981" w:rsidRPr="002515CE" w14:paraId="40132674" w14:textId="77777777">
        <w:trPr>
          <w:jc w:val="center"/>
        </w:trPr>
        <w:tc>
          <w:tcPr>
            <w:tcW w:w="2880" w:type="dxa"/>
          </w:tcPr>
          <w:p w14:paraId="12C45570"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PostgreSQL</w:t>
            </w:r>
          </w:p>
        </w:tc>
        <w:tc>
          <w:tcPr>
            <w:tcW w:w="2880" w:type="dxa"/>
          </w:tcPr>
          <w:p w14:paraId="110E6C4D"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pg-orbit-prod</w:t>
            </w:r>
          </w:p>
        </w:tc>
        <w:tc>
          <w:tcPr>
            <w:tcW w:w="2880" w:type="dxa"/>
          </w:tcPr>
          <w:p w14:paraId="715D8BC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Sessions and activity rollups</w:t>
            </w:r>
          </w:p>
        </w:tc>
        <w:tc>
          <w:tcPr>
            <w:tcW w:w="2592" w:type="dxa"/>
            <w:vAlign w:val="center"/>
          </w:tcPr>
          <w:p w14:paraId="2CC942C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psql-&lt;workload&gt;-&lt;env&gt;-&lt;region&gt;</w:t>
            </w:r>
          </w:p>
        </w:tc>
      </w:tr>
      <w:tr w:rsidR="00E35981" w:rsidRPr="002515CE" w14:paraId="41FC61E9" w14:textId="77777777">
        <w:trPr>
          <w:jc w:val="center"/>
        </w:trPr>
        <w:tc>
          <w:tcPr>
            <w:tcW w:w="2880" w:type="dxa"/>
          </w:tcPr>
          <w:p w14:paraId="39B71465"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Key Vault</w:t>
            </w:r>
          </w:p>
        </w:tc>
        <w:tc>
          <w:tcPr>
            <w:tcW w:w="2880" w:type="dxa"/>
          </w:tcPr>
          <w:p w14:paraId="3F9641E1"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kv-orbit-prod-eus2</w:t>
            </w:r>
          </w:p>
        </w:tc>
        <w:tc>
          <w:tcPr>
            <w:tcW w:w="2880" w:type="dxa"/>
          </w:tcPr>
          <w:p w14:paraId="026A30C1"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Secrets and credentials</w:t>
            </w:r>
          </w:p>
        </w:tc>
        <w:tc>
          <w:tcPr>
            <w:tcW w:w="2592" w:type="dxa"/>
            <w:vAlign w:val="center"/>
          </w:tcPr>
          <w:p w14:paraId="3EDD11B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kv-&lt;workload&gt;-&lt;env&gt;-&lt;region&gt;</w:t>
            </w:r>
          </w:p>
        </w:tc>
      </w:tr>
      <w:tr w:rsidR="00E35981" w:rsidRPr="002515CE" w14:paraId="42AE8899" w14:textId="77777777">
        <w:trPr>
          <w:jc w:val="center"/>
        </w:trPr>
        <w:tc>
          <w:tcPr>
            <w:tcW w:w="2880" w:type="dxa"/>
          </w:tcPr>
          <w:p w14:paraId="0A44F161"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 Insights</w:t>
            </w:r>
          </w:p>
        </w:tc>
        <w:tc>
          <w:tcPr>
            <w:tcW w:w="2880" w:type="dxa"/>
          </w:tcPr>
          <w:p w14:paraId="11ECBF87"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appi-oribit-prod</w:t>
            </w:r>
          </w:p>
        </w:tc>
        <w:tc>
          <w:tcPr>
            <w:tcW w:w="2880" w:type="dxa"/>
          </w:tcPr>
          <w:p w14:paraId="427C54BE"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Platform telemetry</w:t>
            </w:r>
          </w:p>
        </w:tc>
        <w:tc>
          <w:tcPr>
            <w:tcW w:w="2592" w:type="dxa"/>
            <w:vAlign w:val="center"/>
          </w:tcPr>
          <w:p w14:paraId="36CBC76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appi-&lt;workload&gt;-&lt;env&gt;-&lt;region&gt;</w:t>
            </w:r>
          </w:p>
        </w:tc>
      </w:tr>
      <w:tr w:rsidR="00E35981" w:rsidRPr="002515CE" w14:paraId="566FD3E1" w14:textId="77777777">
        <w:trPr>
          <w:jc w:val="center"/>
        </w:trPr>
        <w:tc>
          <w:tcPr>
            <w:tcW w:w="2880" w:type="dxa"/>
          </w:tcPr>
          <w:p w14:paraId="3CBB33EB"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 Analytics</w:t>
            </w:r>
          </w:p>
        </w:tc>
        <w:tc>
          <w:tcPr>
            <w:tcW w:w="2880" w:type="dxa"/>
          </w:tcPr>
          <w:p w14:paraId="74C38C25"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law-orbit-prod-eus2</w:t>
            </w:r>
          </w:p>
        </w:tc>
        <w:tc>
          <w:tcPr>
            <w:tcW w:w="2880" w:type="dxa"/>
          </w:tcPr>
          <w:p w14:paraId="0CE4561D" w14:textId="77777777" w:rsidR="00E35981"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Centralized logging</w:t>
            </w:r>
          </w:p>
        </w:tc>
        <w:tc>
          <w:tcPr>
            <w:tcW w:w="2592" w:type="dxa"/>
            <w:vAlign w:val="center"/>
          </w:tcPr>
          <w:p w14:paraId="2EC854F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law-&lt;workload&gt;-&lt;env&gt;-&lt;region&gt;</w:t>
            </w:r>
          </w:p>
        </w:tc>
      </w:tr>
    </w:tbl>
    <w:p w14:paraId="1B204445" w14:textId="77777777" w:rsidR="00E35981" w:rsidRPr="002515CE" w:rsidRDefault="007D4632">
      <w:pPr>
        <w:pStyle w:val="Heading1"/>
        <w:rPr>
          <w:rFonts w:cstheme="majorHAnsi"/>
          <w:sz w:val="24"/>
          <w:szCs w:val="24"/>
        </w:rPr>
      </w:pPr>
      <w:bookmarkStart w:id="23" w:name="_Toc230176792"/>
      <w:r w:rsidRPr="002515CE">
        <w:rPr>
          <w:rFonts w:cstheme="majorHAnsi"/>
          <w:sz w:val="24"/>
          <w:szCs w:val="24"/>
        </w:rPr>
        <w:t>Security &amp; RBAC</w:t>
      </w:r>
      <w:bookmarkEnd w:id="23"/>
    </w:p>
    <w:p w14:paraId="3FE7C343"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Authentication through Microsoft Entra ID with MFA</w:t>
      </w:r>
    </w:p>
    <w:p w14:paraId="393AC405"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Managed Identity for Azure API communication</w:t>
      </w:r>
    </w:p>
    <w:p w14:paraId="1E7ED620"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HTTPS-only traffic with TLS 1.2+</w:t>
      </w:r>
    </w:p>
    <w:p w14:paraId="02E94918"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OWASP-managed WAF policies</w:t>
      </w:r>
    </w:p>
    <w:p w14:paraId="4AA5CB6D"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Role-based access through Orbit-* groups</w:t>
      </w:r>
    </w:p>
    <w:p w14:paraId="5579E6CC"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Audit logging retained for 13 months</w:t>
      </w:r>
    </w:p>
    <w:p w14:paraId="4097F48E" w14:textId="77777777" w:rsidR="00E35981"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Cost visibility isolated behind Orbit-Cost-Readers</w:t>
      </w:r>
    </w:p>
    <w:p w14:paraId="208DBA43" w14:textId="77777777" w:rsidR="00E35981" w:rsidRPr="002515CE" w:rsidRDefault="007D4632">
      <w:pPr>
        <w:pStyle w:val="Heading1"/>
        <w:rPr>
          <w:rFonts w:cstheme="majorHAnsi"/>
          <w:sz w:val="24"/>
          <w:szCs w:val="24"/>
        </w:rPr>
      </w:pPr>
      <w:bookmarkStart w:id="24" w:name="_Toc230176793"/>
      <w:r w:rsidRPr="002515CE">
        <w:rPr>
          <w:rFonts w:cstheme="majorHAnsi"/>
          <w:sz w:val="24"/>
          <w:szCs w:val="24"/>
        </w:rPr>
        <w:t>Conclusion</w:t>
      </w:r>
      <w:bookmarkEnd w:id="24"/>
    </w:p>
    <w:p w14:paraId="782F6B89" w14:textId="77777777" w:rsidR="00E35981"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Command Center v3 establishes a secure and scalable Azure-native operations platform for Kinisis infrastructure and applications. The platform provides centralized operational visibility while maintaining strict RBAC boundaries, real-time telemetry aggregation, and production-grade governance.</w:t>
      </w:r>
    </w:p>
    <w:p w14:paraId="4E3D66BF"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br w:type="page"/>
      </w:r>
    </w:p>
    <w:p w14:paraId="249B9085" w14:textId="77777777" w:rsidR="00220E54" w:rsidRPr="002515CE" w:rsidRDefault="007D4632">
      <w:pPr>
        <w:pStyle w:val="Heading1"/>
        <w:rPr>
          <w:rFonts w:cstheme="majorHAnsi"/>
          <w:sz w:val="24"/>
          <w:szCs w:val="24"/>
        </w:rPr>
      </w:pPr>
      <w:bookmarkStart w:id="25" w:name="_Toc230176794"/>
      <w:r w:rsidRPr="002515CE">
        <w:rPr>
          <w:rFonts w:cstheme="majorHAnsi"/>
          <w:sz w:val="24"/>
          <w:szCs w:val="24"/>
        </w:rPr>
        <w:lastRenderedPageBreak/>
        <w:t>Required Resource Groups for sub-sharedplatform-prod</w:t>
      </w:r>
      <w:bookmarkEnd w:id="25"/>
    </w:p>
    <w:p w14:paraId="7F03FDB4"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following resource groups should be created inside the 'sub-sharedplatform-prod' subscription for Orbit Command Center deployment.</w:t>
      </w:r>
    </w:p>
    <w:tbl>
      <w:tblPr>
        <w:tblStyle w:val="TableGrid"/>
        <w:tblW w:w="0" w:type="auto"/>
        <w:jc w:val="center"/>
        <w:tblLook w:val="04A0" w:firstRow="1" w:lastRow="0" w:firstColumn="1" w:lastColumn="0" w:noHBand="0" w:noVBand="1"/>
      </w:tblPr>
      <w:tblGrid>
        <w:gridCol w:w="1876"/>
        <w:gridCol w:w="1664"/>
        <w:gridCol w:w="1603"/>
        <w:gridCol w:w="1843"/>
        <w:gridCol w:w="1644"/>
      </w:tblGrid>
      <w:tr w:rsidR="00220E54" w:rsidRPr="002515CE" w14:paraId="22A5C500" w14:textId="77777777">
        <w:trPr>
          <w:jc w:val="center"/>
        </w:trPr>
        <w:tc>
          <w:tcPr>
            <w:tcW w:w="2880" w:type="dxa"/>
            <w:shd w:val="clear" w:color="auto" w:fill="1F4E79"/>
          </w:tcPr>
          <w:p w14:paraId="5728D5D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2880" w:type="dxa"/>
            <w:shd w:val="clear" w:color="auto" w:fill="1F4E79"/>
          </w:tcPr>
          <w:p w14:paraId="54A108F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Purpose</w:t>
            </w:r>
          </w:p>
        </w:tc>
        <w:tc>
          <w:tcPr>
            <w:tcW w:w="2880" w:type="dxa"/>
            <w:shd w:val="clear" w:color="auto" w:fill="1F4E79"/>
          </w:tcPr>
          <w:p w14:paraId="40E13CA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Primary Resources</w:t>
            </w:r>
          </w:p>
        </w:tc>
        <w:tc>
          <w:tcPr>
            <w:tcW w:w="2016" w:type="dxa"/>
            <w:shd w:val="clear" w:color="auto" w:fill="1F4E79"/>
            <w:vAlign w:val="center"/>
          </w:tcPr>
          <w:p w14:paraId="1BE18FF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2592" w:type="dxa"/>
            <w:shd w:val="clear" w:color="auto" w:fill="1F4E79"/>
            <w:vAlign w:val="center"/>
          </w:tcPr>
          <w:p w14:paraId="375DC04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Convention</w:t>
            </w:r>
          </w:p>
        </w:tc>
      </w:tr>
      <w:tr w:rsidR="00220E54" w:rsidRPr="002515CE" w14:paraId="2CCC3464" w14:textId="77777777">
        <w:trPr>
          <w:jc w:val="center"/>
        </w:trPr>
        <w:tc>
          <w:tcPr>
            <w:tcW w:w="2880" w:type="dxa"/>
          </w:tcPr>
          <w:p w14:paraId="4C8351B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880" w:type="dxa"/>
          </w:tcPr>
          <w:p w14:paraId="64E3971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Primary Orbit production platform</w:t>
            </w:r>
          </w:p>
        </w:tc>
        <w:tc>
          <w:tcPr>
            <w:tcW w:w="2880" w:type="dxa"/>
          </w:tcPr>
          <w:p w14:paraId="0A28995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Front Door, Static Web App, Container Apps, API, Key Vault, App Insights</w:t>
            </w:r>
          </w:p>
        </w:tc>
        <w:tc>
          <w:tcPr>
            <w:tcW w:w="2016" w:type="dxa"/>
            <w:vAlign w:val="center"/>
          </w:tcPr>
          <w:p w14:paraId="528E55D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3981349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0646A025" w14:textId="77777777">
        <w:trPr>
          <w:jc w:val="center"/>
        </w:trPr>
        <w:tc>
          <w:tcPr>
            <w:tcW w:w="2880" w:type="dxa"/>
          </w:tcPr>
          <w:p w14:paraId="3102B38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880" w:type="dxa"/>
          </w:tcPr>
          <w:p w14:paraId="4FAD00C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Networking and connectivity</w:t>
            </w:r>
          </w:p>
        </w:tc>
        <w:tc>
          <w:tcPr>
            <w:tcW w:w="2880" w:type="dxa"/>
          </w:tcPr>
          <w:p w14:paraId="3B04A75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VNETs, NSGs, Private Endpoints, DNS Zones</w:t>
            </w:r>
          </w:p>
        </w:tc>
        <w:tc>
          <w:tcPr>
            <w:tcW w:w="2016" w:type="dxa"/>
            <w:vAlign w:val="center"/>
          </w:tcPr>
          <w:p w14:paraId="3C95946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516AB8F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67ECB754" w14:textId="77777777">
        <w:trPr>
          <w:jc w:val="center"/>
        </w:trPr>
        <w:tc>
          <w:tcPr>
            <w:tcW w:w="2880" w:type="dxa"/>
          </w:tcPr>
          <w:p w14:paraId="5E7A58B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rg-kinisislabs-platform-monitoring-prod-eus2</w:t>
            </w:r>
          </w:p>
        </w:tc>
        <w:tc>
          <w:tcPr>
            <w:tcW w:w="2880" w:type="dxa"/>
          </w:tcPr>
          <w:p w14:paraId="16A999C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Centralized monitoring and diagnostics</w:t>
            </w:r>
          </w:p>
        </w:tc>
        <w:tc>
          <w:tcPr>
            <w:tcW w:w="2880" w:type="dxa"/>
          </w:tcPr>
          <w:p w14:paraId="037D3D7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 Analytics, Alerts, Monitoring Workbooks</w:t>
            </w:r>
          </w:p>
        </w:tc>
        <w:tc>
          <w:tcPr>
            <w:tcW w:w="2016" w:type="dxa"/>
            <w:vAlign w:val="center"/>
          </w:tcPr>
          <w:p w14:paraId="76ABAD5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332685E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1F237F43" w14:textId="77777777">
        <w:trPr>
          <w:jc w:val="center"/>
        </w:trPr>
        <w:tc>
          <w:tcPr>
            <w:tcW w:w="2880" w:type="dxa"/>
          </w:tcPr>
          <w:p w14:paraId="7F41F05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2880" w:type="dxa"/>
          </w:tcPr>
          <w:p w14:paraId="1FAF6B1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production workloads</w:t>
            </w:r>
          </w:p>
        </w:tc>
        <w:tc>
          <w:tcPr>
            <w:tcW w:w="2880" w:type="dxa"/>
          </w:tcPr>
          <w:p w14:paraId="27AB3D1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Frontend, APIs, App Services, telemetry</w:t>
            </w:r>
          </w:p>
        </w:tc>
        <w:tc>
          <w:tcPr>
            <w:tcW w:w="2016" w:type="dxa"/>
            <w:vAlign w:val="center"/>
          </w:tcPr>
          <w:p w14:paraId="6F52C9D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2592" w:type="dxa"/>
            <w:vAlign w:val="center"/>
          </w:tcPr>
          <w:p w14:paraId="5615D89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7DF77D63" w14:textId="77777777">
        <w:trPr>
          <w:jc w:val="center"/>
        </w:trPr>
        <w:tc>
          <w:tcPr>
            <w:tcW w:w="2880" w:type="dxa"/>
          </w:tcPr>
          <w:p w14:paraId="2FD5F5B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rg-grailbabedev-compute-dev-eus2</w:t>
            </w:r>
          </w:p>
        </w:tc>
        <w:tc>
          <w:tcPr>
            <w:tcW w:w="2880" w:type="dxa"/>
          </w:tcPr>
          <w:p w14:paraId="3E407F8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Existing GrailBabe dev compute resources</w:t>
            </w:r>
          </w:p>
        </w:tc>
        <w:tc>
          <w:tcPr>
            <w:tcW w:w="2880" w:type="dxa"/>
          </w:tcPr>
          <w:p w14:paraId="4B68C57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Container Apps and compute workloads</w:t>
            </w:r>
          </w:p>
        </w:tc>
        <w:tc>
          <w:tcPr>
            <w:tcW w:w="2016" w:type="dxa"/>
            <w:vAlign w:val="center"/>
          </w:tcPr>
          <w:p w14:paraId="0D6C504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2592" w:type="dxa"/>
            <w:vAlign w:val="center"/>
          </w:tcPr>
          <w:p w14:paraId="0F4FA84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37D503F2" w14:textId="77777777">
        <w:trPr>
          <w:jc w:val="center"/>
        </w:trPr>
        <w:tc>
          <w:tcPr>
            <w:tcW w:w="2880" w:type="dxa"/>
          </w:tcPr>
          <w:p w14:paraId="1A9237C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rg-grailbabedev-monitoring-dev-eus2</w:t>
            </w:r>
          </w:p>
        </w:tc>
        <w:tc>
          <w:tcPr>
            <w:tcW w:w="2880" w:type="dxa"/>
          </w:tcPr>
          <w:p w14:paraId="7671931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Existing GrailBabe monitoring resources</w:t>
            </w:r>
          </w:p>
        </w:tc>
        <w:tc>
          <w:tcPr>
            <w:tcW w:w="2880" w:type="dxa"/>
          </w:tcPr>
          <w:p w14:paraId="7E24F17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Logs, telemetry, diagnostics</w:t>
            </w:r>
          </w:p>
        </w:tc>
        <w:tc>
          <w:tcPr>
            <w:tcW w:w="2016" w:type="dxa"/>
            <w:vAlign w:val="center"/>
          </w:tcPr>
          <w:p w14:paraId="6A500B5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2592" w:type="dxa"/>
            <w:vAlign w:val="center"/>
          </w:tcPr>
          <w:p w14:paraId="1BD0E45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bl>
    <w:p w14:paraId="02053E0C" w14:textId="77777777" w:rsidR="00220E54" w:rsidRPr="002515CE" w:rsidRDefault="007D4632">
      <w:pPr>
        <w:pStyle w:val="Heading1"/>
        <w:rPr>
          <w:rFonts w:cstheme="majorHAnsi"/>
          <w:sz w:val="24"/>
          <w:szCs w:val="24"/>
        </w:rPr>
      </w:pPr>
      <w:bookmarkStart w:id="26" w:name="_Toc230176795"/>
      <w:r w:rsidRPr="002515CE">
        <w:rPr>
          <w:rFonts w:cstheme="majorHAnsi"/>
          <w:sz w:val="24"/>
          <w:szCs w:val="24"/>
        </w:rPr>
        <w:t>Subscription Architecture Clarification</w:t>
      </w:r>
      <w:bookmarkEnd w:id="26"/>
    </w:p>
    <w:p w14:paraId="1E2A11C0"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Orbit Command Center does not use a dedicated subscription per resource or per service. The architecture follows Azure enterprise best practices by centralizing related platform resources into a shared production subscription (sub-sharedplatform-prod) with separation handled through resource groups, RBAC, tagging, and workload isolation.</w:t>
      </w:r>
    </w:p>
    <w:p w14:paraId="1187FB85" w14:textId="019E1B24"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This model simplifies governance, policy management, networking, monitoring, and cost allocation while reducing operational overhead.</w:t>
      </w:r>
      <w:r w:rsidRPr="002515CE">
        <w:rPr>
          <w:rFonts w:asciiTheme="majorHAnsi" w:hAnsiTheme="majorHAnsi" w:cstheme="majorHAnsi"/>
          <w:sz w:val="24"/>
          <w:szCs w:val="24"/>
        </w:rPr>
        <w:br w:type="page"/>
      </w:r>
    </w:p>
    <w:p w14:paraId="28C8D152" w14:textId="77777777" w:rsidR="00220E54" w:rsidRPr="002515CE" w:rsidRDefault="007D4632">
      <w:pPr>
        <w:pStyle w:val="Heading1"/>
        <w:rPr>
          <w:rFonts w:cstheme="majorHAnsi"/>
          <w:sz w:val="24"/>
          <w:szCs w:val="24"/>
        </w:rPr>
      </w:pPr>
      <w:bookmarkStart w:id="27" w:name="_Toc230176796"/>
      <w:r w:rsidRPr="002515CE">
        <w:rPr>
          <w:rFonts w:cstheme="majorHAnsi"/>
          <w:sz w:val="24"/>
          <w:szCs w:val="24"/>
        </w:rPr>
        <w:lastRenderedPageBreak/>
        <w:t>Regional Deployment Standard</w:t>
      </w:r>
      <w:bookmarkEnd w:id="27"/>
    </w:p>
    <w:p w14:paraId="3B12EC83"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All Orbit Command Center infrastructure and associated platform resources are currently standardized on a single Azure region: eastus2 (eus2).</w:t>
      </w:r>
    </w:p>
    <w:p w14:paraId="6008407E"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No multi-region deployment architecture is currently planned. All Orbit production, monitoring, networking, telemetry, and platform resources will be deployed within eastus2 under the shared production subscription 'sub-sharedplatform-prod'. Application-owned resources remain in their owning subscriptions.</w:t>
      </w:r>
    </w:p>
    <w:p w14:paraId="379F18FC"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Future multi-region expansion may be evaluated later for disaster recovery, latency optimization, or compliance requirements, but is intentionally out of scope for the current platform architecture.</w:t>
      </w:r>
    </w:p>
    <w:p w14:paraId="6D8E5502" w14:textId="77777777" w:rsidR="00220E54" w:rsidRPr="002515CE" w:rsidRDefault="007D4632">
      <w:pPr>
        <w:pStyle w:val="Heading1"/>
        <w:rPr>
          <w:rFonts w:cstheme="majorHAnsi"/>
          <w:sz w:val="24"/>
          <w:szCs w:val="24"/>
        </w:rPr>
      </w:pPr>
      <w:bookmarkStart w:id="28" w:name="_Toc230176797"/>
      <w:r w:rsidRPr="002515CE">
        <w:rPr>
          <w:rFonts w:cstheme="majorHAnsi"/>
          <w:sz w:val="24"/>
          <w:szCs w:val="24"/>
        </w:rPr>
        <w:t>Finalized Resource Groups for eastus2</w:t>
      </w:r>
      <w:bookmarkEnd w:id="28"/>
    </w:p>
    <w:tbl>
      <w:tblPr>
        <w:tblStyle w:val="TableGrid"/>
        <w:tblW w:w="0" w:type="auto"/>
        <w:jc w:val="center"/>
        <w:tblLook w:val="04A0" w:firstRow="1" w:lastRow="0" w:firstColumn="1" w:lastColumn="0" w:noHBand="0" w:noVBand="1"/>
      </w:tblPr>
      <w:tblGrid>
        <w:gridCol w:w="2029"/>
        <w:gridCol w:w="2033"/>
        <w:gridCol w:w="908"/>
        <w:gridCol w:w="1682"/>
        <w:gridCol w:w="1978"/>
      </w:tblGrid>
      <w:tr w:rsidR="00220E54" w:rsidRPr="002515CE" w14:paraId="63C1E582" w14:textId="77777777">
        <w:trPr>
          <w:jc w:val="center"/>
        </w:trPr>
        <w:tc>
          <w:tcPr>
            <w:tcW w:w="2880" w:type="dxa"/>
            <w:shd w:val="clear" w:color="auto" w:fill="1F4E79"/>
            <w:vAlign w:val="center"/>
          </w:tcPr>
          <w:p w14:paraId="0860294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2880" w:type="dxa"/>
            <w:shd w:val="clear" w:color="auto" w:fill="1F4E79"/>
            <w:vAlign w:val="center"/>
          </w:tcPr>
          <w:p w14:paraId="6C1C9D3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Purpose</w:t>
            </w:r>
          </w:p>
        </w:tc>
        <w:tc>
          <w:tcPr>
            <w:tcW w:w="2880" w:type="dxa"/>
            <w:shd w:val="clear" w:color="auto" w:fill="1F4E79"/>
            <w:vAlign w:val="center"/>
          </w:tcPr>
          <w:p w14:paraId="20C88D6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Region</w:t>
            </w:r>
          </w:p>
        </w:tc>
        <w:tc>
          <w:tcPr>
            <w:tcW w:w="1575" w:type="dxa"/>
            <w:shd w:val="clear" w:color="auto" w:fill="1F4E79"/>
            <w:vAlign w:val="center"/>
          </w:tcPr>
          <w:p w14:paraId="48E50E9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2592" w:type="dxa"/>
            <w:shd w:val="clear" w:color="auto" w:fill="1F4E79"/>
            <w:vAlign w:val="center"/>
          </w:tcPr>
          <w:p w14:paraId="166CB75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Convention</w:t>
            </w:r>
          </w:p>
        </w:tc>
      </w:tr>
      <w:tr w:rsidR="00220E54" w:rsidRPr="002515CE" w14:paraId="42F16816" w14:textId="77777777">
        <w:trPr>
          <w:jc w:val="center"/>
        </w:trPr>
        <w:tc>
          <w:tcPr>
            <w:tcW w:w="2880" w:type="dxa"/>
            <w:vAlign w:val="center"/>
          </w:tcPr>
          <w:p w14:paraId="208E9DD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880" w:type="dxa"/>
            <w:vAlign w:val="center"/>
          </w:tcPr>
          <w:p w14:paraId="1A4942D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Primary Orbit production platform</w:t>
            </w:r>
          </w:p>
        </w:tc>
        <w:tc>
          <w:tcPr>
            <w:tcW w:w="2880" w:type="dxa"/>
            <w:vAlign w:val="center"/>
          </w:tcPr>
          <w:p w14:paraId="07967C9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3335723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246B498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5BD83840" w14:textId="77777777">
        <w:trPr>
          <w:jc w:val="center"/>
        </w:trPr>
        <w:tc>
          <w:tcPr>
            <w:tcW w:w="2880" w:type="dxa"/>
            <w:vAlign w:val="center"/>
          </w:tcPr>
          <w:p w14:paraId="4232E0D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880" w:type="dxa"/>
            <w:vAlign w:val="center"/>
          </w:tcPr>
          <w:p w14:paraId="34E98C6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networking and private connectivity</w:t>
            </w:r>
          </w:p>
        </w:tc>
        <w:tc>
          <w:tcPr>
            <w:tcW w:w="2880" w:type="dxa"/>
            <w:vAlign w:val="center"/>
          </w:tcPr>
          <w:p w14:paraId="7EBCFB0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32F715A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4C07A1D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6F0F2B2B" w14:textId="77777777">
        <w:trPr>
          <w:jc w:val="center"/>
        </w:trPr>
        <w:tc>
          <w:tcPr>
            <w:tcW w:w="2880" w:type="dxa"/>
            <w:vAlign w:val="center"/>
          </w:tcPr>
          <w:p w14:paraId="10F2E13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rg-kinisislabs-platform-monitoring-prod-eus2</w:t>
            </w:r>
          </w:p>
        </w:tc>
        <w:tc>
          <w:tcPr>
            <w:tcW w:w="2880" w:type="dxa"/>
            <w:vAlign w:val="center"/>
          </w:tcPr>
          <w:p w14:paraId="50B6DF6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centralized monitoring and diagnostics</w:t>
            </w:r>
          </w:p>
        </w:tc>
        <w:tc>
          <w:tcPr>
            <w:tcW w:w="2880" w:type="dxa"/>
            <w:vAlign w:val="center"/>
          </w:tcPr>
          <w:p w14:paraId="12A49BB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4FF7025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592" w:type="dxa"/>
            <w:vAlign w:val="center"/>
          </w:tcPr>
          <w:p w14:paraId="5221A04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1C3CC835" w14:textId="77777777">
        <w:trPr>
          <w:jc w:val="center"/>
        </w:trPr>
        <w:tc>
          <w:tcPr>
            <w:tcW w:w="2880" w:type="dxa"/>
            <w:vAlign w:val="center"/>
          </w:tcPr>
          <w:p w14:paraId="33F80D3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2880" w:type="dxa"/>
            <w:vAlign w:val="center"/>
          </w:tcPr>
          <w:p w14:paraId="4E20469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production workloads</w:t>
            </w:r>
          </w:p>
        </w:tc>
        <w:tc>
          <w:tcPr>
            <w:tcW w:w="2880" w:type="dxa"/>
            <w:vAlign w:val="center"/>
          </w:tcPr>
          <w:p w14:paraId="47418EA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390AC7E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2592" w:type="dxa"/>
            <w:vAlign w:val="center"/>
          </w:tcPr>
          <w:p w14:paraId="6DA2DE7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354C1788" w14:textId="77777777">
        <w:trPr>
          <w:jc w:val="center"/>
        </w:trPr>
        <w:tc>
          <w:tcPr>
            <w:tcW w:w="2880" w:type="dxa"/>
            <w:vAlign w:val="center"/>
          </w:tcPr>
          <w:p w14:paraId="62D9586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rg-grailbabedev-compute-dev-eus2</w:t>
            </w:r>
          </w:p>
        </w:tc>
        <w:tc>
          <w:tcPr>
            <w:tcW w:w="2880" w:type="dxa"/>
            <w:vAlign w:val="center"/>
          </w:tcPr>
          <w:p w14:paraId="4721DF6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development compute</w:t>
            </w:r>
          </w:p>
        </w:tc>
        <w:tc>
          <w:tcPr>
            <w:tcW w:w="2880" w:type="dxa"/>
            <w:vAlign w:val="center"/>
          </w:tcPr>
          <w:p w14:paraId="798561A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0CFFB2E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2592" w:type="dxa"/>
            <w:vAlign w:val="center"/>
          </w:tcPr>
          <w:p w14:paraId="487E6DE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47D3A8DF" w14:textId="77777777">
        <w:trPr>
          <w:jc w:val="center"/>
        </w:trPr>
        <w:tc>
          <w:tcPr>
            <w:tcW w:w="2880" w:type="dxa"/>
            <w:vAlign w:val="center"/>
          </w:tcPr>
          <w:p w14:paraId="432F8E9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rg-grailbabedev-monitoring-dev-eus2</w:t>
            </w:r>
          </w:p>
        </w:tc>
        <w:tc>
          <w:tcPr>
            <w:tcW w:w="2880" w:type="dxa"/>
            <w:vAlign w:val="center"/>
          </w:tcPr>
          <w:p w14:paraId="127E8DC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development monitoring</w:t>
            </w:r>
          </w:p>
        </w:tc>
        <w:tc>
          <w:tcPr>
            <w:tcW w:w="2880" w:type="dxa"/>
            <w:vAlign w:val="center"/>
          </w:tcPr>
          <w:p w14:paraId="1C10D67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4D016E2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2592" w:type="dxa"/>
            <w:vAlign w:val="center"/>
          </w:tcPr>
          <w:p w14:paraId="4AEB817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55A46118" w14:textId="77777777">
        <w:trPr>
          <w:jc w:val="center"/>
        </w:trPr>
        <w:tc>
          <w:tcPr>
            <w:tcW w:w="2880" w:type="dxa"/>
            <w:vAlign w:val="center"/>
          </w:tcPr>
          <w:p w14:paraId="1E0254A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NetworkWatcherRG</w:t>
            </w:r>
          </w:p>
        </w:tc>
        <w:tc>
          <w:tcPr>
            <w:tcW w:w="2880" w:type="dxa"/>
            <w:vAlign w:val="center"/>
          </w:tcPr>
          <w:p w14:paraId="5A760B6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Azure-managed Network Watcher resource group - one per subscription/region, not one per app</w:t>
            </w:r>
          </w:p>
        </w:tc>
        <w:tc>
          <w:tcPr>
            <w:tcW w:w="2880" w:type="dxa"/>
            <w:vAlign w:val="center"/>
          </w:tcPr>
          <w:p w14:paraId="7DA0DAA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575" w:type="dxa"/>
            <w:vAlign w:val="center"/>
          </w:tcPr>
          <w:p w14:paraId="1EF1A0F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Each active subscription</w:t>
            </w:r>
          </w:p>
        </w:tc>
        <w:tc>
          <w:tcPr>
            <w:tcW w:w="2592" w:type="dxa"/>
            <w:vAlign w:val="center"/>
          </w:tcPr>
          <w:p w14:paraId="36B8410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Azure-managed RG; per subscription/region</w:t>
            </w:r>
          </w:p>
        </w:tc>
      </w:tr>
    </w:tbl>
    <w:p w14:paraId="1E2DB99A"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br w:type="page"/>
      </w:r>
    </w:p>
    <w:p w14:paraId="5B36014A" w14:textId="77777777" w:rsidR="00220E54" w:rsidRPr="002515CE" w:rsidRDefault="007D4632">
      <w:pPr>
        <w:pStyle w:val="Heading1"/>
        <w:rPr>
          <w:rFonts w:cstheme="majorHAnsi"/>
          <w:sz w:val="24"/>
          <w:szCs w:val="24"/>
        </w:rPr>
      </w:pPr>
      <w:bookmarkStart w:id="29" w:name="_Toc230176798"/>
      <w:r w:rsidRPr="002515CE">
        <w:rPr>
          <w:rFonts w:cstheme="majorHAnsi"/>
          <w:sz w:val="24"/>
          <w:szCs w:val="24"/>
        </w:rPr>
        <w:lastRenderedPageBreak/>
        <w:t>Cost-Control Architecture Simplification</w:t>
      </w:r>
      <w:bookmarkEnd w:id="29"/>
    </w:p>
    <w:p w14:paraId="41DC6480"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This section clarifies the simplified Azure layout used to control cost and avoid over-engineering. The model separates subscriptions only where ownership and environments require it, while keeping shared platform services centralized.</w:t>
      </w:r>
    </w:p>
    <w:tbl>
      <w:tblPr>
        <w:tblStyle w:val="TableGrid"/>
        <w:tblW w:w="0" w:type="auto"/>
        <w:jc w:val="center"/>
        <w:tblLook w:val="04A0" w:firstRow="1" w:lastRow="0" w:firstColumn="1" w:lastColumn="0" w:noHBand="0" w:noVBand="1"/>
      </w:tblPr>
      <w:tblGrid>
        <w:gridCol w:w="1793"/>
        <w:gridCol w:w="2633"/>
        <w:gridCol w:w="1907"/>
        <w:gridCol w:w="2297"/>
      </w:tblGrid>
      <w:tr w:rsidR="00220E54" w:rsidRPr="002515CE" w14:paraId="659138D5" w14:textId="77777777">
        <w:trPr>
          <w:jc w:val="center"/>
        </w:trPr>
        <w:tc>
          <w:tcPr>
            <w:tcW w:w="2160" w:type="dxa"/>
            <w:shd w:val="clear" w:color="auto" w:fill="1F4E79"/>
            <w:vAlign w:val="center"/>
          </w:tcPr>
          <w:p w14:paraId="3F085C9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Component</w:t>
            </w:r>
          </w:p>
        </w:tc>
        <w:tc>
          <w:tcPr>
            <w:tcW w:w="2160" w:type="dxa"/>
            <w:shd w:val="clear" w:color="auto" w:fill="1F4E79"/>
            <w:vAlign w:val="center"/>
          </w:tcPr>
          <w:p w14:paraId="3ED3E6E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Scope</w:t>
            </w:r>
          </w:p>
        </w:tc>
        <w:tc>
          <w:tcPr>
            <w:tcW w:w="2160" w:type="dxa"/>
            <w:shd w:val="clear" w:color="auto" w:fill="1F4E79"/>
            <w:vAlign w:val="center"/>
          </w:tcPr>
          <w:p w14:paraId="624D85D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Recommended Count</w:t>
            </w:r>
          </w:p>
        </w:tc>
        <w:tc>
          <w:tcPr>
            <w:tcW w:w="2160" w:type="dxa"/>
            <w:shd w:val="clear" w:color="auto" w:fill="1F4E79"/>
            <w:vAlign w:val="center"/>
          </w:tcPr>
          <w:p w14:paraId="5314F1E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Cost-Control Rationale</w:t>
            </w:r>
          </w:p>
        </w:tc>
      </w:tr>
      <w:tr w:rsidR="00220E54" w:rsidRPr="002515CE" w14:paraId="6F977894" w14:textId="77777777">
        <w:trPr>
          <w:jc w:val="center"/>
        </w:trPr>
        <w:tc>
          <w:tcPr>
            <w:tcW w:w="2160" w:type="dxa"/>
            <w:vAlign w:val="center"/>
          </w:tcPr>
          <w:p w14:paraId="0F3E1E4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 Watcher</w:t>
            </w:r>
          </w:p>
        </w:tc>
        <w:tc>
          <w:tcPr>
            <w:tcW w:w="2160" w:type="dxa"/>
            <w:vAlign w:val="center"/>
          </w:tcPr>
          <w:p w14:paraId="5D1BFD3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Subscription + region</w:t>
            </w:r>
          </w:p>
        </w:tc>
        <w:tc>
          <w:tcPr>
            <w:tcW w:w="2160" w:type="dxa"/>
            <w:vAlign w:val="center"/>
          </w:tcPr>
          <w:p w14:paraId="15CDA05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per active subscription in eastus2</w:t>
            </w:r>
          </w:p>
        </w:tc>
        <w:tc>
          <w:tcPr>
            <w:tcW w:w="2160" w:type="dxa"/>
            <w:vAlign w:val="center"/>
          </w:tcPr>
          <w:p w14:paraId="0C8BF08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Do not create per app. It is subscription/regional infrastructure.</w:t>
            </w:r>
          </w:p>
        </w:tc>
      </w:tr>
      <w:tr w:rsidR="00220E54" w:rsidRPr="002515CE" w14:paraId="1A3907C1" w14:textId="77777777">
        <w:trPr>
          <w:jc w:val="center"/>
        </w:trPr>
        <w:tc>
          <w:tcPr>
            <w:tcW w:w="2160" w:type="dxa"/>
            <w:vAlign w:val="center"/>
          </w:tcPr>
          <w:p w14:paraId="20F9CA8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Key Vault</w:t>
            </w:r>
          </w:p>
        </w:tc>
        <w:tc>
          <w:tcPr>
            <w:tcW w:w="2160" w:type="dxa"/>
            <w:vAlign w:val="center"/>
          </w:tcPr>
          <w:p w14:paraId="29DBE4E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Application + environment + region</w:t>
            </w:r>
          </w:p>
        </w:tc>
        <w:tc>
          <w:tcPr>
            <w:tcW w:w="2160" w:type="dxa"/>
            <w:vAlign w:val="center"/>
          </w:tcPr>
          <w:p w14:paraId="73E84FE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per app environment</w:t>
            </w:r>
          </w:p>
        </w:tc>
        <w:tc>
          <w:tcPr>
            <w:tcW w:w="2160" w:type="dxa"/>
            <w:vAlign w:val="center"/>
          </w:tcPr>
          <w:p w14:paraId="324EF5D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Reduces blast radius and keeps app secrets separated without adding subscriptions.</w:t>
            </w:r>
          </w:p>
        </w:tc>
      </w:tr>
      <w:tr w:rsidR="00220E54" w:rsidRPr="002515CE" w14:paraId="1D0D3AAE" w14:textId="77777777">
        <w:trPr>
          <w:jc w:val="center"/>
        </w:trPr>
        <w:tc>
          <w:tcPr>
            <w:tcW w:w="2160" w:type="dxa"/>
            <w:vAlign w:val="center"/>
          </w:tcPr>
          <w:p w14:paraId="18EB2CC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 Analytics</w:t>
            </w:r>
          </w:p>
        </w:tc>
        <w:tc>
          <w:tcPr>
            <w:tcW w:w="2160" w:type="dxa"/>
            <w:vAlign w:val="center"/>
          </w:tcPr>
          <w:p w14:paraId="112110C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Platform or app monitoring scope</w:t>
            </w:r>
          </w:p>
        </w:tc>
        <w:tc>
          <w:tcPr>
            <w:tcW w:w="2160" w:type="dxa"/>
            <w:vAlign w:val="center"/>
          </w:tcPr>
          <w:p w14:paraId="3C8D774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Reuse where practical</w:t>
            </w:r>
          </w:p>
        </w:tc>
        <w:tc>
          <w:tcPr>
            <w:tcW w:w="2160" w:type="dxa"/>
            <w:vAlign w:val="center"/>
          </w:tcPr>
          <w:p w14:paraId="1A251E6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Avoid unnecessary workspaces unless isolation or retention differs.</w:t>
            </w:r>
          </w:p>
        </w:tc>
      </w:tr>
      <w:tr w:rsidR="00220E54" w:rsidRPr="002515CE" w14:paraId="6EDEF231" w14:textId="77777777">
        <w:trPr>
          <w:jc w:val="center"/>
        </w:trPr>
        <w:tc>
          <w:tcPr>
            <w:tcW w:w="2160" w:type="dxa"/>
            <w:vAlign w:val="center"/>
          </w:tcPr>
          <w:p w14:paraId="1F90DB1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Resource Groups</w:t>
            </w:r>
          </w:p>
        </w:tc>
        <w:tc>
          <w:tcPr>
            <w:tcW w:w="2160" w:type="dxa"/>
            <w:vAlign w:val="center"/>
          </w:tcPr>
          <w:p w14:paraId="1331A57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Workload/function boundary</w:t>
            </w:r>
          </w:p>
        </w:tc>
        <w:tc>
          <w:tcPr>
            <w:tcW w:w="2160" w:type="dxa"/>
            <w:vAlign w:val="center"/>
          </w:tcPr>
          <w:p w14:paraId="72A5DB8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Small number of clear RGs</w:t>
            </w:r>
          </w:p>
        </w:tc>
        <w:tc>
          <w:tcPr>
            <w:tcW w:w="2160" w:type="dxa"/>
            <w:vAlign w:val="center"/>
          </w:tcPr>
          <w:p w14:paraId="5FE4FD8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 RGs, RBAC, and tags instead of extra subscriptions.</w:t>
            </w:r>
          </w:p>
        </w:tc>
      </w:tr>
      <w:tr w:rsidR="00220E54" w:rsidRPr="002515CE" w14:paraId="05D09BB9" w14:textId="77777777">
        <w:trPr>
          <w:jc w:val="center"/>
        </w:trPr>
        <w:tc>
          <w:tcPr>
            <w:tcW w:w="2160" w:type="dxa"/>
            <w:vAlign w:val="center"/>
          </w:tcPr>
          <w:p w14:paraId="79FE2CF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Subscriptions</w:t>
            </w:r>
          </w:p>
        </w:tc>
        <w:tc>
          <w:tcPr>
            <w:tcW w:w="2160" w:type="dxa"/>
            <w:vAlign w:val="center"/>
          </w:tcPr>
          <w:p w14:paraId="270F366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Ownership/environment boundary</w:t>
            </w:r>
          </w:p>
        </w:tc>
        <w:tc>
          <w:tcPr>
            <w:tcW w:w="2160" w:type="dxa"/>
            <w:vAlign w:val="center"/>
          </w:tcPr>
          <w:p w14:paraId="0DA5E17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 existing subscriptions</w:t>
            </w:r>
          </w:p>
        </w:tc>
        <w:tc>
          <w:tcPr>
            <w:tcW w:w="2160" w:type="dxa"/>
            <w:vAlign w:val="center"/>
          </w:tcPr>
          <w:p w14:paraId="2FC7248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stays in sub-sharedplatform-prod; apps stay in their owning subscriptions.</w:t>
            </w:r>
          </w:p>
        </w:tc>
      </w:tr>
    </w:tbl>
    <w:p w14:paraId="2EF2AB6D" w14:textId="77777777" w:rsidR="00220E54" w:rsidRPr="002515CE" w:rsidRDefault="007D4632">
      <w:pPr>
        <w:pStyle w:val="Heading2"/>
        <w:rPr>
          <w:rFonts w:cstheme="majorHAnsi"/>
          <w:sz w:val="24"/>
          <w:szCs w:val="24"/>
        </w:rPr>
      </w:pPr>
      <w:bookmarkStart w:id="30" w:name="_Toc230176799"/>
      <w:r w:rsidRPr="002515CE">
        <w:rPr>
          <w:rFonts w:cstheme="majorHAnsi"/>
          <w:sz w:val="24"/>
          <w:szCs w:val="24"/>
        </w:rPr>
        <w:t>Network Watcher Placement</w:t>
      </w:r>
      <w:bookmarkEnd w:id="30"/>
    </w:p>
    <w:tbl>
      <w:tblPr>
        <w:tblStyle w:val="TableGrid"/>
        <w:tblW w:w="0" w:type="auto"/>
        <w:jc w:val="center"/>
        <w:tblLook w:val="04A0" w:firstRow="1" w:lastRow="0" w:firstColumn="1" w:lastColumn="0" w:noHBand="0" w:noVBand="1"/>
      </w:tblPr>
      <w:tblGrid>
        <w:gridCol w:w="1959"/>
        <w:gridCol w:w="1478"/>
        <w:gridCol w:w="1547"/>
        <w:gridCol w:w="1791"/>
        <w:gridCol w:w="1855"/>
      </w:tblGrid>
      <w:tr w:rsidR="00220E54" w:rsidRPr="002515CE" w14:paraId="1B59AAD2" w14:textId="77777777">
        <w:trPr>
          <w:jc w:val="center"/>
        </w:trPr>
        <w:tc>
          <w:tcPr>
            <w:tcW w:w="2160" w:type="dxa"/>
            <w:shd w:val="clear" w:color="auto" w:fill="1F4E79"/>
            <w:vAlign w:val="center"/>
          </w:tcPr>
          <w:p w14:paraId="2EA7365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2160" w:type="dxa"/>
            <w:shd w:val="clear" w:color="auto" w:fill="1F4E79"/>
            <w:vAlign w:val="center"/>
          </w:tcPr>
          <w:p w14:paraId="5FDB5A0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Region</w:t>
            </w:r>
          </w:p>
        </w:tc>
        <w:tc>
          <w:tcPr>
            <w:tcW w:w="2160" w:type="dxa"/>
            <w:shd w:val="clear" w:color="auto" w:fill="1F4E79"/>
            <w:vAlign w:val="center"/>
          </w:tcPr>
          <w:p w14:paraId="7D18A20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Network Watcher Model</w:t>
            </w:r>
          </w:p>
        </w:tc>
        <w:tc>
          <w:tcPr>
            <w:tcW w:w="2160" w:type="dxa"/>
            <w:shd w:val="clear" w:color="auto" w:fill="1F4E79"/>
            <w:vAlign w:val="center"/>
          </w:tcPr>
          <w:p w14:paraId="350C627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Notes</w:t>
            </w:r>
          </w:p>
        </w:tc>
        <w:tc>
          <w:tcPr>
            <w:tcW w:w="2448" w:type="dxa"/>
            <w:shd w:val="clear" w:color="auto" w:fill="1F4E79"/>
            <w:vAlign w:val="center"/>
          </w:tcPr>
          <w:p w14:paraId="372B835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 Scope Rule</w:t>
            </w:r>
          </w:p>
        </w:tc>
      </w:tr>
      <w:tr w:rsidR="00220E54" w:rsidRPr="002515CE" w14:paraId="0EC3B162" w14:textId="77777777">
        <w:trPr>
          <w:jc w:val="center"/>
        </w:trPr>
        <w:tc>
          <w:tcPr>
            <w:tcW w:w="2160" w:type="dxa"/>
            <w:vAlign w:val="center"/>
          </w:tcPr>
          <w:p w14:paraId="59FAFF7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160" w:type="dxa"/>
            <w:vAlign w:val="center"/>
          </w:tcPr>
          <w:p w14:paraId="0D26AB5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1F888DF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54BAF04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Used by Orbit/shared platform networking diagnostics.</w:t>
            </w:r>
          </w:p>
        </w:tc>
        <w:tc>
          <w:tcPr>
            <w:tcW w:w="2448" w:type="dxa"/>
            <w:vAlign w:val="center"/>
          </w:tcPr>
          <w:p w14:paraId="22A0D2C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r w:rsidR="00220E54" w:rsidRPr="002515CE" w14:paraId="7812738D" w14:textId="77777777">
        <w:trPr>
          <w:jc w:val="center"/>
        </w:trPr>
        <w:tc>
          <w:tcPr>
            <w:tcW w:w="2160" w:type="dxa"/>
            <w:vAlign w:val="center"/>
          </w:tcPr>
          <w:p w14:paraId="0478A4D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2160" w:type="dxa"/>
            <w:vAlign w:val="center"/>
          </w:tcPr>
          <w:p w14:paraId="2358945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183F84F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57DD4D9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Used by GrailBabe production networking diagnostics.</w:t>
            </w:r>
          </w:p>
        </w:tc>
        <w:tc>
          <w:tcPr>
            <w:tcW w:w="2448" w:type="dxa"/>
            <w:vAlign w:val="center"/>
          </w:tcPr>
          <w:p w14:paraId="5FF5E9A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r w:rsidR="00220E54" w:rsidRPr="002515CE" w14:paraId="14FE843A" w14:textId="77777777">
        <w:trPr>
          <w:jc w:val="center"/>
        </w:trPr>
        <w:tc>
          <w:tcPr>
            <w:tcW w:w="2160" w:type="dxa"/>
            <w:vAlign w:val="center"/>
          </w:tcPr>
          <w:p w14:paraId="76E7E30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sub-grailbabedev-dev</w:t>
            </w:r>
          </w:p>
        </w:tc>
        <w:tc>
          <w:tcPr>
            <w:tcW w:w="2160" w:type="dxa"/>
            <w:vAlign w:val="center"/>
          </w:tcPr>
          <w:p w14:paraId="38FD78A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6F0A9B4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04F3A8E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Used by GrailBabe development networking diagnostics.</w:t>
            </w:r>
          </w:p>
        </w:tc>
        <w:tc>
          <w:tcPr>
            <w:tcW w:w="2448" w:type="dxa"/>
            <w:vAlign w:val="center"/>
          </w:tcPr>
          <w:p w14:paraId="12A3123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bl>
    <w:p w14:paraId="03235A0C" w14:textId="77777777" w:rsidR="00220E54" w:rsidRPr="002515CE" w:rsidRDefault="007D4632">
      <w:pPr>
        <w:pStyle w:val="Heading2"/>
        <w:rPr>
          <w:rFonts w:cstheme="majorHAnsi"/>
          <w:sz w:val="24"/>
          <w:szCs w:val="24"/>
        </w:rPr>
      </w:pPr>
      <w:bookmarkStart w:id="31" w:name="_Toc230176800"/>
      <w:r w:rsidRPr="002515CE">
        <w:rPr>
          <w:rFonts w:cstheme="majorHAnsi"/>
          <w:sz w:val="24"/>
          <w:szCs w:val="24"/>
        </w:rPr>
        <w:t>Key Vault Placement</w:t>
      </w:r>
      <w:bookmarkEnd w:id="31"/>
    </w:p>
    <w:tbl>
      <w:tblPr>
        <w:tblStyle w:val="TableGrid"/>
        <w:tblW w:w="0" w:type="auto"/>
        <w:jc w:val="center"/>
        <w:tblLook w:val="04A0" w:firstRow="1" w:lastRow="0" w:firstColumn="1" w:lastColumn="0" w:noHBand="0" w:noVBand="1"/>
      </w:tblPr>
      <w:tblGrid>
        <w:gridCol w:w="1268"/>
        <w:gridCol w:w="1406"/>
        <w:gridCol w:w="1449"/>
        <w:gridCol w:w="1683"/>
        <w:gridCol w:w="1549"/>
        <w:gridCol w:w="1275"/>
      </w:tblGrid>
      <w:tr w:rsidR="00220E54" w:rsidRPr="002515CE" w14:paraId="06456DA3" w14:textId="77777777">
        <w:trPr>
          <w:jc w:val="center"/>
        </w:trPr>
        <w:tc>
          <w:tcPr>
            <w:tcW w:w="1728" w:type="dxa"/>
            <w:shd w:val="clear" w:color="auto" w:fill="1F4E79"/>
            <w:vAlign w:val="center"/>
          </w:tcPr>
          <w:p w14:paraId="7E4241F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Application</w:t>
            </w:r>
          </w:p>
        </w:tc>
        <w:tc>
          <w:tcPr>
            <w:tcW w:w="1728" w:type="dxa"/>
            <w:shd w:val="clear" w:color="auto" w:fill="1F4E79"/>
            <w:vAlign w:val="center"/>
          </w:tcPr>
          <w:p w14:paraId="4EE8B49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Environment</w:t>
            </w:r>
          </w:p>
        </w:tc>
        <w:tc>
          <w:tcPr>
            <w:tcW w:w="1728" w:type="dxa"/>
            <w:shd w:val="clear" w:color="auto" w:fill="1F4E79"/>
            <w:vAlign w:val="center"/>
          </w:tcPr>
          <w:p w14:paraId="5065B16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Key Vault</w:t>
            </w:r>
          </w:p>
        </w:tc>
        <w:tc>
          <w:tcPr>
            <w:tcW w:w="1728" w:type="dxa"/>
            <w:shd w:val="clear" w:color="auto" w:fill="1F4E79"/>
            <w:vAlign w:val="center"/>
          </w:tcPr>
          <w:p w14:paraId="685338A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1728" w:type="dxa"/>
            <w:shd w:val="clear" w:color="auto" w:fill="1F4E79"/>
            <w:vAlign w:val="center"/>
          </w:tcPr>
          <w:p w14:paraId="5BB1F52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2592" w:type="dxa"/>
            <w:shd w:val="clear" w:color="auto" w:fill="1F4E79"/>
            <w:vAlign w:val="center"/>
          </w:tcPr>
          <w:p w14:paraId="55179F4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Convention</w:t>
            </w:r>
          </w:p>
        </w:tc>
      </w:tr>
      <w:tr w:rsidR="00220E54" w:rsidRPr="002515CE" w14:paraId="107DBB21" w14:textId="77777777">
        <w:trPr>
          <w:jc w:val="center"/>
        </w:trPr>
        <w:tc>
          <w:tcPr>
            <w:tcW w:w="1728" w:type="dxa"/>
            <w:vAlign w:val="center"/>
          </w:tcPr>
          <w:p w14:paraId="308BC4B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w:t>
            </w:r>
          </w:p>
        </w:tc>
        <w:tc>
          <w:tcPr>
            <w:tcW w:w="1728" w:type="dxa"/>
            <w:vAlign w:val="center"/>
          </w:tcPr>
          <w:p w14:paraId="7D0619F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728" w:type="dxa"/>
            <w:vAlign w:val="center"/>
          </w:tcPr>
          <w:p w14:paraId="6E1ED3C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kv-orbit-prod-eus2</w:t>
            </w:r>
          </w:p>
        </w:tc>
        <w:tc>
          <w:tcPr>
            <w:tcW w:w="1728" w:type="dxa"/>
            <w:vAlign w:val="center"/>
          </w:tcPr>
          <w:p w14:paraId="2FAF31D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1728" w:type="dxa"/>
            <w:vAlign w:val="center"/>
          </w:tcPr>
          <w:p w14:paraId="6F18CA8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592" w:type="dxa"/>
            <w:vAlign w:val="center"/>
          </w:tcPr>
          <w:p w14:paraId="251E24F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r w:rsidR="00220E54" w:rsidRPr="002515CE" w14:paraId="28731788" w14:textId="77777777">
        <w:trPr>
          <w:jc w:val="center"/>
        </w:trPr>
        <w:tc>
          <w:tcPr>
            <w:tcW w:w="1728" w:type="dxa"/>
            <w:vAlign w:val="center"/>
          </w:tcPr>
          <w:p w14:paraId="4280A3D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728" w:type="dxa"/>
            <w:vAlign w:val="center"/>
          </w:tcPr>
          <w:p w14:paraId="5C19B06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728" w:type="dxa"/>
            <w:vAlign w:val="center"/>
          </w:tcPr>
          <w:p w14:paraId="6090C4E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kv-grailbabe-prod-eus2</w:t>
            </w:r>
          </w:p>
        </w:tc>
        <w:tc>
          <w:tcPr>
            <w:tcW w:w="1728" w:type="dxa"/>
            <w:vAlign w:val="center"/>
          </w:tcPr>
          <w:p w14:paraId="2CDE537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1728" w:type="dxa"/>
            <w:vAlign w:val="center"/>
          </w:tcPr>
          <w:p w14:paraId="6835DB7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2592" w:type="dxa"/>
            <w:vAlign w:val="center"/>
          </w:tcPr>
          <w:p w14:paraId="75325EF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r w:rsidR="00220E54" w:rsidRPr="002515CE" w14:paraId="67E9522B" w14:textId="77777777">
        <w:trPr>
          <w:jc w:val="center"/>
        </w:trPr>
        <w:tc>
          <w:tcPr>
            <w:tcW w:w="1728" w:type="dxa"/>
            <w:vAlign w:val="center"/>
          </w:tcPr>
          <w:p w14:paraId="625A8D6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728" w:type="dxa"/>
            <w:vAlign w:val="center"/>
          </w:tcPr>
          <w:p w14:paraId="46EF8FD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dev</w:t>
            </w:r>
          </w:p>
        </w:tc>
        <w:tc>
          <w:tcPr>
            <w:tcW w:w="1728" w:type="dxa"/>
            <w:vAlign w:val="center"/>
          </w:tcPr>
          <w:p w14:paraId="6F6D383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kv-grailbabedev-dev-eus2</w:t>
            </w:r>
          </w:p>
        </w:tc>
        <w:tc>
          <w:tcPr>
            <w:tcW w:w="1728" w:type="dxa"/>
            <w:vAlign w:val="center"/>
          </w:tcPr>
          <w:p w14:paraId="4C136AE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1728" w:type="dxa"/>
            <w:vAlign w:val="center"/>
          </w:tcPr>
          <w:p w14:paraId="1FF90B9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rg-grailbabedev-compute-dev-eus2</w:t>
            </w:r>
          </w:p>
        </w:tc>
        <w:tc>
          <w:tcPr>
            <w:tcW w:w="2592" w:type="dxa"/>
            <w:vAlign w:val="center"/>
          </w:tcPr>
          <w:p w14:paraId="303E7A5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bl>
    <w:p w14:paraId="7D023CA5"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Key Vault follows a different pattern than Network Watcher. Network Watcher is shared at the subscription/region level, while Key Vault is intentionally separated per application environment because it stores secrets and acts as a security boundary</w:t>
      </w:r>
      <w:r w:rsidR="004F4718" w:rsidRPr="002515CE">
        <w:rPr>
          <w:rFonts w:asciiTheme="majorHAnsi" w:hAnsiTheme="majorHAnsi" w:cstheme="majorHAnsi"/>
          <w:sz w:val="24"/>
          <w:szCs w:val="24"/>
        </w:rPr>
        <w:t>.</w:t>
      </w:r>
      <w:r w:rsidRPr="002515CE">
        <w:rPr>
          <w:rFonts w:asciiTheme="majorHAnsi" w:hAnsiTheme="majorHAnsi" w:cstheme="majorHAnsi"/>
          <w:sz w:val="24"/>
          <w:szCs w:val="24"/>
        </w:rPr>
        <w:br w:type="page"/>
      </w:r>
    </w:p>
    <w:p w14:paraId="59DD7DE6" w14:textId="77777777" w:rsidR="00220E54" w:rsidRPr="002515CE" w:rsidRDefault="007D4632">
      <w:pPr>
        <w:pStyle w:val="Heading1"/>
        <w:rPr>
          <w:rFonts w:cstheme="majorHAnsi"/>
          <w:sz w:val="24"/>
          <w:szCs w:val="24"/>
        </w:rPr>
      </w:pPr>
      <w:bookmarkStart w:id="32" w:name="_Toc230176801"/>
      <w:r w:rsidRPr="002515CE">
        <w:rPr>
          <w:rFonts w:cstheme="majorHAnsi"/>
          <w:sz w:val="24"/>
          <w:szCs w:val="24"/>
        </w:rPr>
        <w:lastRenderedPageBreak/>
        <w:t>16. External Domain and Deployment Plan</w:t>
      </w:r>
      <w:bookmarkEnd w:id="32"/>
    </w:p>
    <w:p w14:paraId="2133D96B" w14:textId="77777777" w:rsidR="00220E54" w:rsidRPr="002515CE" w:rsidRDefault="007D4632">
      <w:pPr>
        <w:pStyle w:val="Heading2"/>
        <w:rPr>
          <w:rFonts w:cstheme="majorHAnsi"/>
          <w:sz w:val="24"/>
          <w:szCs w:val="24"/>
        </w:rPr>
      </w:pPr>
      <w:bookmarkStart w:id="33" w:name="_Toc230176802"/>
      <w:r w:rsidRPr="002515CE">
        <w:rPr>
          <w:rFonts w:cstheme="majorHAnsi"/>
          <w:sz w:val="24"/>
          <w:szCs w:val="24"/>
        </w:rPr>
        <w:t>16.1 External Domain</w:t>
      </w:r>
      <w:bookmarkEnd w:id="33"/>
    </w:p>
    <w:p w14:paraId="5D2890D2"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external production domain for Orbit Command Center is klabsorbit.com. The domain will be connected to Azure Front Door and used as the primary public entry point for the Orbit web UI and API routing.</w:t>
      </w:r>
    </w:p>
    <w:p w14:paraId="7848B5E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Primary domain: klabsorbit.com</w:t>
      </w:r>
    </w:p>
    <w:p w14:paraId="18777B8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Azure entry point: Azure Front Door Standard/Premium</w:t>
      </w:r>
    </w:p>
    <w:p w14:paraId="3ACA68EB"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TLS: Azure Front Door managed certificate</w:t>
      </w:r>
    </w:p>
    <w:p w14:paraId="0227E3C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Recommended routing: klabsorbit.com for the web UI and klabsorbit.com/api/* for the Orbit API</w:t>
      </w:r>
    </w:p>
    <w:p w14:paraId="4F5A0C0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DNS ownership validation must be completed before enabling production traffic.</w:t>
      </w:r>
    </w:p>
    <w:tbl>
      <w:tblPr>
        <w:tblStyle w:val="TableGrid"/>
        <w:tblW w:w="0" w:type="auto"/>
        <w:jc w:val="center"/>
        <w:tblLook w:val="04A0" w:firstRow="1" w:lastRow="0" w:firstColumn="1" w:lastColumn="0" w:noHBand="0" w:noVBand="1"/>
      </w:tblPr>
      <w:tblGrid>
        <w:gridCol w:w="2792"/>
        <w:gridCol w:w="3025"/>
        <w:gridCol w:w="2813"/>
      </w:tblGrid>
      <w:tr w:rsidR="00220E54" w:rsidRPr="002515CE" w14:paraId="173B8A3E" w14:textId="77777777">
        <w:trPr>
          <w:jc w:val="center"/>
        </w:trPr>
        <w:tc>
          <w:tcPr>
            <w:tcW w:w="2880" w:type="dxa"/>
            <w:shd w:val="clear" w:color="auto" w:fill="1F4E79"/>
            <w:vAlign w:val="center"/>
          </w:tcPr>
          <w:p w14:paraId="4C8D48D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Domain Item</w:t>
            </w:r>
          </w:p>
        </w:tc>
        <w:tc>
          <w:tcPr>
            <w:tcW w:w="2880" w:type="dxa"/>
            <w:shd w:val="clear" w:color="auto" w:fill="1F4E79"/>
            <w:vAlign w:val="center"/>
          </w:tcPr>
          <w:p w14:paraId="6330ED3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Value</w:t>
            </w:r>
          </w:p>
        </w:tc>
        <w:tc>
          <w:tcPr>
            <w:tcW w:w="2880" w:type="dxa"/>
            <w:shd w:val="clear" w:color="auto" w:fill="1F4E79"/>
            <w:vAlign w:val="center"/>
          </w:tcPr>
          <w:p w14:paraId="670A751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Purpose</w:t>
            </w:r>
          </w:p>
        </w:tc>
      </w:tr>
      <w:tr w:rsidR="00220E54" w:rsidRPr="002515CE" w14:paraId="024F8280" w14:textId="77777777">
        <w:trPr>
          <w:jc w:val="center"/>
        </w:trPr>
        <w:tc>
          <w:tcPr>
            <w:tcW w:w="2880" w:type="dxa"/>
            <w:vAlign w:val="center"/>
          </w:tcPr>
          <w:p w14:paraId="6233228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External domain</w:t>
            </w:r>
          </w:p>
        </w:tc>
        <w:tc>
          <w:tcPr>
            <w:tcW w:w="2880" w:type="dxa"/>
            <w:vAlign w:val="center"/>
          </w:tcPr>
          <w:p w14:paraId="5EC12D4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klabsorbit.com</w:t>
            </w:r>
          </w:p>
        </w:tc>
        <w:tc>
          <w:tcPr>
            <w:tcW w:w="2880" w:type="dxa"/>
            <w:vAlign w:val="center"/>
          </w:tcPr>
          <w:p w14:paraId="33F2BD2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Primary production URL for Orbit</w:t>
            </w:r>
          </w:p>
        </w:tc>
      </w:tr>
      <w:tr w:rsidR="00220E54" w:rsidRPr="002515CE" w14:paraId="2A893D17" w14:textId="77777777">
        <w:trPr>
          <w:jc w:val="center"/>
        </w:trPr>
        <w:tc>
          <w:tcPr>
            <w:tcW w:w="2880" w:type="dxa"/>
            <w:vAlign w:val="center"/>
          </w:tcPr>
          <w:p w14:paraId="3F4E093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Frontend route</w:t>
            </w:r>
          </w:p>
        </w:tc>
        <w:tc>
          <w:tcPr>
            <w:tcW w:w="2880" w:type="dxa"/>
            <w:vAlign w:val="center"/>
          </w:tcPr>
          <w:p w14:paraId="2FC577D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https://klabsorbit.com</w:t>
            </w:r>
          </w:p>
        </w:tc>
        <w:tc>
          <w:tcPr>
            <w:tcW w:w="2880" w:type="dxa"/>
            <w:vAlign w:val="center"/>
          </w:tcPr>
          <w:p w14:paraId="4592C48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React/Vite Orbit UI</w:t>
            </w:r>
          </w:p>
        </w:tc>
      </w:tr>
      <w:tr w:rsidR="00220E54" w:rsidRPr="002515CE" w14:paraId="3250DC49" w14:textId="77777777">
        <w:trPr>
          <w:jc w:val="center"/>
        </w:trPr>
        <w:tc>
          <w:tcPr>
            <w:tcW w:w="2880" w:type="dxa"/>
            <w:vAlign w:val="center"/>
          </w:tcPr>
          <w:p w14:paraId="6DF965F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API route</w:t>
            </w:r>
          </w:p>
        </w:tc>
        <w:tc>
          <w:tcPr>
            <w:tcW w:w="2880" w:type="dxa"/>
            <w:vAlign w:val="center"/>
          </w:tcPr>
          <w:p w14:paraId="13CA4B1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https://klabsorbit.com/api/*</w:t>
            </w:r>
          </w:p>
        </w:tc>
        <w:tc>
          <w:tcPr>
            <w:tcW w:w="2880" w:type="dxa"/>
            <w:vAlign w:val="center"/>
          </w:tcPr>
          <w:p w14:paraId="52AF836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Reverse-proxied API traffic through Front Door</w:t>
            </w:r>
          </w:p>
        </w:tc>
      </w:tr>
      <w:tr w:rsidR="00220E54" w:rsidRPr="002515CE" w14:paraId="38895C06" w14:textId="77777777">
        <w:trPr>
          <w:jc w:val="center"/>
        </w:trPr>
        <w:tc>
          <w:tcPr>
            <w:tcW w:w="2880" w:type="dxa"/>
            <w:vAlign w:val="center"/>
          </w:tcPr>
          <w:p w14:paraId="631FBC8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Certificate</w:t>
            </w:r>
          </w:p>
        </w:tc>
        <w:tc>
          <w:tcPr>
            <w:tcW w:w="2880" w:type="dxa"/>
            <w:vAlign w:val="center"/>
          </w:tcPr>
          <w:p w14:paraId="538F6E7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 Front Door managed certificate</w:t>
            </w:r>
          </w:p>
        </w:tc>
        <w:tc>
          <w:tcPr>
            <w:tcW w:w="2880" w:type="dxa"/>
            <w:vAlign w:val="center"/>
          </w:tcPr>
          <w:p w14:paraId="408E922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TLS termination without manual certificate renewal</w:t>
            </w:r>
          </w:p>
        </w:tc>
      </w:tr>
      <w:tr w:rsidR="00220E54" w:rsidRPr="002515CE" w14:paraId="39D5EAB9" w14:textId="77777777">
        <w:trPr>
          <w:jc w:val="center"/>
        </w:trPr>
        <w:tc>
          <w:tcPr>
            <w:tcW w:w="2880" w:type="dxa"/>
            <w:vAlign w:val="center"/>
          </w:tcPr>
          <w:p w14:paraId="089C301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DNS target</w:t>
            </w:r>
          </w:p>
        </w:tc>
        <w:tc>
          <w:tcPr>
            <w:tcW w:w="2880" w:type="dxa"/>
            <w:vAlign w:val="center"/>
          </w:tcPr>
          <w:p w14:paraId="6AECC68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 Front Door endpoint</w:t>
            </w:r>
          </w:p>
        </w:tc>
        <w:tc>
          <w:tcPr>
            <w:tcW w:w="2880" w:type="dxa"/>
            <w:vAlign w:val="center"/>
          </w:tcPr>
          <w:p w14:paraId="188823E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CNAME or ALIAS/ANAME depending on DNS provider support</w:t>
            </w:r>
          </w:p>
        </w:tc>
      </w:tr>
    </w:tbl>
    <w:p w14:paraId="5E9A8F93" w14:textId="77777777" w:rsidR="00220E54" w:rsidRPr="002515CE" w:rsidRDefault="007D4632">
      <w:pPr>
        <w:pStyle w:val="Heading2"/>
        <w:rPr>
          <w:rFonts w:cstheme="majorHAnsi"/>
          <w:sz w:val="24"/>
          <w:szCs w:val="24"/>
        </w:rPr>
      </w:pPr>
      <w:bookmarkStart w:id="34" w:name="_Toc230176803"/>
      <w:r w:rsidRPr="002515CE">
        <w:rPr>
          <w:rFonts w:cstheme="majorHAnsi"/>
          <w:sz w:val="24"/>
          <w:szCs w:val="24"/>
        </w:rPr>
        <w:t>16.2 Deployment Principles</w:t>
      </w:r>
      <w:bookmarkEnd w:id="34"/>
    </w:p>
    <w:p w14:paraId="6A82E87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Keep the architecture simple: use existing subscriptions and resource groups instead of creating one subscription per service.</w:t>
      </w:r>
    </w:p>
    <w:p w14:paraId="3B1D3D4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Deploy all Orbit platform infrastructure in eastus2 only.</w:t>
      </w:r>
    </w:p>
    <w:p w14:paraId="6BC4A60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Network Watcher once per active subscription/region, not once per app.</w:t>
      </w:r>
    </w:p>
    <w:p w14:paraId="7222678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one Key Vault per app/environment because Key Vault stores secrets and acts as a security boundary.</w:t>
      </w:r>
    </w:p>
    <w:p w14:paraId="2CEBACF2"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tags, budgets, and resource groups to control cost instead of over-segmenting subscriptions.</w:t>
      </w:r>
    </w:p>
    <w:p w14:paraId="68568B3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Deploy in phases so cost and complexity can be validated before adding more integrations.</w:t>
      </w:r>
    </w:p>
    <w:p w14:paraId="5B27ABDF" w14:textId="77777777" w:rsidR="00220E54" w:rsidRPr="002515CE" w:rsidRDefault="007D4632">
      <w:pPr>
        <w:pStyle w:val="Heading2"/>
        <w:rPr>
          <w:rFonts w:cstheme="majorHAnsi"/>
          <w:sz w:val="24"/>
          <w:szCs w:val="24"/>
        </w:rPr>
      </w:pPr>
      <w:bookmarkStart w:id="35" w:name="_Toc230176804"/>
      <w:r w:rsidRPr="002515CE">
        <w:rPr>
          <w:rFonts w:cstheme="majorHAnsi"/>
          <w:sz w:val="24"/>
          <w:szCs w:val="24"/>
        </w:rPr>
        <w:lastRenderedPageBreak/>
        <w:t>16.3 Current Subscription and Resource Group Plan</w:t>
      </w:r>
      <w:bookmarkEnd w:id="35"/>
    </w:p>
    <w:tbl>
      <w:tblPr>
        <w:tblStyle w:val="TableGrid"/>
        <w:tblW w:w="0" w:type="auto"/>
        <w:jc w:val="center"/>
        <w:tblLook w:val="04A0" w:firstRow="1" w:lastRow="0" w:firstColumn="1" w:lastColumn="0" w:noHBand="0" w:noVBand="1"/>
      </w:tblPr>
      <w:tblGrid>
        <w:gridCol w:w="1014"/>
        <w:gridCol w:w="1142"/>
        <w:gridCol w:w="1357"/>
        <w:gridCol w:w="1628"/>
        <w:gridCol w:w="761"/>
        <w:gridCol w:w="1631"/>
        <w:gridCol w:w="1097"/>
      </w:tblGrid>
      <w:tr w:rsidR="00220E54" w:rsidRPr="002515CE" w14:paraId="442C0BAF" w14:textId="77777777">
        <w:trPr>
          <w:jc w:val="center"/>
        </w:trPr>
        <w:tc>
          <w:tcPr>
            <w:tcW w:w="1440" w:type="dxa"/>
            <w:shd w:val="clear" w:color="auto" w:fill="1F4E79"/>
            <w:vAlign w:val="center"/>
          </w:tcPr>
          <w:p w14:paraId="1BF9839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Workload</w:t>
            </w:r>
          </w:p>
        </w:tc>
        <w:tc>
          <w:tcPr>
            <w:tcW w:w="1440" w:type="dxa"/>
            <w:shd w:val="clear" w:color="auto" w:fill="1F4E79"/>
            <w:vAlign w:val="center"/>
          </w:tcPr>
          <w:p w14:paraId="4E3B3D0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Environment</w:t>
            </w:r>
          </w:p>
        </w:tc>
        <w:tc>
          <w:tcPr>
            <w:tcW w:w="1440" w:type="dxa"/>
            <w:shd w:val="clear" w:color="auto" w:fill="1F4E79"/>
            <w:vAlign w:val="center"/>
          </w:tcPr>
          <w:p w14:paraId="51A146A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1440" w:type="dxa"/>
            <w:shd w:val="clear" w:color="auto" w:fill="1F4E79"/>
            <w:vAlign w:val="center"/>
          </w:tcPr>
          <w:p w14:paraId="332154D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1440" w:type="dxa"/>
            <w:shd w:val="clear" w:color="auto" w:fill="1F4E79"/>
            <w:vAlign w:val="center"/>
          </w:tcPr>
          <w:p w14:paraId="20C03E2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Region</w:t>
            </w:r>
          </w:p>
        </w:tc>
        <w:tc>
          <w:tcPr>
            <w:tcW w:w="1440" w:type="dxa"/>
            <w:shd w:val="clear" w:color="auto" w:fill="1F4E79"/>
            <w:vAlign w:val="center"/>
          </w:tcPr>
          <w:p w14:paraId="0A1C4E2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Notes</w:t>
            </w:r>
          </w:p>
        </w:tc>
        <w:tc>
          <w:tcPr>
            <w:tcW w:w="2304" w:type="dxa"/>
            <w:shd w:val="clear" w:color="auto" w:fill="1F4E79"/>
            <w:vAlign w:val="center"/>
          </w:tcPr>
          <w:p w14:paraId="7AEF2A0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RG Naming Convention</w:t>
            </w:r>
          </w:p>
        </w:tc>
      </w:tr>
      <w:tr w:rsidR="00220E54" w:rsidRPr="002515CE" w14:paraId="04F90D7E" w14:textId="77777777">
        <w:trPr>
          <w:jc w:val="center"/>
        </w:trPr>
        <w:tc>
          <w:tcPr>
            <w:tcW w:w="1440" w:type="dxa"/>
            <w:vAlign w:val="center"/>
          </w:tcPr>
          <w:p w14:paraId="68C91AC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w:t>
            </w:r>
          </w:p>
        </w:tc>
        <w:tc>
          <w:tcPr>
            <w:tcW w:w="1440" w:type="dxa"/>
            <w:vAlign w:val="center"/>
          </w:tcPr>
          <w:p w14:paraId="06162FB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1C3097D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1440" w:type="dxa"/>
            <w:vAlign w:val="center"/>
          </w:tcPr>
          <w:p w14:paraId="0F3E7E6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1440" w:type="dxa"/>
            <w:vAlign w:val="center"/>
          </w:tcPr>
          <w:p w14:paraId="6B83369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23D11EA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Primary Orbit app resources</w:t>
            </w:r>
          </w:p>
        </w:tc>
        <w:tc>
          <w:tcPr>
            <w:tcW w:w="2304" w:type="dxa"/>
            <w:vAlign w:val="center"/>
          </w:tcPr>
          <w:p w14:paraId="289205E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669D2C59" w14:textId="77777777">
        <w:trPr>
          <w:jc w:val="center"/>
        </w:trPr>
        <w:tc>
          <w:tcPr>
            <w:tcW w:w="1440" w:type="dxa"/>
            <w:vAlign w:val="center"/>
          </w:tcPr>
          <w:p w14:paraId="6187527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networking</w:t>
            </w:r>
          </w:p>
        </w:tc>
        <w:tc>
          <w:tcPr>
            <w:tcW w:w="1440" w:type="dxa"/>
            <w:vAlign w:val="center"/>
          </w:tcPr>
          <w:p w14:paraId="1F72B7A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0EFD670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1440" w:type="dxa"/>
            <w:vAlign w:val="center"/>
          </w:tcPr>
          <w:p w14:paraId="2A654E3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1440" w:type="dxa"/>
            <w:vAlign w:val="center"/>
          </w:tcPr>
          <w:p w14:paraId="0B760D9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4AF5090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VNET, NSGs, private endpoints, private DNS</w:t>
            </w:r>
          </w:p>
        </w:tc>
        <w:tc>
          <w:tcPr>
            <w:tcW w:w="2304" w:type="dxa"/>
            <w:vAlign w:val="center"/>
          </w:tcPr>
          <w:p w14:paraId="3567B52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4B994D54" w14:textId="77777777">
        <w:trPr>
          <w:jc w:val="center"/>
        </w:trPr>
        <w:tc>
          <w:tcPr>
            <w:tcW w:w="1440" w:type="dxa"/>
            <w:vAlign w:val="center"/>
          </w:tcPr>
          <w:p w14:paraId="36BB3F5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 monitoring</w:t>
            </w:r>
          </w:p>
        </w:tc>
        <w:tc>
          <w:tcPr>
            <w:tcW w:w="1440" w:type="dxa"/>
            <w:vAlign w:val="center"/>
          </w:tcPr>
          <w:p w14:paraId="487A448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15A49B6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1440" w:type="dxa"/>
            <w:vAlign w:val="center"/>
          </w:tcPr>
          <w:p w14:paraId="66EBAC5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rg-kinisislabs-platform-monitoring-prod-eus2</w:t>
            </w:r>
          </w:p>
        </w:tc>
        <w:tc>
          <w:tcPr>
            <w:tcW w:w="1440" w:type="dxa"/>
            <w:vAlign w:val="center"/>
          </w:tcPr>
          <w:p w14:paraId="7A40711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153F11C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 Analytics, Application Insights, workbooks, alerts</w:t>
            </w:r>
          </w:p>
        </w:tc>
        <w:tc>
          <w:tcPr>
            <w:tcW w:w="2304" w:type="dxa"/>
            <w:vAlign w:val="center"/>
          </w:tcPr>
          <w:p w14:paraId="2F9A401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7AD2FF7D" w14:textId="77777777">
        <w:trPr>
          <w:jc w:val="center"/>
        </w:trPr>
        <w:tc>
          <w:tcPr>
            <w:tcW w:w="1440" w:type="dxa"/>
            <w:vAlign w:val="center"/>
          </w:tcPr>
          <w:p w14:paraId="5338785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440" w:type="dxa"/>
            <w:vAlign w:val="center"/>
          </w:tcPr>
          <w:p w14:paraId="386D7FD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440" w:type="dxa"/>
            <w:vAlign w:val="center"/>
          </w:tcPr>
          <w:p w14:paraId="5BCF2E7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1440" w:type="dxa"/>
            <w:vAlign w:val="center"/>
          </w:tcPr>
          <w:p w14:paraId="36360AE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1440" w:type="dxa"/>
            <w:vAlign w:val="center"/>
          </w:tcPr>
          <w:p w14:paraId="524E30C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1CB2978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Production app resources monitored by Orbit</w:t>
            </w:r>
          </w:p>
        </w:tc>
        <w:tc>
          <w:tcPr>
            <w:tcW w:w="2304" w:type="dxa"/>
            <w:vAlign w:val="center"/>
          </w:tcPr>
          <w:p w14:paraId="0A6C610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63037C0D" w14:textId="77777777">
        <w:trPr>
          <w:jc w:val="center"/>
        </w:trPr>
        <w:tc>
          <w:tcPr>
            <w:tcW w:w="1440" w:type="dxa"/>
            <w:vAlign w:val="center"/>
          </w:tcPr>
          <w:p w14:paraId="0BA0563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 dev compute</w:t>
            </w:r>
          </w:p>
        </w:tc>
        <w:tc>
          <w:tcPr>
            <w:tcW w:w="1440" w:type="dxa"/>
            <w:vAlign w:val="center"/>
          </w:tcPr>
          <w:p w14:paraId="21188D4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dev</w:t>
            </w:r>
          </w:p>
        </w:tc>
        <w:tc>
          <w:tcPr>
            <w:tcW w:w="1440" w:type="dxa"/>
            <w:vAlign w:val="center"/>
          </w:tcPr>
          <w:p w14:paraId="45F04B4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1440" w:type="dxa"/>
            <w:vAlign w:val="center"/>
          </w:tcPr>
          <w:p w14:paraId="2E840FD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rg-grailbabedev-compute-dev-eus2</w:t>
            </w:r>
          </w:p>
        </w:tc>
        <w:tc>
          <w:tcPr>
            <w:tcW w:w="1440" w:type="dxa"/>
            <w:vAlign w:val="center"/>
          </w:tcPr>
          <w:p w14:paraId="1B60CEC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6BE86A3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Existing development compute resources</w:t>
            </w:r>
          </w:p>
        </w:tc>
        <w:tc>
          <w:tcPr>
            <w:tcW w:w="2304" w:type="dxa"/>
            <w:vAlign w:val="center"/>
          </w:tcPr>
          <w:p w14:paraId="4E3F072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r>
      <w:tr w:rsidR="00220E54" w:rsidRPr="002515CE" w14:paraId="42C501D6" w14:textId="77777777">
        <w:trPr>
          <w:jc w:val="center"/>
        </w:trPr>
        <w:tc>
          <w:tcPr>
            <w:tcW w:w="1440" w:type="dxa"/>
            <w:vAlign w:val="center"/>
          </w:tcPr>
          <w:p w14:paraId="17BAE0B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GrailBabe dev </w:t>
            </w:r>
            <w:r w:rsidRPr="002515CE">
              <w:rPr>
                <w:rFonts w:asciiTheme="majorHAnsi" w:hAnsiTheme="majorHAnsi" w:cstheme="majorHAnsi"/>
                <w:sz w:val="24"/>
                <w:szCs w:val="24"/>
              </w:rPr>
              <w:lastRenderedPageBreak/>
              <w:t>monitoring</w:t>
            </w:r>
          </w:p>
        </w:tc>
        <w:tc>
          <w:tcPr>
            <w:tcW w:w="1440" w:type="dxa"/>
            <w:vAlign w:val="center"/>
          </w:tcPr>
          <w:p w14:paraId="774C2FE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dev</w:t>
            </w:r>
          </w:p>
        </w:tc>
        <w:tc>
          <w:tcPr>
            <w:tcW w:w="1440" w:type="dxa"/>
            <w:vAlign w:val="center"/>
          </w:tcPr>
          <w:p w14:paraId="40D5FC0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1440" w:type="dxa"/>
            <w:vAlign w:val="center"/>
          </w:tcPr>
          <w:p w14:paraId="6C321C8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w:t>
            </w:r>
            <w:r w:rsidRPr="002515CE">
              <w:rPr>
                <w:rFonts w:asciiTheme="majorHAnsi" w:hAnsiTheme="majorHAnsi" w:cstheme="majorHAnsi"/>
                <w:sz w:val="24"/>
                <w:szCs w:val="24"/>
              </w:rPr>
              <w:lastRenderedPageBreak/>
              <w:t>monitoring-dev-eus2</w:t>
            </w:r>
          </w:p>
        </w:tc>
        <w:tc>
          <w:tcPr>
            <w:tcW w:w="1440" w:type="dxa"/>
            <w:vAlign w:val="center"/>
          </w:tcPr>
          <w:p w14:paraId="597CBF7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eastus2</w:t>
            </w:r>
          </w:p>
        </w:tc>
        <w:tc>
          <w:tcPr>
            <w:tcW w:w="1440" w:type="dxa"/>
            <w:vAlign w:val="center"/>
          </w:tcPr>
          <w:p w14:paraId="21CAAF1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Existing development </w:t>
            </w:r>
            <w:r w:rsidRPr="002515CE">
              <w:rPr>
                <w:rFonts w:asciiTheme="majorHAnsi" w:hAnsiTheme="majorHAnsi" w:cstheme="majorHAnsi"/>
                <w:sz w:val="24"/>
                <w:szCs w:val="24"/>
              </w:rPr>
              <w:lastRenderedPageBreak/>
              <w:t>monitoring resources</w:t>
            </w:r>
          </w:p>
        </w:tc>
        <w:tc>
          <w:tcPr>
            <w:tcW w:w="2304" w:type="dxa"/>
            <w:vAlign w:val="center"/>
          </w:tcPr>
          <w:p w14:paraId="77ACFF2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rg-&lt;workload&gt;-</w:t>
            </w:r>
            <w:r w:rsidRPr="002515CE">
              <w:rPr>
                <w:rFonts w:asciiTheme="majorHAnsi" w:hAnsiTheme="majorHAnsi" w:cstheme="majorHAnsi"/>
                <w:sz w:val="24"/>
                <w:szCs w:val="24"/>
              </w:rPr>
              <w:lastRenderedPageBreak/>
              <w:t>&lt;purpose?&gt;-&lt;env&gt;-eus2</w:t>
            </w:r>
          </w:p>
        </w:tc>
      </w:tr>
      <w:tr w:rsidR="00220E54" w:rsidRPr="002515CE" w14:paraId="5FD43404" w14:textId="77777777">
        <w:trPr>
          <w:jc w:val="center"/>
        </w:trPr>
        <w:tc>
          <w:tcPr>
            <w:tcW w:w="1440" w:type="dxa"/>
            <w:vAlign w:val="center"/>
          </w:tcPr>
          <w:p w14:paraId="1AE44F0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 Watcher</w:t>
            </w:r>
          </w:p>
        </w:tc>
        <w:tc>
          <w:tcPr>
            <w:tcW w:w="1440" w:type="dxa"/>
            <w:vAlign w:val="center"/>
          </w:tcPr>
          <w:p w14:paraId="43B882A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per active subscription</w:t>
            </w:r>
          </w:p>
        </w:tc>
        <w:tc>
          <w:tcPr>
            <w:tcW w:w="1440" w:type="dxa"/>
            <w:vAlign w:val="center"/>
          </w:tcPr>
          <w:p w14:paraId="187A1D7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Each active subscription</w:t>
            </w:r>
          </w:p>
        </w:tc>
        <w:tc>
          <w:tcPr>
            <w:tcW w:w="1440" w:type="dxa"/>
            <w:vAlign w:val="center"/>
          </w:tcPr>
          <w:p w14:paraId="1FC8FFF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NetworkWatcherRG</w:t>
            </w:r>
          </w:p>
        </w:tc>
        <w:tc>
          <w:tcPr>
            <w:tcW w:w="1440" w:type="dxa"/>
            <w:vAlign w:val="center"/>
          </w:tcPr>
          <w:p w14:paraId="7D0FDD1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1440" w:type="dxa"/>
            <w:vAlign w:val="center"/>
          </w:tcPr>
          <w:p w14:paraId="64A10CE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subscription/region, not per app</w:t>
            </w:r>
          </w:p>
        </w:tc>
        <w:tc>
          <w:tcPr>
            <w:tcW w:w="2304" w:type="dxa"/>
            <w:vAlign w:val="center"/>
          </w:tcPr>
          <w:p w14:paraId="1178BC1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Azure-managed RG</w:t>
            </w:r>
          </w:p>
        </w:tc>
      </w:tr>
      <w:tr w:rsidR="00C826E9" w14:paraId="468A766E" w14:textId="77777777">
        <w:trPr>
          <w:jc w:val="center"/>
        </w:trPr>
        <w:tc>
          <w:tcPr>
            <w:tcW w:w="1014" w:type="dxa"/>
          </w:tcPr>
          <w:p w14:paraId="398E06A4" w14:textId="77777777" w:rsidR="00C826E9" w:rsidRDefault="00000000">
            <w:r>
              <w:t>KinisisLabs Web</w:t>
            </w:r>
          </w:p>
        </w:tc>
        <w:tc>
          <w:tcPr>
            <w:tcW w:w="1143" w:type="dxa"/>
          </w:tcPr>
          <w:p w14:paraId="18A19414" w14:textId="77777777" w:rsidR="00C826E9" w:rsidRDefault="00000000">
            <w:r>
              <w:t>prod</w:t>
            </w:r>
          </w:p>
        </w:tc>
        <w:tc>
          <w:tcPr>
            <w:tcW w:w="1358" w:type="dxa"/>
          </w:tcPr>
          <w:p w14:paraId="09BA7638" w14:textId="77777777" w:rsidR="00C826E9" w:rsidRDefault="00000000">
            <w:r>
              <w:t>sub-sharedplatform-prod</w:t>
            </w:r>
          </w:p>
        </w:tc>
        <w:tc>
          <w:tcPr>
            <w:tcW w:w="1629" w:type="dxa"/>
          </w:tcPr>
          <w:p w14:paraId="5156099A" w14:textId="77777777" w:rsidR="00C826E9" w:rsidRDefault="00000000">
            <w:r>
              <w:t>rg-kinisislabs-web-prod-eus2</w:t>
            </w:r>
          </w:p>
        </w:tc>
        <w:tc>
          <w:tcPr>
            <w:tcW w:w="756" w:type="dxa"/>
          </w:tcPr>
          <w:p w14:paraId="6CBB28D1" w14:textId="77777777" w:rsidR="00C826E9" w:rsidRDefault="00000000">
            <w:r>
              <w:t>eastus2</w:t>
            </w:r>
          </w:p>
        </w:tc>
        <w:tc>
          <w:tcPr>
            <w:tcW w:w="1632" w:type="dxa"/>
          </w:tcPr>
          <w:p w14:paraId="6319CBE4" w14:textId="77777777" w:rsidR="00C826E9" w:rsidRDefault="00000000">
            <w:r>
              <w:t>Corporate Static Web App monitored by Orbit</w:t>
            </w:r>
          </w:p>
        </w:tc>
        <w:tc>
          <w:tcPr>
            <w:tcW w:w="1098" w:type="dxa"/>
          </w:tcPr>
          <w:p w14:paraId="6FAFCE4E" w14:textId="77777777" w:rsidR="00C826E9" w:rsidRDefault="00C826E9"/>
        </w:tc>
      </w:tr>
    </w:tbl>
    <w:p w14:paraId="6ADC54BE" w14:textId="77777777" w:rsidR="00220E54" w:rsidRPr="002515CE" w:rsidRDefault="007D4632">
      <w:pPr>
        <w:pStyle w:val="Heading2"/>
        <w:rPr>
          <w:rFonts w:cstheme="majorHAnsi"/>
          <w:sz w:val="24"/>
          <w:szCs w:val="24"/>
        </w:rPr>
      </w:pPr>
      <w:bookmarkStart w:id="36" w:name="_Toc230176805"/>
      <w:r w:rsidRPr="002515CE">
        <w:rPr>
          <w:rFonts w:cstheme="majorHAnsi"/>
          <w:sz w:val="24"/>
          <w:szCs w:val="24"/>
        </w:rPr>
        <w:t>16.4 Step-by-Step Deployment Plan</w:t>
      </w:r>
      <w:bookmarkEnd w:id="36"/>
    </w:p>
    <w:p w14:paraId="21ABEE5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Use the following sequence to build Orbit incrementally without over-engineering the environment. Each step should be completed and validated before moving to the next step.</w:t>
      </w:r>
    </w:p>
    <w:p w14:paraId="5BE2657A" w14:textId="77777777" w:rsidR="00A2388C" w:rsidRPr="002515CE" w:rsidRDefault="007D4632">
      <w:pPr>
        <w:pStyle w:val="Heading3"/>
        <w:rPr>
          <w:rFonts w:cstheme="majorHAnsi"/>
          <w:sz w:val="24"/>
          <w:szCs w:val="24"/>
        </w:rPr>
      </w:pPr>
      <w:bookmarkStart w:id="37" w:name="_Toc230176806"/>
      <w:r w:rsidRPr="002515CE">
        <w:rPr>
          <w:rFonts w:cstheme="majorHAnsi"/>
          <w:sz w:val="24"/>
          <w:szCs w:val="24"/>
        </w:rPr>
        <w:t>Step 1 - Set up Azure resource tagging for the environment</w:t>
      </w:r>
      <w:bookmarkEnd w:id="37"/>
    </w:p>
    <w:p w14:paraId="175BE12C"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Purpose:</w:t>
      </w:r>
    </w:p>
    <w:p w14:paraId="3ADA2562"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Establish the required Azure tag model before any paid services are deployed so Orbit, GrailBabe production, and GrailBabe development costs can be separated consistently by subscription, resource group, workload, and environment.</w:t>
      </w:r>
    </w:p>
    <w:p w14:paraId="5DD8F69E"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6779F951" w14:textId="77777777" w:rsidR="00A2388C" w:rsidRPr="002515CE" w:rsidRDefault="007D4632">
      <w:pPr>
        <w:pStyle w:val="Heading1"/>
        <w:rPr>
          <w:rFonts w:cstheme="majorHAnsi"/>
          <w:sz w:val="24"/>
          <w:szCs w:val="24"/>
        </w:rPr>
      </w:pPr>
      <w:bookmarkStart w:id="38" w:name="_Toc230176807"/>
      <w:r w:rsidRPr="002515CE">
        <w:rPr>
          <w:rFonts w:cstheme="majorHAnsi"/>
          <w:sz w:val="24"/>
          <w:szCs w:val="24"/>
        </w:rPr>
        <w:lastRenderedPageBreak/>
        <w:t>1. Confirm the environment scope before tagging. Use prod for Orbit production resources in sub-sharedplatform-prod, prod for GrailBabe production resources in sub-GrailBabe-Prod, and dev for GrailBabe development resources in sub-grailbabedev-dev.</w:t>
      </w:r>
      <w:bookmarkEnd w:id="38"/>
    </w:p>
    <w:p w14:paraId="4D5E842C" w14:textId="77777777" w:rsidR="00A2388C" w:rsidRPr="002515CE" w:rsidRDefault="007D4632">
      <w:pPr>
        <w:pStyle w:val="Heading1"/>
        <w:rPr>
          <w:rFonts w:cstheme="majorHAnsi"/>
          <w:sz w:val="24"/>
          <w:szCs w:val="24"/>
        </w:rPr>
      </w:pPr>
      <w:bookmarkStart w:id="39" w:name="_Toc230176808"/>
      <w:r w:rsidRPr="002515CE">
        <w:rPr>
          <w:rFonts w:cstheme="majorHAnsi"/>
          <w:sz w:val="24"/>
          <w:szCs w:val="24"/>
        </w:rPr>
        <w:t>2. Standardize the required tag keys before applying them. Every Orbit and monitored application resource group must use these exact keys: workload, environment, owner, cost-center, data-class, and criticality.</w:t>
      </w:r>
      <w:bookmarkEnd w:id="39"/>
    </w:p>
    <w:p w14:paraId="3E016D77" w14:textId="77777777" w:rsidR="00A2388C" w:rsidRPr="002515CE" w:rsidRDefault="007D4632">
      <w:pPr>
        <w:pStyle w:val="Heading1"/>
        <w:rPr>
          <w:rFonts w:cstheme="majorHAnsi"/>
          <w:sz w:val="24"/>
          <w:szCs w:val="24"/>
        </w:rPr>
      </w:pPr>
      <w:bookmarkStart w:id="40" w:name="_Toc230176809"/>
      <w:r w:rsidRPr="002515CE">
        <w:rPr>
          <w:rFonts w:cstheme="majorHAnsi"/>
          <w:sz w:val="24"/>
          <w:szCs w:val="24"/>
        </w:rPr>
        <w:t xml:space="preserve">3. Define approved tag values for the current deployment. Recommended starting values </w:t>
      </w:r>
      <w:proofErr w:type="gramStart"/>
      <w:r w:rsidRPr="002515CE">
        <w:rPr>
          <w:rFonts w:cstheme="majorHAnsi"/>
          <w:sz w:val="24"/>
          <w:szCs w:val="24"/>
        </w:rPr>
        <w:t>are:</w:t>
      </w:r>
      <w:proofErr w:type="gramEnd"/>
      <w:r w:rsidRPr="002515CE">
        <w:rPr>
          <w:rFonts w:cstheme="majorHAnsi"/>
          <w:sz w:val="24"/>
          <w:szCs w:val="24"/>
        </w:rPr>
        <w:t xml:space="preserve"> workload=orbit, environment=prod, owner=platform-engineering, cost-center=platform, data-class=internal, criticality=high for Orbit platform resources.</w:t>
      </w:r>
      <w:bookmarkEnd w:id="40"/>
    </w:p>
    <w:p w14:paraId="57D15422" w14:textId="77777777" w:rsidR="00A2388C" w:rsidRPr="002515CE" w:rsidRDefault="007D4632">
      <w:pPr>
        <w:pStyle w:val="Heading1"/>
        <w:rPr>
          <w:rFonts w:cstheme="majorHAnsi"/>
          <w:sz w:val="24"/>
          <w:szCs w:val="24"/>
        </w:rPr>
      </w:pPr>
      <w:bookmarkStart w:id="41" w:name="_Toc230176810"/>
      <w:r w:rsidRPr="002515CE">
        <w:rPr>
          <w:rFonts w:cstheme="majorHAnsi"/>
          <w:sz w:val="24"/>
          <w:szCs w:val="24"/>
        </w:rPr>
        <w:t>4. Apply tags to the Orbit production resource groups in the Azure Portal.</w:t>
      </w:r>
      <w:bookmarkEnd w:id="41"/>
    </w:p>
    <w:p w14:paraId="14957764"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a. Open Azure Portal and go to Resource groups.</w:t>
      </w:r>
    </w:p>
    <w:p w14:paraId="45120567"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b. Select rg-kinisislabs-platform-shared-prod-eus2.</w:t>
      </w:r>
    </w:p>
    <w:p w14:paraId="5F662498"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c. Open Tags from the left navigation.</w:t>
      </w:r>
    </w:p>
    <w:p w14:paraId="6C96D5CD"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d. Add the six required tags and save.</w:t>
      </w:r>
    </w:p>
    <w:p w14:paraId="7194F99A"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e. Repeat the same process for rg-kinisislabs-platform-monitoring-prod-eus2, using the same Orbit production tag values unless monitoring cost-center ownership differs.</w:t>
      </w:r>
    </w:p>
    <w:p w14:paraId="7B388AF1" w14:textId="77777777" w:rsidR="00A2388C" w:rsidRPr="002515CE" w:rsidRDefault="007D4632">
      <w:pPr>
        <w:pStyle w:val="Heading1"/>
        <w:rPr>
          <w:rFonts w:cstheme="majorHAnsi"/>
          <w:sz w:val="24"/>
          <w:szCs w:val="24"/>
        </w:rPr>
      </w:pPr>
      <w:bookmarkStart w:id="42" w:name="_Toc230176811"/>
      <w:r w:rsidRPr="002515CE">
        <w:rPr>
          <w:rFonts w:cstheme="majorHAnsi"/>
          <w:sz w:val="24"/>
          <w:szCs w:val="24"/>
        </w:rPr>
        <w:t>5. Apply tags to monitored application resource groups using the same pattern but app-specific values.</w:t>
      </w:r>
      <w:bookmarkEnd w:id="42"/>
    </w:p>
    <w:p w14:paraId="43374573"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a. For rg-grailbabeprod-compute-prod-eus2, use workload=grailbabe and environment=prod.</w:t>
      </w:r>
    </w:p>
    <w:p w14:paraId="3A701708"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b. For rg-grailbabedev-compute-dev-eus2 and rg-grailbabedev-monitoring-dev-eus2, use workload=grailbabe and environment=dev.</w:t>
      </w:r>
    </w:p>
    <w:p w14:paraId="793067F8"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c. Keep owner, cost-center, data-class, and criticality aligned with the owning application team and production criticality.</w:t>
      </w:r>
    </w:p>
    <w:p w14:paraId="51117BAB" w14:textId="77777777" w:rsidR="00A2388C" w:rsidRPr="002515CE" w:rsidRDefault="007D4632">
      <w:pPr>
        <w:pStyle w:val="Heading1"/>
        <w:rPr>
          <w:rFonts w:cstheme="majorHAnsi"/>
          <w:sz w:val="24"/>
          <w:szCs w:val="24"/>
        </w:rPr>
      </w:pPr>
      <w:bookmarkStart w:id="43" w:name="_Toc230176812"/>
      <w:r w:rsidRPr="002515CE">
        <w:rPr>
          <w:rFonts w:cstheme="majorHAnsi"/>
          <w:sz w:val="24"/>
          <w:szCs w:val="24"/>
        </w:rPr>
        <w:lastRenderedPageBreak/>
        <w:t>6. Apply the same tags through Azure CLI when repeatability is preferred. Example:</w:t>
      </w:r>
      <w:bookmarkEnd w:id="43"/>
    </w:p>
    <w:p w14:paraId="26C24296" w14:textId="77777777" w:rsidR="00A2388C" w:rsidRPr="002515CE" w:rsidRDefault="007D4632">
      <w:pPr>
        <w:ind w:left="360"/>
        <w:rPr>
          <w:rFonts w:asciiTheme="majorHAnsi" w:hAnsiTheme="majorHAnsi" w:cstheme="majorHAnsi"/>
          <w:sz w:val="24"/>
          <w:szCs w:val="24"/>
        </w:rPr>
      </w:pPr>
      <w:r w:rsidRPr="002515CE">
        <w:rPr>
          <w:rFonts w:asciiTheme="majorHAnsi" w:hAnsiTheme="majorHAnsi" w:cstheme="majorHAnsi"/>
          <w:sz w:val="24"/>
          <w:szCs w:val="24"/>
        </w:rPr>
        <w:t xml:space="preserve">az group update --name rg-kinisislabs-platform-shared-prod-eus2 --set </w:t>
      </w:r>
      <w:proofErr w:type="gramStart"/>
      <w:r w:rsidRPr="002515CE">
        <w:rPr>
          <w:rFonts w:asciiTheme="majorHAnsi" w:hAnsiTheme="majorHAnsi" w:cstheme="majorHAnsi"/>
          <w:sz w:val="24"/>
          <w:szCs w:val="24"/>
        </w:rPr>
        <w:t>tags.workload</w:t>
      </w:r>
      <w:proofErr w:type="gramEnd"/>
      <w:r w:rsidRPr="002515CE">
        <w:rPr>
          <w:rFonts w:asciiTheme="majorHAnsi" w:hAnsiTheme="majorHAnsi" w:cstheme="majorHAnsi"/>
          <w:sz w:val="24"/>
          <w:szCs w:val="24"/>
        </w:rPr>
        <w:t xml:space="preserve">=orbit </w:t>
      </w:r>
      <w:proofErr w:type="gramStart"/>
      <w:r w:rsidRPr="002515CE">
        <w:rPr>
          <w:rFonts w:asciiTheme="majorHAnsi" w:hAnsiTheme="majorHAnsi" w:cstheme="majorHAnsi"/>
          <w:sz w:val="24"/>
          <w:szCs w:val="24"/>
        </w:rPr>
        <w:t>tags.environment</w:t>
      </w:r>
      <w:proofErr w:type="gramEnd"/>
      <w:r w:rsidRPr="002515CE">
        <w:rPr>
          <w:rFonts w:asciiTheme="majorHAnsi" w:hAnsiTheme="majorHAnsi" w:cstheme="majorHAnsi"/>
          <w:sz w:val="24"/>
          <w:szCs w:val="24"/>
        </w:rPr>
        <w:t xml:space="preserve">=prod </w:t>
      </w:r>
      <w:proofErr w:type="gramStart"/>
      <w:r w:rsidRPr="002515CE">
        <w:rPr>
          <w:rFonts w:asciiTheme="majorHAnsi" w:hAnsiTheme="majorHAnsi" w:cstheme="majorHAnsi"/>
          <w:sz w:val="24"/>
          <w:szCs w:val="24"/>
        </w:rPr>
        <w:t>tags.owner</w:t>
      </w:r>
      <w:proofErr w:type="gramEnd"/>
      <w:r w:rsidRPr="002515CE">
        <w:rPr>
          <w:rFonts w:asciiTheme="majorHAnsi" w:hAnsiTheme="majorHAnsi" w:cstheme="majorHAnsi"/>
          <w:sz w:val="24"/>
          <w:szCs w:val="24"/>
        </w:rPr>
        <w:t xml:space="preserve">=platform-engineering </w:t>
      </w:r>
      <w:proofErr w:type="gramStart"/>
      <w:r w:rsidRPr="002515CE">
        <w:rPr>
          <w:rFonts w:asciiTheme="majorHAnsi" w:hAnsiTheme="majorHAnsi" w:cstheme="majorHAnsi"/>
          <w:sz w:val="24"/>
          <w:szCs w:val="24"/>
        </w:rPr>
        <w:t>tags.cost</w:t>
      </w:r>
      <w:proofErr w:type="gramEnd"/>
      <w:r w:rsidRPr="002515CE">
        <w:rPr>
          <w:rFonts w:asciiTheme="majorHAnsi" w:hAnsiTheme="majorHAnsi" w:cstheme="majorHAnsi"/>
          <w:sz w:val="24"/>
          <w:szCs w:val="24"/>
        </w:rPr>
        <w:t xml:space="preserve">-center=platform tags.data-class=internal </w:t>
      </w:r>
      <w:proofErr w:type="gramStart"/>
      <w:r w:rsidRPr="002515CE">
        <w:rPr>
          <w:rFonts w:asciiTheme="majorHAnsi" w:hAnsiTheme="majorHAnsi" w:cstheme="majorHAnsi"/>
          <w:sz w:val="24"/>
          <w:szCs w:val="24"/>
        </w:rPr>
        <w:t>tags.criticality</w:t>
      </w:r>
      <w:proofErr w:type="gramEnd"/>
      <w:r w:rsidRPr="002515CE">
        <w:rPr>
          <w:rFonts w:asciiTheme="majorHAnsi" w:hAnsiTheme="majorHAnsi" w:cstheme="majorHAnsi"/>
          <w:sz w:val="24"/>
          <w:szCs w:val="24"/>
        </w:rPr>
        <w:t>=high</w:t>
      </w:r>
    </w:p>
    <w:p w14:paraId="05814AD0" w14:textId="77777777" w:rsidR="00A2388C" w:rsidRPr="002515CE" w:rsidRDefault="007D4632">
      <w:pPr>
        <w:pStyle w:val="Heading1"/>
        <w:rPr>
          <w:rFonts w:cstheme="majorHAnsi"/>
          <w:sz w:val="24"/>
          <w:szCs w:val="24"/>
        </w:rPr>
      </w:pPr>
      <w:bookmarkStart w:id="44" w:name="_Toc230176813"/>
      <w:r w:rsidRPr="002515CE">
        <w:rPr>
          <w:rFonts w:cstheme="majorHAnsi"/>
          <w:sz w:val="24"/>
          <w:szCs w:val="24"/>
        </w:rPr>
        <w:t>7. Configure Azure Policy to require the mandatory tags at each active subscription scope.</w:t>
      </w:r>
      <w:bookmarkEnd w:id="44"/>
    </w:p>
    <w:p w14:paraId="4C1FCAA1"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a. In Azure Portal, open Policy &gt; Assignments &gt; Assign policy.</w:t>
      </w:r>
    </w:p>
    <w:p w14:paraId="7AAD5DBF"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b. Select the subscription scope, starting with sub-sharedplatform-prod.</w:t>
      </w:r>
    </w:p>
    <w:p w14:paraId="67F271BA"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c. Assign the built-in policy named Require a tag and its value for each required </w:t>
      </w:r>
      <w:proofErr w:type="gramStart"/>
      <w:r w:rsidRPr="002515CE">
        <w:rPr>
          <w:rFonts w:asciiTheme="majorHAnsi" w:hAnsiTheme="majorHAnsi" w:cstheme="majorHAnsi"/>
          <w:sz w:val="24"/>
          <w:szCs w:val="24"/>
        </w:rPr>
        <w:t>key, or</w:t>
      </w:r>
      <w:proofErr w:type="gramEnd"/>
      <w:r w:rsidRPr="002515CE">
        <w:rPr>
          <w:rFonts w:asciiTheme="majorHAnsi" w:hAnsiTheme="majorHAnsi" w:cstheme="majorHAnsi"/>
          <w:sz w:val="24"/>
          <w:szCs w:val="24"/>
        </w:rPr>
        <w:t xml:space="preserve"> use a custom initiative that includes all six required tags.</w:t>
      </w:r>
    </w:p>
    <w:p w14:paraId="5B01EAD3"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d. Repeat the assignment for sub-GrailBabe-Prod and sub-grailbabedev-dev so monitored app resources follow the same governance model.</w:t>
      </w:r>
    </w:p>
    <w:p w14:paraId="739A7CF6" w14:textId="77777777" w:rsidR="00A2388C" w:rsidRPr="002515CE" w:rsidRDefault="007D4632">
      <w:pPr>
        <w:pStyle w:val="Heading1"/>
        <w:rPr>
          <w:rFonts w:cstheme="majorHAnsi"/>
          <w:sz w:val="24"/>
          <w:szCs w:val="24"/>
        </w:rPr>
      </w:pPr>
      <w:bookmarkStart w:id="45" w:name="_Toc230176814"/>
      <w:r w:rsidRPr="002515CE">
        <w:rPr>
          <w:rFonts w:cstheme="majorHAnsi"/>
          <w:sz w:val="24"/>
          <w:szCs w:val="24"/>
        </w:rPr>
        <w:t>8. Validate tag coverage before moving on.</w:t>
      </w:r>
      <w:bookmarkEnd w:id="45"/>
    </w:p>
    <w:p w14:paraId="08B8E12E"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a. In Azure Portal, use Resource Graph Explorer or the Resource groups view to confirm every deployment resource group has all six required tags.</w:t>
      </w:r>
    </w:p>
    <w:p w14:paraId="37A36645"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b. In Cost Management, group cost by the workload and environment tags to confirm Orbit, GrailBabe production, and GrailBabe development separate cleanly.</w:t>
      </w:r>
    </w:p>
    <w:p w14:paraId="129746A0"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 xml:space="preserve">   c. Correct missing or inconsistent tag values before budgets, monitoring, or compute resources are deployed.</w:t>
      </w:r>
    </w:p>
    <w:p w14:paraId="507D2EA2" w14:textId="77777777" w:rsidR="00A2388C"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 Required tags exist on all Orbit and monitored application resource groups, Azure Policy is assigned to prevent untagged resources, and Cost Management can group spend by workload and environment.</w:t>
      </w:r>
    </w:p>
    <w:p w14:paraId="6D72D3C4" w14:textId="77777777" w:rsidR="00220E54" w:rsidRPr="002515CE" w:rsidRDefault="007D4632">
      <w:pPr>
        <w:pStyle w:val="Heading3"/>
        <w:rPr>
          <w:rFonts w:cstheme="majorHAnsi"/>
          <w:sz w:val="24"/>
          <w:szCs w:val="24"/>
        </w:rPr>
      </w:pPr>
      <w:bookmarkStart w:id="46" w:name="_Toc230176815"/>
      <w:r w:rsidRPr="002515CE">
        <w:rPr>
          <w:rFonts w:cstheme="majorHAnsi"/>
          <w:sz w:val="24"/>
          <w:szCs w:val="24"/>
        </w:rPr>
        <w:t>Step 2 - Confirm subscriptions</w:t>
      </w:r>
      <w:bookmarkEnd w:id="46"/>
    </w:p>
    <w:p w14:paraId="6932FB0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63D4A92F"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Validate that the active Azure subscriptions are available: sub-sharedplatform-prod, sub-GrailBabe-Prod, and sub-grailbabedev-dev.</w:t>
      </w:r>
    </w:p>
    <w:p w14:paraId="706B5D04"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that Orbit platform resources will be deployed only to sub-sharedplatform-prod.</w:t>
      </w:r>
    </w:p>
    <w:p w14:paraId="61DC66B3"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that application-owned resources remain in their owning application subscriptions.</w:t>
      </w:r>
    </w:p>
    <w:p w14:paraId="5F5CD1C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lastRenderedPageBreak/>
        <w:t>Exit criteria:</w:t>
      </w:r>
      <w:r w:rsidRPr="002515CE">
        <w:rPr>
          <w:rFonts w:asciiTheme="majorHAnsi" w:hAnsiTheme="majorHAnsi" w:cstheme="majorHAnsi"/>
          <w:sz w:val="24"/>
          <w:szCs w:val="24"/>
        </w:rPr>
        <w:t xml:space="preserve"> Azure subscription list is confirmed and documented.</w:t>
      </w:r>
    </w:p>
    <w:p w14:paraId="06E940C0" w14:textId="77777777" w:rsidR="00220E54" w:rsidRPr="002515CE" w:rsidRDefault="007D4632">
      <w:pPr>
        <w:pStyle w:val="Heading3"/>
        <w:rPr>
          <w:rFonts w:cstheme="majorHAnsi"/>
          <w:sz w:val="24"/>
          <w:szCs w:val="24"/>
        </w:rPr>
      </w:pPr>
      <w:bookmarkStart w:id="47" w:name="_Toc230176816"/>
      <w:r w:rsidRPr="002515CE">
        <w:rPr>
          <w:rFonts w:cstheme="majorHAnsi"/>
          <w:sz w:val="24"/>
          <w:szCs w:val="24"/>
        </w:rPr>
        <w:t>Step 3 - Confirm existing resource groups</w:t>
      </w:r>
      <w:bookmarkEnd w:id="47"/>
    </w:p>
    <w:p w14:paraId="3D65BDB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032C2FFD"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rg-kinisislabs-platform-shared-prod-eus2 exists in sub-sharedplatform-prod.</w:t>
      </w:r>
    </w:p>
    <w:p w14:paraId="51399EDA"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rg-kinisislabs-platform-monitoring-prod-eus2 exists in sub-sharedplatform-prod.</w:t>
      </w:r>
    </w:p>
    <w:p w14:paraId="2A8FF5E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rg-grailbabeprod-compute-prod-eus2 exists in sub-GrailBabe-Prod.</w:t>
      </w:r>
    </w:p>
    <w:p w14:paraId="6FD96E3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rg-grailbabedev-compute-dev-eus2 and rg-grailbabedev-monitoring-dev-eus2 exist in sub-grailbabedev-dev.</w:t>
      </w:r>
    </w:p>
    <w:p w14:paraId="03652E6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All resource groups match the live Azure naming convention shown in the Resource Manager view.</w:t>
      </w:r>
    </w:p>
    <w:p w14:paraId="5BB144AF" w14:textId="77777777" w:rsidR="00220E54" w:rsidRPr="002515CE" w:rsidRDefault="007D4632">
      <w:pPr>
        <w:pStyle w:val="Heading3"/>
        <w:rPr>
          <w:rFonts w:cstheme="majorHAnsi"/>
          <w:sz w:val="24"/>
          <w:szCs w:val="24"/>
        </w:rPr>
      </w:pPr>
      <w:bookmarkStart w:id="48" w:name="_Toc230176817"/>
      <w:r w:rsidRPr="002515CE">
        <w:rPr>
          <w:rFonts w:cstheme="majorHAnsi"/>
          <w:sz w:val="24"/>
          <w:szCs w:val="24"/>
        </w:rPr>
        <w:t>Step 4 - Set budgets before deploying paid services</w:t>
      </w:r>
      <w:bookmarkEnd w:id="48"/>
    </w:p>
    <w:p w14:paraId="3AA4DAA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6165BDF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monthly budgets at the sub-sharedplatform-prod subscription level.</w:t>
      </w:r>
    </w:p>
    <w:p w14:paraId="1734AF0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resource-group-level budgets for rg-kinisislabs-platform-shared-prod-eus2 and rg-kinisislabs-platform-monitoring-prod-eus2.</w:t>
      </w:r>
    </w:p>
    <w:p w14:paraId="5B2A74C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Set alerts at 50%, 80%, and 100% to catch unexpected spend early.</w:t>
      </w:r>
    </w:p>
    <w:p w14:paraId="06CEF81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Budget alerts are active before Container Apps, PostgreSQL, Front Door, or Log Analytics ingestion-heavy resources are deployed.</w:t>
      </w:r>
    </w:p>
    <w:p w14:paraId="4D0F9518" w14:textId="77777777" w:rsidR="00220E54" w:rsidRPr="002515CE" w:rsidRDefault="007D4632">
      <w:pPr>
        <w:pStyle w:val="Heading3"/>
        <w:rPr>
          <w:rFonts w:cstheme="majorHAnsi"/>
          <w:sz w:val="24"/>
          <w:szCs w:val="24"/>
        </w:rPr>
      </w:pPr>
      <w:bookmarkStart w:id="49" w:name="_Toc230176818"/>
      <w:r w:rsidRPr="002515CE">
        <w:rPr>
          <w:rFonts w:cstheme="majorHAnsi"/>
          <w:sz w:val="24"/>
          <w:szCs w:val="24"/>
        </w:rPr>
        <w:t>Step 5 - Confirm Network Watcher</w:t>
      </w:r>
      <w:bookmarkEnd w:id="49"/>
    </w:p>
    <w:p w14:paraId="69D7894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0CBAD85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Network Watcher is enabled in eastus2 for each active subscription.</w:t>
      </w:r>
    </w:p>
    <w:p w14:paraId="770A502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Do not create a Network Watcher per application. Network Watcher is subscription and region scoped.</w:t>
      </w:r>
    </w:p>
    <w:p w14:paraId="61B0E99D"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Expected subscriptions: sub-sharedplatform-prod, sub-GrailBabe-Prod, and sub-grailbabedev-dev.</w:t>
      </w:r>
    </w:p>
    <w:p w14:paraId="5AFF0DF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One Network Watcher exists per active subscription in eastus2, with no duplicate per-app watchers.</w:t>
      </w:r>
    </w:p>
    <w:p w14:paraId="05C7A615" w14:textId="77777777" w:rsidR="00220E54" w:rsidRPr="002515CE" w:rsidRDefault="007D4632">
      <w:pPr>
        <w:pStyle w:val="Heading3"/>
        <w:rPr>
          <w:rFonts w:cstheme="majorHAnsi"/>
          <w:sz w:val="24"/>
          <w:szCs w:val="24"/>
        </w:rPr>
      </w:pPr>
      <w:bookmarkStart w:id="50" w:name="_Toc230176819"/>
      <w:r w:rsidRPr="002515CE">
        <w:rPr>
          <w:rFonts w:cstheme="majorHAnsi"/>
          <w:sz w:val="24"/>
          <w:szCs w:val="24"/>
        </w:rPr>
        <w:t>Step 6 - Create Orbit Key Vault</w:t>
      </w:r>
      <w:bookmarkEnd w:id="50"/>
    </w:p>
    <w:p w14:paraId="573B35F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15912EE0"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kv-orbit-prod-eus2 in rg-kinisislabs-platform-shared-prod-eus2.</w:t>
      </w:r>
    </w:p>
    <w:p w14:paraId="7DC0166C"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lastRenderedPageBreak/>
        <w:t>Enable soft delete, purge protection, and Azure RBAC authorization.</w:t>
      </w:r>
    </w:p>
    <w:p w14:paraId="4D291F46"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Grant access only to the Orbit API managed identity and approved platform administrators.</w:t>
      </w:r>
    </w:p>
    <w:p w14:paraId="3DA1ABC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Orbit secrets have a dedicated app/environment security boundary.</w:t>
      </w:r>
    </w:p>
    <w:p w14:paraId="7E48BC79" w14:textId="77777777" w:rsidR="00220E54" w:rsidRPr="002515CE" w:rsidRDefault="007D4632">
      <w:pPr>
        <w:pStyle w:val="Heading3"/>
        <w:rPr>
          <w:rFonts w:cstheme="majorHAnsi"/>
          <w:sz w:val="24"/>
          <w:szCs w:val="24"/>
        </w:rPr>
      </w:pPr>
      <w:bookmarkStart w:id="51" w:name="_Toc230176820"/>
      <w:r w:rsidRPr="002515CE">
        <w:rPr>
          <w:rFonts w:cstheme="majorHAnsi"/>
          <w:sz w:val="24"/>
          <w:szCs w:val="24"/>
        </w:rPr>
        <w:t>Step 7 - Create monitoring baseline</w:t>
      </w:r>
      <w:bookmarkEnd w:id="51"/>
    </w:p>
    <w:p w14:paraId="4773687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317B7679"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law-orbit-prod-eus2 in rg-kinisislabs-platform-monitoring-prod-eus2.</w:t>
      </w:r>
    </w:p>
    <w:p w14:paraId="687CC03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appi-oribit-prod and connect it to the Log Analytics workspace.</w:t>
      </w:r>
    </w:p>
    <w:p w14:paraId="14E804E2"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Keep Orbit monitoring resources separate from app compute resources for cost clarity.</w:t>
      </w:r>
    </w:p>
    <w:p w14:paraId="24101D5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Orbit logs, traces, and diagnostics have a centralized destination.</w:t>
      </w:r>
    </w:p>
    <w:p w14:paraId="19420772" w14:textId="77777777" w:rsidR="00220E54" w:rsidRPr="002515CE" w:rsidRDefault="007D4632">
      <w:pPr>
        <w:pStyle w:val="Heading3"/>
        <w:rPr>
          <w:rFonts w:cstheme="majorHAnsi"/>
          <w:sz w:val="24"/>
          <w:szCs w:val="24"/>
        </w:rPr>
      </w:pPr>
      <w:bookmarkStart w:id="52" w:name="_Toc230176821"/>
      <w:r w:rsidRPr="002515CE">
        <w:rPr>
          <w:rFonts w:cstheme="majorHAnsi"/>
          <w:sz w:val="24"/>
          <w:szCs w:val="24"/>
        </w:rPr>
        <w:t>Step 8 - Create App Configuration</w:t>
      </w:r>
      <w:bookmarkEnd w:id="52"/>
    </w:p>
    <w:p w14:paraId="1524516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2D5447C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appcs-orbit-prod-eus2 in rg-kinisislabs-platform-shared-prod-eus2.</w:t>
      </w:r>
    </w:p>
    <w:p w14:paraId="15521880"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it for feature flags, scoped app inventory, and runtime configuration.</w:t>
      </w:r>
    </w:p>
    <w:p w14:paraId="0982A85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Avoid embedding environment-specific configuration in application code.</w:t>
      </w:r>
    </w:p>
    <w:p w14:paraId="7481C4A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Orbit runtime configuration is externalized from code.</w:t>
      </w:r>
    </w:p>
    <w:p w14:paraId="31626F2C" w14:textId="77777777" w:rsidR="00220E54" w:rsidRPr="002515CE" w:rsidRDefault="007D4632">
      <w:pPr>
        <w:pStyle w:val="Heading3"/>
        <w:rPr>
          <w:rFonts w:cstheme="majorHAnsi"/>
          <w:sz w:val="24"/>
          <w:szCs w:val="24"/>
        </w:rPr>
      </w:pPr>
      <w:bookmarkStart w:id="53" w:name="_Toc230176822"/>
      <w:r w:rsidRPr="002515CE">
        <w:rPr>
          <w:rFonts w:cstheme="majorHAnsi"/>
          <w:sz w:val="24"/>
          <w:szCs w:val="24"/>
        </w:rPr>
        <w:t>Step 9 - Create managed identity</w:t>
      </w:r>
      <w:bookmarkEnd w:id="53"/>
    </w:p>
    <w:p w14:paraId="284FB47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14CC008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id-orbit-api-prod in rg-kinisislabs-platform-shared-prod-eus2.</w:t>
      </w:r>
    </w:p>
    <w:p w14:paraId="713CB160"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Assign read permissions to monitored subscriptions and resource groups.</w:t>
      </w:r>
    </w:p>
    <w:p w14:paraId="406D9F8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Grant Key Vault Secrets User only on kv-orbit-prod-eus2.</w:t>
      </w:r>
    </w:p>
    <w:p w14:paraId="488D7D8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The Orbit API can query Azure without service principal secrets.</w:t>
      </w:r>
    </w:p>
    <w:p w14:paraId="771526BD" w14:textId="77777777" w:rsidR="00220E54" w:rsidRPr="002515CE" w:rsidRDefault="007D4632">
      <w:pPr>
        <w:pStyle w:val="Heading3"/>
        <w:rPr>
          <w:rFonts w:cstheme="majorHAnsi"/>
          <w:sz w:val="24"/>
          <w:szCs w:val="24"/>
        </w:rPr>
      </w:pPr>
      <w:bookmarkStart w:id="54" w:name="_Toc230176823"/>
      <w:r w:rsidRPr="002515CE">
        <w:rPr>
          <w:rFonts w:cstheme="majorHAnsi"/>
          <w:sz w:val="24"/>
          <w:szCs w:val="24"/>
        </w:rPr>
        <w:t>Step 10 - Create PostgreSQL</w:t>
      </w:r>
      <w:bookmarkEnd w:id="54"/>
    </w:p>
    <w:p w14:paraId="017C0F2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0F5F2E8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pg-orbit-prod for Orbit sessions, group cache, audit data, and Clerk activity rollups.</w:t>
      </w:r>
    </w:p>
    <w:p w14:paraId="5189C51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Start with a cost-conscious SKU and scale only after usage is understood.</w:t>
      </w:r>
    </w:p>
    <w:p w14:paraId="2D5A0D7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backups and restrict public access if private networking is enabled.</w:t>
      </w:r>
    </w:p>
    <w:p w14:paraId="72C30F6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Stateful platform storage is available for production.</w:t>
      </w:r>
    </w:p>
    <w:p w14:paraId="4033C534" w14:textId="77777777" w:rsidR="00220E54" w:rsidRPr="002515CE" w:rsidRDefault="007D4632">
      <w:pPr>
        <w:pStyle w:val="Heading3"/>
        <w:rPr>
          <w:rFonts w:cstheme="majorHAnsi"/>
          <w:sz w:val="24"/>
          <w:szCs w:val="24"/>
        </w:rPr>
      </w:pPr>
      <w:bookmarkStart w:id="55" w:name="_Toc230176824"/>
      <w:r w:rsidRPr="002515CE">
        <w:rPr>
          <w:rFonts w:cstheme="majorHAnsi"/>
          <w:sz w:val="24"/>
          <w:szCs w:val="24"/>
        </w:rPr>
        <w:lastRenderedPageBreak/>
        <w:t>Step 11 - Create Container Apps Environment</w:t>
      </w:r>
      <w:bookmarkEnd w:id="55"/>
    </w:p>
    <w:p w14:paraId="1D21386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1E7E93F4"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cae-orbit-prod-eus2 in rg-kinisislabs-platform-shared-prod-eus2.</w:t>
      </w:r>
    </w:p>
    <w:p w14:paraId="78FEAFC2"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diagnostics to send logs to law-orbit-prod-eus2.</w:t>
      </w:r>
    </w:p>
    <w:p w14:paraId="5DA9A78D"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consumption or minimum-scale settings until production traffic patterns are known.</w:t>
      </w:r>
    </w:p>
    <w:p w14:paraId="508DB2A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The Orbit API runtime environment is ready.</w:t>
      </w:r>
    </w:p>
    <w:p w14:paraId="670B6FC1" w14:textId="77777777" w:rsidR="00220E54" w:rsidRPr="002515CE" w:rsidRDefault="007D4632">
      <w:pPr>
        <w:pStyle w:val="Heading3"/>
        <w:rPr>
          <w:rFonts w:cstheme="majorHAnsi"/>
          <w:sz w:val="24"/>
          <w:szCs w:val="24"/>
        </w:rPr>
      </w:pPr>
      <w:bookmarkStart w:id="56" w:name="_Toc230176825"/>
      <w:r w:rsidRPr="002515CE">
        <w:rPr>
          <w:rFonts w:cstheme="majorHAnsi"/>
          <w:sz w:val="24"/>
          <w:szCs w:val="24"/>
        </w:rPr>
        <w:t>Step 12 - Deploy Orbit API</w:t>
      </w:r>
      <w:bookmarkEnd w:id="56"/>
    </w:p>
    <w:p w14:paraId="3CCB3D1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5BF29BFA"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Deploy ca-orbit-api-prod into the Container Apps Environment.</w:t>
      </w:r>
    </w:p>
    <w:p w14:paraId="0556A7C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Assign id-orbit-api-prod to the API container app.</w:t>
      </w:r>
    </w:p>
    <w:p w14:paraId="686E5A19"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environment variables and Key Vault references.</w:t>
      </w:r>
    </w:p>
    <w:p w14:paraId="6C8359C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The Orbit backend is running with managed identity and no embedded secrets.</w:t>
      </w:r>
    </w:p>
    <w:p w14:paraId="061737CE" w14:textId="77777777" w:rsidR="00220E54" w:rsidRPr="002515CE" w:rsidRDefault="007D4632">
      <w:pPr>
        <w:pStyle w:val="Heading3"/>
        <w:rPr>
          <w:rFonts w:cstheme="majorHAnsi"/>
          <w:sz w:val="24"/>
          <w:szCs w:val="24"/>
        </w:rPr>
      </w:pPr>
      <w:bookmarkStart w:id="57" w:name="_Toc230176826"/>
      <w:r w:rsidRPr="002515CE">
        <w:rPr>
          <w:rFonts w:cstheme="majorHAnsi"/>
          <w:sz w:val="24"/>
          <w:szCs w:val="24"/>
        </w:rPr>
        <w:t>Step 13 - Deploy Orbit frontend</w:t>
      </w:r>
      <w:bookmarkEnd w:id="57"/>
    </w:p>
    <w:p w14:paraId="43C4828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64D01A5B"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Deploy swa-orbit-prod for the React/Vite Orbit UI.</w:t>
      </w:r>
    </w:p>
    <w:p w14:paraId="1E90006F"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the frontend to call the API through the Front Door /api/* route.</w:t>
      </w:r>
    </w:p>
    <w:p w14:paraId="156D60F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Validate the UI loads successfully before custom domain cutover.</w:t>
      </w:r>
    </w:p>
    <w:p w14:paraId="202DB7E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The Orbit web UI is available behind Azure routing.</w:t>
      </w:r>
    </w:p>
    <w:p w14:paraId="14F3E58B" w14:textId="77777777" w:rsidR="00220E54" w:rsidRPr="002515CE" w:rsidRDefault="007D4632">
      <w:pPr>
        <w:pStyle w:val="Heading3"/>
        <w:rPr>
          <w:rFonts w:cstheme="majorHAnsi"/>
          <w:sz w:val="24"/>
          <w:szCs w:val="24"/>
        </w:rPr>
      </w:pPr>
      <w:bookmarkStart w:id="58" w:name="_Toc230176827"/>
      <w:r w:rsidRPr="002515CE">
        <w:rPr>
          <w:rFonts w:cstheme="majorHAnsi"/>
          <w:sz w:val="24"/>
          <w:szCs w:val="24"/>
        </w:rPr>
        <w:t>Step 14 - Create Front Door</w:t>
      </w:r>
      <w:bookmarkEnd w:id="58"/>
    </w:p>
    <w:p w14:paraId="6BB9BED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4FDA300A"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afd-orbit-prod as the single public entry point.</w:t>
      </w:r>
    </w:p>
    <w:p w14:paraId="0071E0DB"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routes for the frontend and /api/* traffic.</w:t>
      </w:r>
    </w:p>
    <w:p w14:paraId="2BCBD04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Enable WAF policy and TLS termination.</w:t>
      </w:r>
    </w:p>
    <w:p w14:paraId="45021FC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Orbit has a single secured public entry point.</w:t>
      </w:r>
    </w:p>
    <w:p w14:paraId="7D897DB9" w14:textId="77777777" w:rsidR="00220E54" w:rsidRPr="002515CE" w:rsidRDefault="007D4632">
      <w:pPr>
        <w:pStyle w:val="Heading3"/>
        <w:rPr>
          <w:rFonts w:cstheme="majorHAnsi"/>
          <w:sz w:val="24"/>
          <w:szCs w:val="24"/>
        </w:rPr>
      </w:pPr>
      <w:bookmarkStart w:id="59" w:name="_Toc230176828"/>
      <w:r w:rsidRPr="002515CE">
        <w:rPr>
          <w:rFonts w:cstheme="majorHAnsi"/>
          <w:sz w:val="24"/>
          <w:szCs w:val="24"/>
        </w:rPr>
        <w:t>Step 15 - Connect klabsorbit.com</w:t>
      </w:r>
      <w:bookmarkEnd w:id="59"/>
    </w:p>
    <w:p w14:paraId="1EA930C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5BC1CF0F"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Add klabsorbit.com as a Front Door custom domain.</w:t>
      </w:r>
    </w:p>
    <w:p w14:paraId="35316132"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Complete DNS validation with the domain registrar or DNS provider.</w:t>
      </w:r>
    </w:p>
    <w:p w14:paraId="426A8079"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lastRenderedPageBreak/>
        <w:t>Enable the Azure Front Door managed certificate.</w:t>
      </w:r>
    </w:p>
    <w:p w14:paraId="0ACF7C7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https://klabsorbit.com resolves to Orbit with a valid TLS certificate.</w:t>
      </w:r>
    </w:p>
    <w:p w14:paraId="54E6F19E" w14:textId="77777777" w:rsidR="00220E54" w:rsidRPr="002515CE" w:rsidRDefault="007D4632">
      <w:pPr>
        <w:pStyle w:val="Heading3"/>
        <w:rPr>
          <w:rFonts w:cstheme="majorHAnsi"/>
          <w:sz w:val="24"/>
          <w:szCs w:val="24"/>
        </w:rPr>
      </w:pPr>
      <w:bookmarkStart w:id="60" w:name="_Toc230176829"/>
      <w:r w:rsidRPr="002515CE">
        <w:rPr>
          <w:rFonts w:cstheme="majorHAnsi"/>
          <w:sz w:val="24"/>
          <w:szCs w:val="24"/>
        </w:rPr>
        <w:t>Step 16 - Configure Entra app registration</w:t>
      </w:r>
      <w:bookmarkEnd w:id="60"/>
    </w:p>
    <w:p w14:paraId="3AD0151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5BC4D86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or update the Orbit app registration for OIDC login.</w:t>
      </w:r>
    </w:p>
    <w:p w14:paraId="29AF069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Configure redirect URIs for klabsorbit.com.</w:t>
      </w:r>
    </w:p>
    <w:p w14:paraId="3A9BBB06"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Grant Microsoft Graph permissions required for group membership checks.</w:t>
      </w:r>
    </w:p>
    <w:p w14:paraId="0362A09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SSO and RBAC foundations are complete.</w:t>
      </w:r>
    </w:p>
    <w:p w14:paraId="79B65D72" w14:textId="77777777" w:rsidR="00220E54" w:rsidRPr="002515CE" w:rsidRDefault="007D4632">
      <w:pPr>
        <w:pStyle w:val="Heading3"/>
        <w:rPr>
          <w:rFonts w:cstheme="majorHAnsi"/>
          <w:sz w:val="24"/>
          <w:szCs w:val="24"/>
        </w:rPr>
      </w:pPr>
      <w:bookmarkStart w:id="61" w:name="_Toc230176830"/>
      <w:r w:rsidRPr="002515CE">
        <w:rPr>
          <w:rFonts w:cstheme="majorHAnsi"/>
          <w:sz w:val="24"/>
          <w:szCs w:val="24"/>
        </w:rPr>
        <w:t>Step 17 - Create Orbit access groups</w:t>
      </w:r>
      <w:bookmarkEnd w:id="61"/>
    </w:p>
    <w:p w14:paraId="642BD3E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006D1791"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or confirm Orbit-Authorized-Users, Orbit-Admins, Orbit-Engineers, Orbit-Cost-Readers, and Orbit-FinOps.</w:t>
      </w:r>
    </w:p>
    <w:p w14:paraId="742DD690"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Add initial platform administrators and authorized users.</w:t>
      </w:r>
    </w:p>
    <w:p w14:paraId="1D8D37B2"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Keep Orbit-Cost-Readers limited to users who need cost visibility.</w:t>
      </w:r>
    </w:p>
    <w:p w14:paraId="4D9E5D6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Users can be granted scoped access with least privilege.</w:t>
      </w:r>
    </w:p>
    <w:p w14:paraId="4F7181DF" w14:textId="77777777" w:rsidR="00220E54" w:rsidRPr="002515CE" w:rsidRDefault="007D4632">
      <w:pPr>
        <w:pStyle w:val="Heading3"/>
        <w:rPr>
          <w:rFonts w:cstheme="majorHAnsi"/>
          <w:sz w:val="24"/>
          <w:szCs w:val="24"/>
        </w:rPr>
      </w:pPr>
      <w:bookmarkStart w:id="62" w:name="_Toc230176831"/>
      <w:r w:rsidRPr="002515CE">
        <w:rPr>
          <w:rFonts w:cstheme="majorHAnsi"/>
          <w:sz w:val="24"/>
          <w:szCs w:val="24"/>
        </w:rPr>
        <w:t>Step 18 - Configure Clerk integration</w:t>
      </w:r>
      <w:bookmarkEnd w:id="62"/>
    </w:p>
    <w:p w14:paraId="509018D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43168963"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Clerk organizations for tracked app scopes.</w:t>
      </w:r>
    </w:p>
    <w:p w14:paraId="52A1702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Register /api/webhooks/clerk as the webhook endpoint.</w:t>
      </w:r>
    </w:p>
    <w:p w14:paraId="16589C8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Store Clerk API keys and webhook signing secrets in kv-orbit-prod-eus2.</w:t>
      </w:r>
    </w:p>
    <w:p w14:paraId="6079B36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The user activity pipeline is ready.</w:t>
      </w:r>
    </w:p>
    <w:p w14:paraId="37E4070E" w14:textId="77777777" w:rsidR="00220E54" w:rsidRPr="002515CE" w:rsidRDefault="007D4632">
      <w:pPr>
        <w:pStyle w:val="Heading3"/>
        <w:rPr>
          <w:rFonts w:cstheme="majorHAnsi"/>
          <w:sz w:val="24"/>
          <w:szCs w:val="24"/>
        </w:rPr>
      </w:pPr>
      <w:bookmarkStart w:id="63" w:name="_Toc230176832"/>
      <w:r w:rsidRPr="002515CE">
        <w:rPr>
          <w:rFonts w:cstheme="majorHAnsi"/>
          <w:sz w:val="24"/>
          <w:szCs w:val="24"/>
        </w:rPr>
        <w:t>Step 19 - Wire diagnostics</w:t>
      </w:r>
      <w:bookmarkEnd w:id="63"/>
    </w:p>
    <w:p w14:paraId="41EF640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17DC2B8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Send Orbit API logs, Front Door logs, Container Apps logs, and platform diagnostics to law-orbit-prod-eus2.</w:t>
      </w:r>
    </w:p>
    <w:p w14:paraId="747E46C9"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Application Insights receives request traces and exceptions.</w:t>
      </w:r>
    </w:p>
    <w:p w14:paraId="2B6E7313"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Keep retention settings cost-conscious until production volume is understood.</w:t>
      </w:r>
    </w:p>
    <w:p w14:paraId="4741628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Operations can troubleshoot Orbit centrally.</w:t>
      </w:r>
    </w:p>
    <w:p w14:paraId="326D27CA" w14:textId="77777777" w:rsidR="00220E54" w:rsidRPr="002515CE" w:rsidRDefault="007D4632">
      <w:pPr>
        <w:pStyle w:val="Heading3"/>
        <w:rPr>
          <w:rFonts w:cstheme="majorHAnsi"/>
          <w:sz w:val="24"/>
          <w:szCs w:val="24"/>
        </w:rPr>
      </w:pPr>
      <w:bookmarkStart w:id="64" w:name="_Toc230176833"/>
      <w:r w:rsidRPr="002515CE">
        <w:rPr>
          <w:rFonts w:cstheme="majorHAnsi"/>
          <w:sz w:val="24"/>
          <w:szCs w:val="24"/>
        </w:rPr>
        <w:lastRenderedPageBreak/>
        <w:t>Step 20 - Validate end to end</w:t>
      </w:r>
      <w:bookmarkEnd w:id="64"/>
    </w:p>
    <w:p w14:paraId="209C2EF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Actions:</w:t>
      </w:r>
    </w:p>
    <w:p w14:paraId="22C1ED75"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Validate login, dashboard load, Azure resource queries, cost-gated pages, Clerk user activity, and domain TLS.</w:t>
      </w:r>
    </w:p>
    <w:p w14:paraId="04BF586E"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Confirm users without Orbit-Cost-Readers receive 403 from cost endpoints.</w:t>
      </w:r>
    </w:p>
    <w:p w14:paraId="3BB02CE8"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Review cost by subscription, resource group, workload tag, and environment tag.</w:t>
      </w:r>
    </w:p>
    <w:p w14:paraId="70B79BE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sz w:val="24"/>
          <w:szCs w:val="24"/>
        </w:rPr>
        <w:t>Exit criteria:</w:t>
      </w:r>
      <w:r w:rsidRPr="002515CE">
        <w:rPr>
          <w:rFonts w:asciiTheme="majorHAnsi" w:hAnsiTheme="majorHAnsi" w:cstheme="majorHAnsi"/>
          <w:sz w:val="24"/>
          <w:szCs w:val="24"/>
        </w:rPr>
        <w:t xml:space="preserve"> Orbit is ready for controlled production use.</w:t>
      </w:r>
    </w:p>
    <w:p w14:paraId="4EE565D4" w14:textId="77777777" w:rsidR="00220E54" w:rsidRPr="002515CE" w:rsidRDefault="007D4632">
      <w:pPr>
        <w:pStyle w:val="Heading2"/>
        <w:rPr>
          <w:rFonts w:cstheme="majorHAnsi"/>
          <w:sz w:val="24"/>
          <w:szCs w:val="24"/>
        </w:rPr>
      </w:pPr>
      <w:bookmarkStart w:id="65" w:name="_Toc230176834"/>
      <w:r w:rsidRPr="002515CE">
        <w:rPr>
          <w:rFonts w:cstheme="majorHAnsi"/>
          <w:sz w:val="24"/>
          <w:szCs w:val="24"/>
        </w:rPr>
        <w:t>16.5 Azure CLI Build Sequence</w:t>
      </w:r>
      <w:bookmarkEnd w:id="65"/>
    </w:p>
    <w:p w14:paraId="51805F97"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The following command sequence is a practical starting point. Review names and policies before running in production.</w:t>
      </w:r>
    </w:p>
    <w:p w14:paraId="44DFFB12"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color w:val="404040"/>
          <w:sz w:val="24"/>
          <w:szCs w:val="24"/>
        </w:rPr>
        <w:t>az account set --subscription sub-sharedplatform-prod</w:t>
      </w:r>
    </w:p>
    <w:p w14:paraId="5FAFCBDC"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group create --name rg-kinisislabs-platform-shared-prod-eus2 --location eastus2 --tags workload=orbit environment=prod owner=platform-engineering cost-center=platform data-class=internal criticality=high</w:t>
      </w:r>
    </w:p>
    <w:p w14:paraId="762CAD75"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group create --name rg-kinisislabs-platform-shared-prod-eus2 --location eastus2 --tags workload=orbit environment=prod owner=platform-engineering cost-center=platform data-class=internal criticality=high</w:t>
      </w:r>
    </w:p>
    <w:p w14:paraId="2B0748FB"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group create --name rg-kinisislabs-platform-monitoring-prod-eus2 --location eastus2 --tags workload=orbit environment=prod owner=platform-engineering cost-center=platform data-class=internal criticality=high</w:t>
      </w:r>
    </w:p>
    <w:p w14:paraId="5187992D"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color w:val="404040"/>
          <w:sz w:val="24"/>
          <w:szCs w:val="24"/>
        </w:rPr>
        <w:t>az network watcher configure --locations eastus2 --enabled true</w:t>
      </w:r>
    </w:p>
    <w:p w14:paraId="5A0C44F0"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keyvault create --name kv-orbit-prod-eus2 --resource-group rg-kinisislabs-platform-shared-prod-eus2 --location eastus2 --enable-rbac-authorization true --enable-purge-protection true</w:t>
      </w:r>
    </w:p>
    <w:p w14:paraId="23BD931D"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monitor log-analytics workspace create --workspace-name law-orbit-prod-eus2 --resource-group rg-kinisislabs-platform-monitoring-prod-eus2 --location eastus2</w:t>
      </w:r>
    </w:p>
    <w:p w14:paraId="3AC196E7"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monitor app-insights component create --app appi-oribit-prod --location eastus2 --resource-group rg-kinisislabs-platform-monitoring-prod-eus2 --workspace law-orbit-prod-eus2</w:t>
      </w:r>
    </w:p>
    <w:p w14:paraId="2FC6EDD1"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appconfig create --name appcs-orbit-prod-eus2 --resource-group rg-kinisislabs-platform-shared-prod-eus2 --location eastus2</w:t>
      </w:r>
    </w:p>
    <w:p w14:paraId="7D9E32DA" w14:textId="77777777" w:rsidR="00220E54" w:rsidRPr="002515CE" w:rsidRDefault="007D4632">
      <w:pPr>
        <w:spacing w:after="120"/>
        <w:ind w:left="360"/>
        <w:rPr>
          <w:rFonts w:asciiTheme="majorHAnsi" w:hAnsiTheme="majorHAnsi" w:cstheme="majorHAnsi"/>
          <w:sz w:val="24"/>
          <w:szCs w:val="24"/>
        </w:rPr>
      </w:pPr>
      <w:r w:rsidRPr="002515CE">
        <w:rPr>
          <w:rFonts w:asciiTheme="majorHAnsi" w:hAnsiTheme="majorHAnsi" w:cstheme="majorHAnsi"/>
          <w:sz w:val="24"/>
          <w:szCs w:val="24"/>
        </w:rPr>
        <w:t>az identity create --name id-orbit-api-prod --resource-group rg-kinisislabs-platform-shared-prod-eus2 --location eastus2</w:t>
      </w:r>
    </w:p>
    <w:p w14:paraId="3911E3C9" w14:textId="77777777" w:rsidR="00220E54" w:rsidRPr="002515CE" w:rsidRDefault="007D4632">
      <w:pPr>
        <w:pStyle w:val="Heading2"/>
        <w:rPr>
          <w:rFonts w:cstheme="majorHAnsi"/>
          <w:sz w:val="24"/>
          <w:szCs w:val="24"/>
        </w:rPr>
      </w:pPr>
      <w:bookmarkStart w:id="66" w:name="_Toc230176835"/>
      <w:r w:rsidRPr="002515CE">
        <w:rPr>
          <w:rFonts w:cstheme="majorHAnsi"/>
          <w:sz w:val="24"/>
          <w:szCs w:val="24"/>
        </w:rPr>
        <w:lastRenderedPageBreak/>
        <w:t>16.6 Network Watcher Deployment Rule</w:t>
      </w:r>
      <w:bookmarkEnd w:id="66"/>
    </w:p>
    <w:p w14:paraId="7E5C62F8"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Network Watcher is subscription and region scoped. Do not create a separate Network Watcher per app. For this architecture, enable or confirm one Network Watcher in eastus2 for each active subscription that contains resources Orbit monitors.</w:t>
      </w:r>
    </w:p>
    <w:tbl>
      <w:tblPr>
        <w:tblStyle w:val="TableGrid"/>
        <w:tblW w:w="0" w:type="auto"/>
        <w:jc w:val="center"/>
        <w:tblLook w:val="04A0" w:firstRow="1" w:lastRow="0" w:firstColumn="1" w:lastColumn="0" w:noHBand="0" w:noVBand="1"/>
      </w:tblPr>
      <w:tblGrid>
        <w:gridCol w:w="1935"/>
        <w:gridCol w:w="1401"/>
        <w:gridCol w:w="1755"/>
        <w:gridCol w:w="1750"/>
        <w:gridCol w:w="1789"/>
      </w:tblGrid>
      <w:tr w:rsidR="00220E54" w:rsidRPr="002515CE" w14:paraId="59179A2A" w14:textId="77777777">
        <w:trPr>
          <w:jc w:val="center"/>
        </w:trPr>
        <w:tc>
          <w:tcPr>
            <w:tcW w:w="2160" w:type="dxa"/>
            <w:shd w:val="clear" w:color="auto" w:fill="1F4E79"/>
            <w:vAlign w:val="center"/>
          </w:tcPr>
          <w:p w14:paraId="394DB2D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2160" w:type="dxa"/>
            <w:shd w:val="clear" w:color="auto" w:fill="1F4E79"/>
            <w:vAlign w:val="center"/>
          </w:tcPr>
          <w:p w14:paraId="74D2A76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Region</w:t>
            </w:r>
          </w:p>
        </w:tc>
        <w:tc>
          <w:tcPr>
            <w:tcW w:w="2160" w:type="dxa"/>
            <w:shd w:val="clear" w:color="auto" w:fill="1F4E79"/>
            <w:vAlign w:val="center"/>
          </w:tcPr>
          <w:p w14:paraId="506D680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Network Watcher Requirement</w:t>
            </w:r>
          </w:p>
        </w:tc>
        <w:tc>
          <w:tcPr>
            <w:tcW w:w="2160" w:type="dxa"/>
            <w:shd w:val="clear" w:color="auto" w:fill="1F4E79"/>
            <w:vAlign w:val="center"/>
          </w:tcPr>
          <w:p w14:paraId="103C71D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Cost-Control Decision</w:t>
            </w:r>
          </w:p>
        </w:tc>
        <w:tc>
          <w:tcPr>
            <w:tcW w:w="2448" w:type="dxa"/>
            <w:shd w:val="clear" w:color="auto" w:fill="1F4E79"/>
            <w:vAlign w:val="center"/>
          </w:tcPr>
          <w:p w14:paraId="79E81FC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 Scope Rule</w:t>
            </w:r>
          </w:p>
        </w:tc>
      </w:tr>
      <w:tr w:rsidR="00220E54" w:rsidRPr="002515CE" w14:paraId="389A1652" w14:textId="77777777">
        <w:trPr>
          <w:jc w:val="center"/>
        </w:trPr>
        <w:tc>
          <w:tcPr>
            <w:tcW w:w="2160" w:type="dxa"/>
            <w:vAlign w:val="center"/>
          </w:tcPr>
          <w:p w14:paraId="79820FC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2160" w:type="dxa"/>
            <w:vAlign w:val="center"/>
          </w:tcPr>
          <w:p w14:paraId="0DA3386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49B89B3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4A27833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Shared by Orbit platform resources in this subscription</w:t>
            </w:r>
          </w:p>
        </w:tc>
        <w:tc>
          <w:tcPr>
            <w:tcW w:w="2448" w:type="dxa"/>
            <w:vAlign w:val="center"/>
          </w:tcPr>
          <w:p w14:paraId="68E1C6F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r w:rsidR="00220E54" w:rsidRPr="002515CE" w14:paraId="0E1DD3E0" w14:textId="77777777">
        <w:trPr>
          <w:jc w:val="center"/>
        </w:trPr>
        <w:tc>
          <w:tcPr>
            <w:tcW w:w="2160" w:type="dxa"/>
            <w:vAlign w:val="center"/>
          </w:tcPr>
          <w:p w14:paraId="0A570A8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2160" w:type="dxa"/>
            <w:vAlign w:val="center"/>
          </w:tcPr>
          <w:p w14:paraId="483C96F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57796AF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68092D4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Shared by GrailBabe production resources</w:t>
            </w:r>
          </w:p>
        </w:tc>
        <w:tc>
          <w:tcPr>
            <w:tcW w:w="2448" w:type="dxa"/>
            <w:vAlign w:val="center"/>
          </w:tcPr>
          <w:p w14:paraId="431B6C7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r w:rsidR="00220E54" w:rsidRPr="002515CE" w14:paraId="50D6BCE7" w14:textId="77777777">
        <w:trPr>
          <w:jc w:val="center"/>
        </w:trPr>
        <w:tc>
          <w:tcPr>
            <w:tcW w:w="2160" w:type="dxa"/>
            <w:vAlign w:val="center"/>
          </w:tcPr>
          <w:p w14:paraId="2955F16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2160" w:type="dxa"/>
            <w:vAlign w:val="center"/>
          </w:tcPr>
          <w:p w14:paraId="611A924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eastus2</w:t>
            </w:r>
          </w:p>
        </w:tc>
        <w:tc>
          <w:tcPr>
            <w:tcW w:w="2160" w:type="dxa"/>
            <w:vAlign w:val="center"/>
          </w:tcPr>
          <w:p w14:paraId="536B48F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w:t>
            </w:r>
          </w:p>
        </w:tc>
        <w:tc>
          <w:tcPr>
            <w:tcW w:w="2160" w:type="dxa"/>
            <w:vAlign w:val="center"/>
          </w:tcPr>
          <w:p w14:paraId="55DA55D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Shared by GrailBabe development resources</w:t>
            </w:r>
          </w:p>
        </w:tc>
        <w:tc>
          <w:tcPr>
            <w:tcW w:w="2448" w:type="dxa"/>
            <w:vAlign w:val="center"/>
          </w:tcPr>
          <w:p w14:paraId="341CD2F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One Network Watcher per subscription + eastus2</w:t>
            </w:r>
          </w:p>
        </w:tc>
      </w:tr>
    </w:tbl>
    <w:p w14:paraId="5919BBF7" w14:textId="77777777" w:rsidR="00220E54" w:rsidRPr="002515CE" w:rsidRDefault="007D4632">
      <w:pPr>
        <w:pStyle w:val="Heading2"/>
        <w:rPr>
          <w:rFonts w:cstheme="majorHAnsi"/>
          <w:sz w:val="24"/>
          <w:szCs w:val="24"/>
        </w:rPr>
      </w:pPr>
      <w:bookmarkStart w:id="67" w:name="_Toc230176836"/>
      <w:r w:rsidRPr="002515CE">
        <w:rPr>
          <w:rFonts w:cstheme="majorHAnsi"/>
          <w:sz w:val="24"/>
          <w:szCs w:val="24"/>
        </w:rPr>
        <w:t>16.7 Key Vault Deployment Rule</w:t>
      </w:r>
      <w:bookmarkEnd w:id="67"/>
    </w:p>
    <w:p w14:paraId="4B4CC899"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sz w:val="24"/>
          <w:szCs w:val="24"/>
        </w:rPr>
        <w:t>Key Vault follows a different model from Network Watcher. Because Key Vault stores application secrets, each application environment should have its own vault. This reduces blast radius and simplifies access reviews without requiring extra subscriptions.</w:t>
      </w:r>
    </w:p>
    <w:tbl>
      <w:tblPr>
        <w:tblStyle w:val="TableGrid"/>
        <w:tblW w:w="0" w:type="auto"/>
        <w:jc w:val="center"/>
        <w:tblLook w:val="04A0" w:firstRow="1" w:lastRow="0" w:firstColumn="1" w:lastColumn="0" w:noHBand="0" w:noVBand="1"/>
      </w:tblPr>
      <w:tblGrid>
        <w:gridCol w:w="1268"/>
        <w:gridCol w:w="1406"/>
        <w:gridCol w:w="1449"/>
        <w:gridCol w:w="1683"/>
        <w:gridCol w:w="1549"/>
        <w:gridCol w:w="1275"/>
      </w:tblGrid>
      <w:tr w:rsidR="00220E54" w:rsidRPr="002515CE" w14:paraId="5B1F3675" w14:textId="77777777">
        <w:trPr>
          <w:jc w:val="center"/>
        </w:trPr>
        <w:tc>
          <w:tcPr>
            <w:tcW w:w="1728" w:type="dxa"/>
            <w:shd w:val="clear" w:color="auto" w:fill="1F4E79"/>
            <w:vAlign w:val="center"/>
          </w:tcPr>
          <w:p w14:paraId="5BB8759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Application</w:t>
            </w:r>
          </w:p>
        </w:tc>
        <w:tc>
          <w:tcPr>
            <w:tcW w:w="1728" w:type="dxa"/>
            <w:shd w:val="clear" w:color="auto" w:fill="1F4E79"/>
            <w:vAlign w:val="center"/>
          </w:tcPr>
          <w:p w14:paraId="4E83094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Environment</w:t>
            </w:r>
          </w:p>
        </w:tc>
        <w:tc>
          <w:tcPr>
            <w:tcW w:w="1728" w:type="dxa"/>
            <w:shd w:val="clear" w:color="auto" w:fill="1F4E79"/>
            <w:vAlign w:val="center"/>
          </w:tcPr>
          <w:p w14:paraId="1408AFB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Key Vault</w:t>
            </w:r>
          </w:p>
        </w:tc>
        <w:tc>
          <w:tcPr>
            <w:tcW w:w="1728" w:type="dxa"/>
            <w:shd w:val="clear" w:color="auto" w:fill="1F4E79"/>
            <w:vAlign w:val="center"/>
          </w:tcPr>
          <w:p w14:paraId="2C49795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w:t>
            </w:r>
          </w:p>
        </w:tc>
        <w:tc>
          <w:tcPr>
            <w:tcW w:w="1728" w:type="dxa"/>
            <w:shd w:val="clear" w:color="auto" w:fill="1F4E79"/>
            <w:vAlign w:val="center"/>
          </w:tcPr>
          <w:p w14:paraId="19C0B62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Group</w:t>
            </w:r>
          </w:p>
        </w:tc>
        <w:tc>
          <w:tcPr>
            <w:tcW w:w="2592" w:type="dxa"/>
            <w:shd w:val="clear" w:color="auto" w:fill="1F4E79"/>
            <w:vAlign w:val="center"/>
          </w:tcPr>
          <w:p w14:paraId="1117DA5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Naming Convention</w:t>
            </w:r>
          </w:p>
        </w:tc>
      </w:tr>
      <w:tr w:rsidR="00220E54" w:rsidRPr="002515CE" w14:paraId="1EF5E29B" w14:textId="77777777">
        <w:trPr>
          <w:jc w:val="center"/>
        </w:trPr>
        <w:tc>
          <w:tcPr>
            <w:tcW w:w="1728" w:type="dxa"/>
            <w:vAlign w:val="center"/>
          </w:tcPr>
          <w:p w14:paraId="577908F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Orbit</w:t>
            </w:r>
          </w:p>
        </w:tc>
        <w:tc>
          <w:tcPr>
            <w:tcW w:w="1728" w:type="dxa"/>
            <w:vAlign w:val="center"/>
          </w:tcPr>
          <w:p w14:paraId="595992C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728" w:type="dxa"/>
            <w:vAlign w:val="center"/>
          </w:tcPr>
          <w:p w14:paraId="5C605B6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kv-orbit-prod-eus2</w:t>
            </w:r>
          </w:p>
        </w:tc>
        <w:tc>
          <w:tcPr>
            <w:tcW w:w="1728" w:type="dxa"/>
            <w:vAlign w:val="center"/>
          </w:tcPr>
          <w:p w14:paraId="779F04A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c>
          <w:tcPr>
            <w:tcW w:w="1728" w:type="dxa"/>
            <w:vAlign w:val="center"/>
          </w:tcPr>
          <w:p w14:paraId="2A81BDF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592" w:type="dxa"/>
            <w:vAlign w:val="center"/>
          </w:tcPr>
          <w:p w14:paraId="4E61F4B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r w:rsidR="00220E54" w:rsidRPr="002515CE" w14:paraId="5F1D210D" w14:textId="77777777">
        <w:trPr>
          <w:jc w:val="center"/>
        </w:trPr>
        <w:tc>
          <w:tcPr>
            <w:tcW w:w="1728" w:type="dxa"/>
            <w:vAlign w:val="center"/>
          </w:tcPr>
          <w:p w14:paraId="5A030AC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728" w:type="dxa"/>
            <w:vAlign w:val="center"/>
          </w:tcPr>
          <w:p w14:paraId="41C1768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prod</w:t>
            </w:r>
          </w:p>
        </w:tc>
        <w:tc>
          <w:tcPr>
            <w:tcW w:w="1728" w:type="dxa"/>
            <w:vAlign w:val="center"/>
          </w:tcPr>
          <w:p w14:paraId="35EC9A5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kv-grailbabe-prod-eus2</w:t>
            </w:r>
          </w:p>
        </w:tc>
        <w:tc>
          <w:tcPr>
            <w:tcW w:w="1728" w:type="dxa"/>
            <w:vAlign w:val="center"/>
          </w:tcPr>
          <w:p w14:paraId="50E8F2A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c>
          <w:tcPr>
            <w:tcW w:w="1728" w:type="dxa"/>
            <w:vAlign w:val="center"/>
          </w:tcPr>
          <w:p w14:paraId="13B12F8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2592" w:type="dxa"/>
            <w:vAlign w:val="center"/>
          </w:tcPr>
          <w:p w14:paraId="0F7A3A5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r w:rsidR="00220E54" w:rsidRPr="002515CE" w14:paraId="2FE53078" w14:textId="77777777">
        <w:trPr>
          <w:jc w:val="center"/>
        </w:trPr>
        <w:tc>
          <w:tcPr>
            <w:tcW w:w="1728" w:type="dxa"/>
            <w:vAlign w:val="center"/>
          </w:tcPr>
          <w:p w14:paraId="7B89DCD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GrailBabe</w:t>
            </w:r>
          </w:p>
        </w:tc>
        <w:tc>
          <w:tcPr>
            <w:tcW w:w="1728" w:type="dxa"/>
            <w:vAlign w:val="center"/>
          </w:tcPr>
          <w:p w14:paraId="72E929B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dev</w:t>
            </w:r>
          </w:p>
        </w:tc>
        <w:tc>
          <w:tcPr>
            <w:tcW w:w="1728" w:type="dxa"/>
            <w:vAlign w:val="center"/>
          </w:tcPr>
          <w:p w14:paraId="75F36CE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kv-grailbabedev-dev-eus2</w:t>
            </w:r>
          </w:p>
        </w:tc>
        <w:tc>
          <w:tcPr>
            <w:tcW w:w="1728" w:type="dxa"/>
            <w:vAlign w:val="center"/>
          </w:tcPr>
          <w:p w14:paraId="16A60F7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sub-grailbabedev-dev</w:t>
            </w:r>
          </w:p>
        </w:tc>
        <w:tc>
          <w:tcPr>
            <w:tcW w:w="1728" w:type="dxa"/>
            <w:vAlign w:val="center"/>
          </w:tcPr>
          <w:p w14:paraId="7BAC4CE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rg-grailbabedev-compute-dev-eus2</w:t>
            </w:r>
          </w:p>
        </w:tc>
        <w:tc>
          <w:tcPr>
            <w:tcW w:w="2592" w:type="dxa"/>
            <w:vAlign w:val="center"/>
          </w:tcPr>
          <w:p w14:paraId="1C10143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r>
    </w:tbl>
    <w:p w14:paraId="068129F0" w14:textId="77777777" w:rsidR="00220E54" w:rsidRPr="002515CE" w:rsidRDefault="007D4632">
      <w:pPr>
        <w:pStyle w:val="Heading2"/>
        <w:rPr>
          <w:rFonts w:cstheme="majorHAnsi"/>
          <w:sz w:val="24"/>
          <w:szCs w:val="24"/>
        </w:rPr>
      </w:pPr>
      <w:bookmarkStart w:id="68" w:name="_Toc230176837"/>
      <w:r w:rsidRPr="002515CE">
        <w:rPr>
          <w:rFonts w:cstheme="majorHAnsi"/>
          <w:sz w:val="24"/>
          <w:szCs w:val="24"/>
        </w:rPr>
        <w:lastRenderedPageBreak/>
        <w:t>16.8 Cost Controls Before Build-Out</w:t>
      </w:r>
      <w:bookmarkEnd w:id="68"/>
    </w:p>
    <w:p w14:paraId="24329476"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Create budgets before deploying Container Apps, PostgreSQL, Front Door, or Log Analytics ingestion-heavy workloads.</w:t>
      </w:r>
    </w:p>
    <w:p w14:paraId="43763627"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Set budget alerts at 50%, 80%, and 100% for sub-sharedplatform-prod and rg-kinisislabs-platform-shared-prod-eus2.</w:t>
      </w:r>
    </w:p>
    <w:p w14:paraId="2908545B"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Set separate budgets for rg-kinisislabs-platform-monitoring-prod-eus2 because Log Analytics ingestion can grow quickly.</w:t>
      </w:r>
    </w:p>
    <w:p w14:paraId="3F98E6E6"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tags consistently so Azure Cost Management can separate Orbit, GrailBabe prod, and GrailBabe dev costs.</w:t>
      </w:r>
    </w:p>
    <w:p w14:paraId="67DED61A"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Avoid creating extra Log Analytics workspaces unless retention, access control, or compliance requirements differ.</w:t>
      </w:r>
    </w:p>
    <w:p w14:paraId="6AC88766"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Use consumption-based or minimum-scale settings for Container Apps until real traffic is known.</w:t>
      </w:r>
    </w:p>
    <w:p w14:paraId="29FF39BC" w14:textId="77777777" w:rsidR="00220E54" w:rsidRPr="002515CE" w:rsidRDefault="007D4632">
      <w:pPr>
        <w:pStyle w:val="ListBullet"/>
        <w:rPr>
          <w:rFonts w:asciiTheme="majorHAnsi" w:hAnsiTheme="majorHAnsi" w:cstheme="majorHAnsi"/>
          <w:sz w:val="24"/>
          <w:szCs w:val="24"/>
        </w:rPr>
      </w:pPr>
      <w:r w:rsidRPr="002515CE">
        <w:rPr>
          <w:rFonts w:asciiTheme="majorHAnsi" w:hAnsiTheme="majorHAnsi" w:cstheme="majorHAnsi"/>
          <w:sz w:val="24"/>
          <w:szCs w:val="24"/>
        </w:rPr>
        <w:t>Review cost after each phase before proceeding to the next deployment phase.</w:t>
      </w:r>
    </w:p>
    <w:p w14:paraId="3F56A781" w14:textId="77777777" w:rsidR="00220E54" w:rsidRPr="002515CE" w:rsidRDefault="007D4632">
      <w:pPr>
        <w:pStyle w:val="Heading2"/>
        <w:rPr>
          <w:rFonts w:cstheme="majorHAnsi"/>
          <w:sz w:val="24"/>
          <w:szCs w:val="24"/>
        </w:rPr>
      </w:pPr>
      <w:bookmarkStart w:id="69" w:name="_Toc230176838"/>
      <w:r w:rsidRPr="002515CE">
        <w:rPr>
          <w:rFonts w:cstheme="majorHAnsi"/>
          <w:sz w:val="24"/>
          <w:szCs w:val="24"/>
        </w:rPr>
        <w:t>16.9 Production Readiness Validation</w:t>
      </w:r>
      <w:bookmarkEnd w:id="69"/>
    </w:p>
    <w:tbl>
      <w:tblPr>
        <w:tblStyle w:val="TableGrid"/>
        <w:tblW w:w="0" w:type="auto"/>
        <w:jc w:val="center"/>
        <w:tblLook w:val="04A0" w:firstRow="1" w:lastRow="0" w:firstColumn="1" w:lastColumn="0" w:noHBand="0" w:noVBand="1"/>
      </w:tblPr>
      <w:tblGrid>
        <w:gridCol w:w="2876"/>
        <w:gridCol w:w="2879"/>
        <w:gridCol w:w="2875"/>
      </w:tblGrid>
      <w:tr w:rsidR="00220E54" w:rsidRPr="002515CE" w14:paraId="30B4A078" w14:textId="77777777">
        <w:trPr>
          <w:jc w:val="center"/>
        </w:trPr>
        <w:tc>
          <w:tcPr>
            <w:tcW w:w="2880" w:type="dxa"/>
            <w:shd w:val="clear" w:color="auto" w:fill="1F4E79"/>
            <w:vAlign w:val="center"/>
          </w:tcPr>
          <w:p w14:paraId="7A64E14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Validation Area</w:t>
            </w:r>
          </w:p>
        </w:tc>
        <w:tc>
          <w:tcPr>
            <w:tcW w:w="2880" w:type="dxa"/>
            <w:shd w:val="clear" w:color="auto" w:fill="1F4E79"/>
            <w:vAlign w:val="center"/>
          </w:tcPr>
          <w:p w14:paraId="0B22F30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Test</w:t>
            </w:r>
          </w:p>
        </w:tc>
        <w:tc>
          <w:tcPr>
            <w:tcW w:w="2880" w:type="dxa"/>
            <w:shd w:val="clear" w:color="auto" w:fill="1F4E79"/>
            <w:vAlign w:val="center"/>
          </w:tcPr>
          <w:p w14:paraId="56D1263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Pass Criteria</w:t>
            </w:r>
          </w:p>
        </w:tc>
      </w:tr>
      <w:tr w:rsidR="00220E54" w:rsidRPr="002515CE" w14:paraId="16FA1164" w14:textId="77777777">
        <w:trPr>
          <w:jc w:val="center"/>
        </w:trPr>
        <w:tc>
          <w:tcPr>
            <w:tcW w:w="2880" w:type="dxa"/>
            <w:vAlign w:val="center"/>
          </w:tcPr>
          <w:p w14:paraId="1C7CD8D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Domain</w:t>
            </w:r>
          </w:p>
        </w:tc>
        <w:tc>
          <w:tcPr>
            <w:tcW w:w="2880" w:type="dxa"/>
            <w:vAlign w:val="center"/>
          </w:tcPr>
          <w:p w14:paraId="7C96666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Open https://klabsorbit.com</w:t>
            </w:r>
          </w:p>
        </w:tc>
        <w:tc>
          <w:tcPr>
            <w:tcW w:w="2880" w:type="dxa"/>
            <w:vAlign w:val="center"/>
          </w:tcPr>
          <w:p w14:paraId="30E331C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Valid TLS certificate and Front Door route works</w:t>
            </w:r>
          </w:p>
        </w:tc>
      </w:tr>
      <w:tr w:rsidR="00220E54" w:rsidRPr="002515CE" w14:paraId="43AA5F41" w14:textId="77777777">
        <w:trPr>
          <w:jc w:val="center"/>
        </w:trPr>
        <w:tc>
          <w:tcPr>
            <w:tcW w:w="2880" w:type="dxa"/>
            <w:vAlign w:val="center"/>
          </w:tcPr>
          <w:p w14:paraId="1279D83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Authentication</w:t>
            </w:r>
          </w:p>
        </w:tc>
        <w:tc>
          <w:tcPr>
            <w:tcW w:w="2880" w:type="dxa"/>
            <w:vAlign w:val="center"/>
          </w:tcPr>
          <w:p w14:paraId="6769446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Sign in with Entra ID</w:t>
            </w:r>
          </w:p>
        </w:tc>
        <w:tc>
          <w:tcPr>
            <w:tcW w:w="2880" w:type="dxa"/>
            <w:vAlign w:val="center"/>
          </w:tcPr>
          <w:p w14:paraId="4C71C54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Only authorized Orbit users can access the app</w:t>
            </w:r>
          </w:p>
        </w:tc>
      </w:tr>
      <w:tr w:rsidR="00220E54" w:rsidRPr="002515CE" w14:paraId="7B5987DD" w14:textId="77777777">
        <w:trPr>
          <w:jc w:val="center"/>
        </w:trPr>
        <w:tc>
          <w:tcPr>
            <w:tcW w:w="2880" w:type="dxa"/>
            <w:vAlign w:val="center"/>
          </w:tcPr>
          <w:p w14:paraId="7A15235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RBAC</w:t>
            </w:r>
          </w:p>
        </w:tc>
        <w:tc>
          <w:tcPr>
            <w:tcW w:w="2880" w:type="dxa"/>
            <w:vAlign w:val="center"/>
          </w:tcPr>
          <w:p w14:paraId="17FAB66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Test user without Orbit-Cost-Readers</w:t>
            </w:r>
          </w:p>
        </w:tc>
        <w:tc>
          <w:tcPr>
            <w:tcW w:w="2880" w:type="dxa"/>
            <w:vAlign w:val="center"/>
          </w:tcPr>
          <w:p w14:paraId="08352F0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Cost pages are blocked and API returns 403</w:t>
            </w:r>
          </w:p>
        </w:tc>
      </w:tr>
      <w:tr w:rsidR="00220E54" w:rsidRPr="002515CE" w14:paraId="49CB3391" w14:textId="77777777">
        <w:trPr>
          <w:jc w:val="center"/>
        </w:trPr>
        <w:tc>
          <w:tcPr>
            <w:tcW w:w="2880" w:type="dxa"/>
            <w:vAlign w:val="center"/>
          </w:tcPr>
          <w:p w14:paraId="34BE1A3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Managed Identity</w:t>
            </w:r>
          </w:p>
        </w:tc>
        <w:tc>
          <w:tcPr>
            <w:tcW w:w="2880" w:type="dxa"/>
            <w:vAlign w:val="center"/>
          </w:tcPr>
          <w:p w14:paraId="7C000C8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Query Azure Resource Graph from Orbit API</w:t>
            </w:r>
          </w:p>
        </w:tc>
        <w:tc>
          <w:tcPr>
            <w:tcW w:w="2880" w:type="dxa"/>
            <w:vAlign w:val="center"/>
          </w:tcPr>
          <w:p w14:paraId="28EDE73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No service principal secret is required</w:t>
            </w:r>
          </w:p>
        </w:tc>
      </w:tr>
      <w:tr w:rsidR="00220E54" w:rsidRPr="002515CE" w14:paraId="4A6E1B80" w14:textId="77777777">
        <w:trPr>
          <w:jc w:val="center"/>
        </w:trPr>
        <w:tc>
          <w:tcPr>
            <w:tcW w:w="2880" w:type="dxa"/>
            <w:vAlign w:val="center"/>
          </w:tcPr>
          <w:p w14:paraId="138629A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Key Vault</w:t>
            </w:r>
          </w:p>
        </w:tc>
        <w:tc>
          <w:tcPr>
            <w:tcW w:w="2880" w:type="dxa"/>
            <w:vAlign w:val="center"/>
          </w:tcPr>
          <w:p w14:paraId="1CF9B02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Read required app secrets from API runtime</w:t>
            </w:r>
          </w:p>
        </w:tc>
        <w:tc>
          <w:tcPr>
            <w:tcW w:w="2880" w:type="dxa"/>
            <w:vAlign w:val="center"/>
          </w:tcPr>
          <w:p w14:paraId="31E8C8D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Only approved identity has access</w:t>
            </w:r>
          </w:p>
        </w:tc>
      </w:tr>
      <w:tr w:rsidR="00220E54" w:rsidRPr="002515CE" w14:paraId="2703B593" w14:textId="77777777">
        <w:trPr>
          <w:jc w:val="center"/>
        </w:trPr>
        <w:tc>
          <w:tcPr>
            <w:tcW w:w="2880" w:type="dxa"/>
            <w:vAlign w:val="center"/>
          </w:tcPr>
          <w:p w14:paraId="7D21E23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Monitoring</w:t>
            </w:r>
          </w:p>
        </w:tc>
        <w:tc>
          <w:tcPr>
            <w:tcW w:w="2880" w:type="dxa"/>
            <w:vAlign w:val="center"/>
          </w:tcPr>
          <w:p w14:paraId="17EFC38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Generate test API request and error</w:t>
            </w:r>
          </w:p>
        </w:tc>
        <w:tc>
          <w:tcPr>
            <w:tcW w:w="2880" w:type="dxa"/>
            <w:vAlign w:val="center"/>
          </w:tcPr>
          <w:p w14:paraId="642CD56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Logs appear in law-orbit-prod-eus2 and appi-oribit-prod</w:t>
            </w:r>
          </w:p>
        </w:tc>
      </w:tr>
      <w:tr w:rsidR="00220E54" w:rsidRPr="002515CE" w14:paraId="75F1E54C" w14:textId="77777777">
        <w:trPr>
          <w:jc w:val="center"/>
        </w:trPr>
        <w:tc>
          <w:tcPr>
            <w:tcW w:w="2880" w:type="dxa"/>
            <w:vAlign w:val="center"/>
          </w:tcPr>
          <w:p w14:paraId="5459841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 Watcher</w:t>
            </w:r>
          </w:p>
        </w:tc>
        <w:tc>
          <w:tcPr>
            <w:tcW w:w="2880" w:type="dxa"/>
            <w:vAlign w:val="center"/>
          </w:tcPr>
          <w:p w14:paraId="092E6A3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Confirm eastus2 watcher per active subscription</w:t>
            </w:r>
          </w:p>
        </w:tc>
        <w:tc>
          <w:tcPr>
            <w:tcW w:w="2880" w:type="dxa"/>
            <w:vAlign w:val="center"/>
          </w:tcPr>
          <w:p w14:paraId="54AC6D8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No duplicate per-app watchers created</w:t>
            </w:r>
          </w:p>
        </w:tc>
      </w:tr>
      <w:tr w:rsidR="00220E54" w:rsidRPr="002515CE" w14:paraId="0B047D4C" w14:textId="77777777">
        <w:trPr>
          <w:jc w:val="center"/>
        </w:trPr>
        <w:tc>
          <w:tcPr>
            <w:tcW w:w="2880" w:type="dxa"/>
            <w:vAlign w:val="center"/>
          </w:tcPr>
          <w:p w14:paraId="5BF682F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Cost Control</w:t>
            </w:r>
          </w:p>
        </w:tc>
        <w:tc>
          <w:tcPr>
            <w:tcW w:w="2880" w:type="dxa"/>
            <w:vAlign w:val="center"/>
          </w:tcPr>
          <w:p w14:paraId="1B0BA01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Review budget alerts and cost by tag</w:t>
            </w:r>
          </w:p>
        </w:tc>
        <w:tc>
          <w:tcPr>
            <w:tcW w:w="2880" w:type="dxa"/>
            <w:vAlign w:val="center"/>
          </w:tcPr>
          <w:p w14:paraId="28096215"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Costs are visible by subscription, RG, workload, and environment</w:t>
            </w:r>
          </w:p>
        </w:tc>
      </w:tr>
    </w:tbl>
    <w:p w14:paraId="464792E4" w14:textId="77777777" w:rsidR="00220E54" w:rsidRPr="002515CE" w:rsidRDefault="007D4632">
      <w:pPr>
        <w:spacing w:after="120"/>
        <w:rPr>
          <w:rFonts w:asciiTheme="majorHAnsi" w:hAnsiTheme="majorHAnsi" w:cstheme="majorHAnsi"/>
          <w:sz w:val="24"/>
          <w:szCs w:val="24"/>
        </w:rPr>
      </w:pPr>
      <w:r w:rsidRPr="002515CE">
        <w:rPr>
          <w:rFonts w:asciiTheme="majorHAnsi" w:hAnsiTheme="majorHAnsi" w:cstheme="majorHAnsi"/>
          <w:b/>
          <w:sz w:val="24"/>
          <w:szCs w:val="24"/>
        </w:rPr>
        <w:t xml:space="preserve">Deployment note: </w:t>
      </w:r>
      <w:r w:rsidRPr="002515CE">
        <w:rPr>
          <w:rFonts w:asciiTheme="majorHAnsi" w:hAnsiTheme="majorHAnsi" w:cstheme="majorHAnsi"/>
          <w:sz w:val="24"/>
          <w:szCs w:val="24"/>
        </w:rPr>
        <w:t>The current production deployment target is eastus2 using klabsorbit.com as the external domain and sub-sharedplatform-prod as the Orbit platform subscription.</w:t>
      </w:r>
    </w:p>
    <w:p w14:paraId="42DB1D34"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br w:type="page"/>
      </w:r>
    </w:p>
    <w:p w14:paraId="6AFC2EB4" w14:textId="77777777" w:rsidR="00220E54" w:rsidRPr="002515CE" w:rsidRDefault="007D4632">
      <w:pPr>
        <w:pStyle w:val="Heading1"/>
        <w:rPr>
          <w:rFonts w:cstheme="majorHAnsi"/>
          <w:sz w:val="24"/>
          <w:szCs w:val="24"/>
        </w:rPr>
      </w:pPr>
      <w:bookmarkStart w:id="70" w:name="_Toc230176839"/>
      <w:r w:rsidRPr="002515CE">
        <w:rPr>
          <w:rFonts w:cstheme="majorHAnsi"/>
          <w:sz w:val="24"/>
          <w:szCs w:val="24"/>
        </w:rPr>
        <w:lastRenderedPageBreak/>
        <w:t>17. Azure Naming Convention to Resource Mapping</w:t>
      </w:r>
      <w:bookmarkEnd w:id="70"/>
    </w:p>
    <w:p w14:paraId="67988EE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This section pairs the naming convention tokens with the actual Azure resource names used in the current Orbit build plan.</w:t>
      </w:r>
    </w:p>
    <w:tbl>
      <w:tblPr>
        <w:tblStyle w:val="TableGrid"/>
        <w:tblW w:w="0" w:type="auto"/>
        <w:jc w:val="center"/>
        <w:tblLook w:val="04A0" w:firstRow="1" w:lastRow="0" w:firstColumn="1" w:lastColumn="0" w:noHBand="0" w:noVBand="1"/>
      </w:tblPr>
      <w:tblGrid>
        <w:gridCol w:w="2183"/>
        <w:gridCol w:w="2125"/>
        <w:gridCol w:w="2183"/>
        <w:gridCol w:w="2139"/>
      </w:tblGrid>
      <w:tr w:rsidR="00220E54" w:rsidRPr="002515CE" w14:paraId="107108E3" w14:textId="77777777">
        <w:trPr>
          <w:jc w:val="center"/>
        </w:trPr>
        <w:tc>
          <w:tcPr>
            <w:tcW w:w="2160" w:type="dxa"/>
            <w:shd w:val="clear" w:color="auto" w:fill="1F4E79"/>
            <w:vAlign w:val="center"/>
          </w:tcPr>
          <w:p w14:paraId="62AFE45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Convention</w:t>
            </w:r>
          </w:p>
        </w:tc>
        <w:tc>
          <w:tcPr>
            <w:tcW w:w="2160" w:type="dxa"/>
            <w:shd w:val="clear" w:color="auto" w:fill="1F4E79"/>
            <w:vAlign w:val="center"/>
          </w:tcPr>
          <w:p w14:paraId="10D82AC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Resource Type</w:t>
            </w:r>
          </w:p>
        </w:tc>
        <w:tc>
          <w:tcPr>
            <w:tcW w:w="2160" w:type="dxa"/>
            <w:shd w:val="clear" w:color="auto" w:fill="1F4E79"/>
            <w:vAlign w:val="center"/>
          </w:tcPr>
          <w:p w14:paraId="4FED3B0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Named Resource Example</w:t>
            </w:r>
          </w:p>
        </w:tc>
        <w:tc>
          <w:tcPr>
            <w:tcW w:w="2160" w:type="dxa"/>
            <w:shd w:val="clear" w:color="auto" w:fill="1F4E79"/>
            <w:vAlign w:val="center"/>
          </w:tcPr>
          <w:p w14:paraId="5AFF551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b/>
                <w:color w:val="FFFFFF"/>
                <w:sz w:val="24"/>
                <w:szCs w:val="24"/>
              </w:rPr>
              <w:t>Subscription / Scope</w:t>
            </w:r>
          </w:p>
        </w:tc>
      </w:tr>
      <w:tr w:rsidR="00220E54" w:rsidRPr="002515CE" w14:paraId="1398CDFB" w14:textId="77777777">
        <w:trPr>
          <w:jc w:val="center"/>
        </w:trPr>
        <w:tc>
          <w:tcPr>
            <w:tcW w:w="2160" w:type="dxa"/>
            <w:vAlign w:val="center"/>
          </w:tcPr>
          <w:p w14:paraId="5B6EADA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c>
          <w:tcPr>
            <w:tcW w:w="2160" w:type="dxa"/>
            <w:vAlign w:val="center"/>
          </w:tcPr>
          <w:p w14:paraId="4008BA8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Resource Group</w:t>
            </w:r>
          </w:p>
        </w:tc>
        <w:tc>
          <w:tcPr>
            <w:tcW w:w="2160" w:type="dxa"/>
            <w:vAlign w:val="center"/>
          </w:tcPr>
          <w:p w14:paraId="29E9C01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rg-kinisislabs-platform-shared-prod-eus2</w:t>
            </w:r>
          </w:p>
        </w:tc>
        <w:tc>
          <w:tcPr>
            <w:tcW w:w="2160" w:type="dxa"/>
            <w:vAlign w:val="center"/>
          </w:tcPr>
          <w:p w14:paraId="077AF86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2153B05B" w14:textId="77777777">
        <w:trPr>
          <w:jc w:val="center"/>
        </w:trPr>
        <w:tc>
          <w:tcPr>
            <w:tcW w:w="2160" w:type="dxa"/>
            <w:vAlign w:val="center"/>
          </w:tcPr>
          <w:p w14:paraId="6822D6F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rg-&lt;workload&gt;-&lt;purpose?&gt;-&lt;env&gt;-eus2</w:t>
            </w:r>
          </w:p>
        </w:tc>
        <w:tc>
          <w:tcPr>
            <w:tcW w:w="2160" w:type="dxa"/>
            <w:vAlign w:val="center"/>
          </w:tcPr>
          <w:p w14:paraId="1B9ED30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Resource Group</w:t>
            </w:r>
          </w:p>
        </w:tc>
        <w:tc>
          <w:tcPr>
            <w:tcW w:w="2160" w:type="dxa"/>
            <w:vAlign w:val="center"/>
          </w:tcPr>
          <w:p w14:paraId="3713481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rg-grailbabeprod-compute-prod-eus2</w:t>
            </w:r>
          </w:p>
        </w:tc>
        <w:tc>
          <w:tcPr>
            <w:tcW w:w="2160" w:type="dxa"/>
            <w:vAlign w:val="center"/>
          </w:tcPr>
          <w:p w14:paraId="79C1F7F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r>
      <w:tr w:rsidR="00220E54" w:rsidRPr="002515CE" w14:paraId="2E4F2830" w14:textId="77777777">
        <w:trPr>
          <w:jc w:val="center"/>
        </w:trPr>
        <w:tc>
          <w:tcPr>
            <w:tcW w:w="2160" w:type="dxa"/>
            <w:vAlign w:val="center"/>
          </w:tcPr>
          <w:p w14:paraId="22A147E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afd-&lt;workload&gt;-&lt;env&gt;</w:t>
            </w:r>
          </w:p>
        </w:tc>
        <w:tc>
          <w:tcPr>
            <w:tcW w:w="2160" w:type="dxa"/>
            <w:vAlign w:val="center"/>
          </w:tcPr>
          <w:p w14:paraId="204F851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 Front Door</w:t>
            </w:r>
          </w:p>
        </w:tc>
        <w:tc>
          <w:tcPr>
            <w:tcW w:w="2160" w:type="dxa"/>
            <w:vAlign w:val="center"/>
          </w:tcPr>
          <w:p w14:paraId="25B2857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afd-orbit-prod</w:t>
            </w:r>
          </w:p>
        </w:tc>
        <w:tc>
          <w:tcPr>
            <w:tcW w:w="2160" w:type="dxa"/>
            <w:vAlign w:val="center"/>
          </w:tcPr>
          <w:p w14:paraId="4CB747E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4DD67E34" w14:textId="77777777">
        <w:trPr>
          <w:jc w:val="center"/>
        </w:trPr>
        <w:tc>
          <w:tcPr>
            <w:tcW w:w="2160" w:type="dxa"/>
            <w:vAlign w:val="center"/>
          </w:tcPr>
          <w:p w14:paraId="2DC59227"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stapp-&lt;workload&gt;-&lt;env&gt;-eus2</w:t>
            </w:r>
          </w:p>
        </w:tc>
        <w:tc>
          <w:tcPr>
            <w:tcW w:w="2160" w:type="dxa"/>
            <w:vAlign w:val="center"/>
          </w:tcPr>
          <w:p w14:paraId="0F84BE6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Static Web App</w:t>
            </w:r>
          </w:p>
        </w:tc>
        <w:tc>
          <w:tcPr>
            <w:tcW w:w="2160" w:type="dxa"/>
            <w:vAlign w:val="center"/>
          </w:tcPr>
          <w:p w14:paraId="7289664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swa-orbit-prod</w:t>
            </w:r>
          </w:p>
        </w:tc>
        <w:tc>
          <w:tcPr>
            <w:tcW w:w="2160" w:type="dxa"/>
            <w:vAlign w:val="center"/>
          </w:tcPr>
          <w:p w14:paraId="1C24E0F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1DDBAE1F" w14:textId="77777777">
        <w:trPr>
          <w:jc w:val="center"/>
        </w:trPr>
        <w:tc>
          <w:tcPr>
            <w:tcW w:w="2160" w:type="dxa"/>
            <w:vAlign w:val="center"/>
          </w:tcPr>
          <w:p w14:paraId="38B4660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cae-&lt;workload&gt;-&lt;env&gt;-eus2</w:t>
            </w:r>
          </w:p>
        </w:tc>
        <w:tc>
          <w:tcPr>
            <w:tcW w:w="2160" w:type="dxa"/>
            <w:vAlign w:val="center"/>
          </w:tcPr>
          <w:p w14:paraId="7BBA41C0"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Container Apps Environment</w:t>
            </w:r>
          </w:p>
        </w:tc>
        <w:tc>
          <w:tcPr>
            <w:tcW w:w="2160" w:type="dxa"/>
            <w:vAlign w:val="center"/>
          </w:tcPr>
          <w:p w14:paraId="3379599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cae-orbit-prod-eus2</w:t>
            </w:r>
          </w:p>
        </w:tc>
        <w:tc>
          <w:tcPr>
            <w:tcW w:w="2160" w:type="dxa"/>
            <w:vAlign w:val="center"/>
          </w:tcPr>
          <w:p w14:paraId="516EAC7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6FCA07E7" w14:textId="77777777">
        <w:trPr>
          <w:jc w:val="center"/>
        </w:trPr>
        <w:tc>
          <w:tcPr>
            <w:tcW w:w="2160" w:type="dxa"/>
            <w:vAlign w:val="center"/>
          </w:tcPr>
          <w:p w14:paraId="0FB3A10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ca-&lt;workload&gt;-&lt;purpose&gt;-&lt;env&gt;-eus2</w:t>
            </w:r>
          </w:p>
        </w:tc>
        <w:tc>
          <w:tcPr>
            <w:tcW w:w="2160" w:type="dxa"/>
            <w:vAlign w:val="center"/>
          </w:tcPr>
          <w:p w14:paraId="79351AC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Container App</w:t>
            </w:r>
          </w:p>
        </w:tc>
        <w:tc>
          <w:tcPr>
            <w:tcW w:w="2160" w:type="dxa"/>
            <w:vAlign w:val="center"/>
          </w:tcPr>
          <w:p w14:paraId="0551159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ca-orbit-api-prod</w:t>
            </w:r>
          </w:p>
        </w:tc>
        <w:tc>
          <w:tcPr>
            <w:tcW w:w="2160" w:type="dxa"/>
            <w:vAlign w:val="center"/>
          </w:tcPr>
          <w:p w14:paraId="12B61ED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664A3351" w14:textId="77777777">
        <w:trPr>
          <w:jc w:val="center"/>
        </w:trPr>
        <w:tc>
          <w:tcPr>
            <w:tcW w:w="2160" w:type="dxa"/>
            <w:vAlign w:val="center"/>
          </w:tcPr>
          <w:p w14:paraId="349E150A"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psql-&lt;workload&gt;-&lt;env&gt;-eus2</w:t>
            </w:r>
          </w:p>
        </w:tc>
        <w:tc>
          <w:tcPr>
            <w:tcW w:w="2160" w:type="dxa"/>
            <w:vAlign w:val="center"/>
          </w:tcPr>
          <w:p w14:paraId="2F99FEA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PostgreSQL Flexible Server</w:t>
            </w:r>
          </w:p>
        </w:tc>
        <w:tc>
          <w:tcPr>
            <w:tcW w:w="2160" w:type="dxa"/>
            <w:vAlign w:val="center"/>
          </w:tcPr>
          <w:p w14:paraId="41CBBE6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pg-orbit-prod</w:t>
            </w:r>
          </w:p>
        </w:tc>
        <w:tc>
          <w:tcPr>
            <w:tcW w:w="2160" w:type="dxa"/>
            <w:vAlign w:val="center"/>
          </w:tcPr>
          <w:p w14:paraId="4053B4C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589AA733" w14:textId="77777777">
        <w:trPr>
          <w:jc w:val="center"/>
        </w:trPr>
        <w:tc>
          <w:tcPr>
            <w:tcW w:w="2160" w:type="dxa"/>
            <w:vAlign w:val="center"/>
          </w:tcPr>
          <w:p w14:paraId="479F972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c>
          <w:tcPr>
            <w:tcW w:w="2160" w:type="dxa"/>
            <w:vAlign w:val="center"/>
          </w:tcPr>
          <w:p w14:paraId="507655C9"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Key Vault</w:t>
            </w:r>
          </w:p>
        </w:tc>
        <w:tc>
          <w:tcPr>
            <w:tcW w:w="2160" w:type="dxa"/>
            <w:vAlign w:val="center"/>
          </w:tcPr>
          <w:p w14:paraId="66C5D6B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kv-orbit-prod-eus2</w:t>
            </w:r>
          </w:p>
        </w:tc>
        <w:tc>
          <w:tcPr>
            <w:tcW w:w="2160" w:type="dxa"/>
            <w:vAlign w:val="center"/>
          </w:tcPr>
          <w:p w14:paraId="4ECAE40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2FD391AF" w14:textId="77777777">
        <w:trPr>
          <w:jc w:val="center"/>
        </w:trPr>
        <w:tc>
          <w:tcPr>
            <w:tcW w:w="2160" w:type="dxa"/>
            <w:vAlign w:val="center"/>
          </w:tcPr>
          <w:p w14:paraId="400D346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kv-&lt;app&gt;-&lt;env&gt;-eus2</w:t>
            </w:r>
          </w:p>
        </w:tc>
        <w:tc>
          <w:tcPr>
            <w:tcW w:w="2160" w:type="dxa"/>
            <w:vAlign w:val="center"/>
          </w:tcPr>
          <w:p w14:paraId="559F59C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Key Vault</w:t>
            </w:r>
          </w:p>
        </w:tc>
        <w:tc>
          <w:tcPr>
            <w:tcW w:w="2160" w:type="dxa"/>
            <w:vAlign w:val="center"/>
          </w:tcPr>
          <w:p w14:paraId="5D453B9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kv-grailbabe-prod-eus2</w:t>
            </w:r>
          </w:p>
        </w:tc>
        <w:tc>
          <w:tcPr>
            <w:tcW w:w="2160" w:type="dxa"/>
            <w:vAlign w:val="center"/>
          </w:tcPr>
          <w:p w14:paraId="440C883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sub-GrailBabe-Prod</w:t>
            </w:r>
          </w:p>
        </w:tc>
      </w:tr>
      <w:tr w:rsidR="00220E54" w:rsidRPr="002515CE" w14:paraId="17DBC177" w14:textId="77777777">
        <w:trPr>
          <w:jc w:val="center"/>
        </w:trPr>
        <w:tc>
          <w:tcPr>
            <w:tcW w:w="2160" w:type="dxa"/>
            <w:vAlign w:val="center"/>
          </w:tcPr>
          <w:p w14:paraId="6288B44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appcs-&lt;workload&gt;-&lt;env&gt;-eus2</w:t>
            </w:r>
          </w:p>
        </w:tc>
        <w:tc>
          <w:tcPr>
            <w:tcW w:w="2160" w:type="dxa"/>
            <w:vAlign w:val="center"/>
          </w:tcPr>
          <w:p w14:paraId="3178C92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 Configuration</w:t>
            </w:r>
          </w:p>
        </w:tc>
        <w:tc>
          <w:tcPr>
            <w:tcW w:w="2160" w:type="dxa"/>
            <w:vAlign w:val="center"/>
          </w:tcPr>
          <w:p w14:paraId="01C8DFD1"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appcs-orbit-prod-eus2</w:t>
            </w:r>
          </w:p>
        </w:tc>
        <w:tc>
          <w:tcPr>
            <w:tcW w:w="2160" w:type="dxa"/>
            <w:vAlign w:val="center"/>
          </w:tcPr>
          <w:p w14:paraId="123F0CD3"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6CFEF991" w14:textId="77777777">
        <w:trPr>
          <w:jc w:val="center"/>
        </w:trPr>
        <w:tc>
          <w:tcPr>
            <w:tcW w:w="2160" w:type="dxa"/>
            <w:vAlign w:val="center"/>
          </w:tcPr>
          <w:p w14:paraId="6499AF4C"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appi-&lt;workload&gt;-&lt;env&gt;-eus2</w:t>
            </w:r>
          </w:p>
        </w:tc>
        <w:tc>
          <w:tcPr>
            <w:tcW w:w="2160" w:type="dxa"/>
            <w:vAlign w:val="center"/>
          </w:tcPr>
          <w:p w14:paraId="76E6D1D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Application Insights</w:t>
            </w:r>
          </w:p>
        </w:tc>
        <w:tc>
          <w:tcPr>
            <w:tcW w:w="2160" w:type="dxa"/>
            <w:vAlign w:val="center"/>
          </w:tcPr>
          <w:p w14:paraId="100E3AF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appi-oribit-prod</w:t>
            </w:r>
          </w:p>
        </w:tc>
        <w:tc>
          <w:tcPr>
            <w:tcW w:w="2160" w:type="dxa"/>
            <w:vAlign w:val="center"/>
          </w:tcPr>
          <w:p w14:paraId="0CF9FA2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27560344" w14:textId="77777777">
        <w:trPr>
          <w:jc w:val="center"/>
        </w:trPr>
        <w:tc>
          <w:tcPr>
            <w:tcW w:w="2160" w:type="dxa"/>
            <w:vAlign w:val="center"/>
          </w:tcPr>
          <w:p w14:paraId="0CB9277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law-&lt;workload&gt;-&lt;env&gt;-eus2</w:t>
            </w:r>
          </w:p>
        </w:tc>
        <w:tc>
          <w:tcPr>
            <w:tcW w:w="2160" w:type="dxa"/>
            <w:vAlign w:val="center"/>
          </w:tcPr>
          <w:p w14:paraId="362CAAF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Log Analytics Workspace</w:t>
            </w:r>
          </w:p>
        </w:tc>
        <w:tc>
          <w:tcPr>
            <w:tcW w:w="2160" w:type="dxa"/>
            <w:vAlign w:val="center"/>
          </w:tcPr>
          <w:p w14:paraId="6AA7CDA6"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law-orbit-prod-eus2</w:t>
            </w:r>
          </w:p>
        </w:tc>
        <w:tc>
          <w:tcPr>
            <w:tcW w:w="2160" w:type="dxa"/>
            <w:vAlign w:val="center"/>
          </w:tcPr>
          <w:p w14:paraId="4289462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51999DF6" w14:textId="77777777">
        <w:trPr>
          <w:jc w:val="center"/>
        </w:trPr>
        <w:tc>
          <w:tcPr>
            <w:tcW w:w="2160" w:type="dxa"/>
            <w:vAlign w:val="center"/>
          </w:tcPr>
          <w:p w14:paraId="29C81628"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lastRenderedPageBreak/>
              <w:t>id-&lt;workload&gt;-&lt;purpose&gt;-&lt;env&gt;-eus2</w:t>
            </w:r>
          </w:p>
        </w:tc>
        <w:tc>
          <w:tcPr>
            <w:tcW w:w="2160" w:type="dxa"/>
            <w:vAlign w:val="center"/>
          </w:tcPr>
          <w:p w14:paraId="7C06B6D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Managed Identity</w:t>
            </w:r>
          </w:p>
        </w:tc>
        <w:tc>
          <w:tcPr>
            <w:tcW w:w="2160" w:type="dxa"/>
            <w:vAlign w:val="center"/>
          </w:tcPr>
          <w:p w14:paraId="28A0A2A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id-orbit-api-prod</w:t>
            </w:r>
          </w:p>
        </w:tc>
        <w:tc>
          <w:tcPr>
            <w:tcW w:w="2160" w:type="dxa"/>
            <w:vAlign w:val="center"/>
          </w:tcPr>
          <w:p w14:paraId="358BDC92"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sub-sharedplatform-prod</w:t>
            </w:r>
          </w:p>
        </w:tc>
      </w:tr>
      <w:tr w:rsidR="00220E54" w:rsidRPr="002515CE" w14:paraId="25907550" w14:textId="77777777">
        <w:trPr>
          <w:jc w:val="center"/>
        </w:trPr>
        <w:tc>
          <w:tcPr>
            <w:tcW w:w="2160" w:type="dxa"/>
            <w:vAlign w:val="center"/>
          </w:tcPr>
          <w:p w14:paraId="0D4DC6CE"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Azure-managed NetworkWatcherRG</w:t>
            </w:r>
          </w:p>
        </w:tc>
        <w:tc>
          <w:tcPr>
            <w:tcW w:w="2160" w:type="dxa"/>
            <w:vAlign w:val="center"/>
          </w:tcPr>
          <w:p w14:paraId="7BD0778B"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 Watcher RG</w:t>
            </w:r>
          </w:p>
        </w:tc>
        <w:tc>
          <w:tcPr>
            <w:tcW w:w="2160" w:type="dxa"/>
            <w:vAlign w:val="center"/>
          </w:tcPr>
          <w:p w14:paraId="0786FDDF"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NetworkWatcherRG</w:t>
            </w:r>
          </w:p>
        </w:tc>
        <w:tc>
          <w:tcPr>
            <w:tcW w:w="2160" w:type="dxa"/>
            <w:vAlign w:val="center"/>
          </w:tcPr>
          <w:p w14:paraId="60C5F68D" w14:textId="77777777" w:rsidR="00220E54" w:rsidRPr="002515CE" w:rsidRDefault="007D4632">
            <w:pPr>
              <w:rPr>
                <w:rFonts w:asciiTheme="majorHAnsi" w:hAnsiTheme="majorHAnsi" w:cstheme="majorHAnsi"/>
                <w:sz w:val="24"/>
                <w:szCs w:val="24"/>
              </w:rPr>
            </w:pPr>
            <w:r w:rsidRPr="002515CE">
              <w:rPr>
                <w:rFonts w:asciiTheme="majorHAnsi" w:hAnsiTheme="majorHAnsi" w:cstheme="majorHAnsi"/>
                <w:sz w:val="24"/>
                <w:szCs w:val="24"/>
              </w:rPr>
              <w:t>Each active subscription in eastus2</w:t>
            </w:r>
          </w:p>
        </w:tc>
      </w:tr>
    </w:tbl>
    <w:p w14:paraId="0E8D3B38" w14:textId="77777777" w:rsidR="00220E54" w:rsidRPr="002515CE" w:rsidRDefault="00220E54">
      <w:pPr>
        <w:rPr>
          <w:rFonts w:asciiTheme="majorHAnsi" w:hAnsiTheme="majorHAnsi" w:cstheme="majorHAnsi"/>
          <w:sz w:val="24"/>
          <w:szCs w:val="24"/>
        </w:rPr>
      </w:pPr>
    </w:p>
    <w:p w14:paraId="030120FE" w14:textId="77777777" w:rsidR="00066E91" w:rsidRPr="002515CE" w:rsidRDefault="00E66E1A">
      <w:pPr>
        <w:pStyle w:val="Heading1"/>
        <w:rPr>
          <w:rFonts w:cstheme="majorHAnsi"/>
          <w:sz w:val="24"/>
          <w:szCs w:val="24"/>
        </w:rPr>
      </w:pPr>
      <w:r w:rsidRPr="002515CE">
        <w:rPr>
          <w:rFonts w:cstheme="majorHAnsi"/>
          <w:sz w:val="24"/>
          <w:szCs w:val="24"/>
        </w:rPr>
        <w:t>18. Legacy GAAC Rebrand Consolidation</w:t>
      </w:r>
    </w:p>
    <w:p w14:paraId="5D5B744F"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This section preserves legacy GAAC terminology mappings and consolidates branding transition information from earlier Orbit rebrand specifications.</w:t>
      </w:r>
    </w:p>
    <w:tbl>
      <w:tblPr>
        <w:tblStyle w:val="TableGrid"/>
        <w:tblW w:w="0" w:type="auto"/>
        <w:tblLook w:val="04A0" w:firstRow="1" w:lastRow="0" w:firstColumn="1" w:lastColumn="0" w:noHBand="0" w:noVBand="1"/>
      </w:tblPr>
      <w:tblGrid>
        <w:gridCol w:w="4315"/>
        <w:gridCol w:w="4315"/>
      </w:tblGrid>
      <w:tr w:rsidR="00066E91" w:rsidRPr="002515CE" w14:paraId="2277E376" w14:textId="77777777">
        <w:tc>
          <w:tcPr>
            <w:tcW w:w="4320" w:type="dxa"/>
          </w:tcPr>
          <w:p w14:paraId="1889D1D9"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Legacy Name</w:t>
            </w:r>
          </w:p>
        </w:tc>
        <w:tc>
          <w:tcPr>
            <w:tcW w:w="4320" w:type="dxa"/>
          </w:tcPr>
          <w:p w14:paraId="7A441F76"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 Replacement</w:t>
            </w:r>
          </w:p>
        </w:tc>
      </w:tr>
      <w:tr w:rsidR="00066E91" w:rsidRPr="002515CE" w14:paraId="1157EE6A" w14:textId="77777777">
        <w:tc>
          <w:tcPr>
            <w:tcW w:w="4320" w:type="dxa"/>
          </w:tcPr>
          <w:p w14:paraId="6C5DE76D"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Global App Admin Center (GAAC)</w:t>
            </w:r>
          </w:p>
        </w:tc>
        <w:tc>
          <w:tcPr>
            <w:tcW w:w="4320" w:type="dxa"/>
          </w:tcPr>
          <w:p w14:paraId="69843E53"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 Command Center</w:t>
            </w:r>
          </w:p>
        </w:tc>
      </w:tr>
      <w:tr w:rsidR="00066E91" w:rsidRPr="002515CE" w14:paraId="58C3EDF5" w14:textId="77777777">
        <w:tc>
          <w:tcPr>
            <w:tcW w:w="4320" w:type="dxa"/>
          </w:tcPr>
          <w:p w14:paraId="75622070"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GAAC-Authorized-Users</w:t>
            </w:r>
          </w:p>
        </w:tc>
        <w:tc>
          <w:tcPr>
            <w:tcW w:w="4320" w:type="dxa"/>
          </w:tcPr>
          <w:p w14:paraId="508350E9"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Orbit-Authorized-Users</w:t>
            </w:r>
          </w:p>
        </w:tc>
      </w:tr>
      <w:tr w:rsidR="00066E91" w:rsidRPr="002515CE" w14:paraId="638FC709" w14:textId="77777777">
        <w:tc>
          <w:tcPr>
            <w:tcW w:w="4320" w:type="dxa"/>
          </w:tcPr>
          <w:p w14:paraId="6F8CBEBF"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GAAC-Admins</w:t>
            </w:r>
          </w:p>
        </w:tc>
        <w:tc>
          <w:tcPr>
            <w:tcW w:w="4320" w:type="dxa"/>
          </w:tcPr>
          <w:p w14:paraId="057E9110"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Orbit-Admins</w:t>
            </w:r>
          </w:p>
        </w:tc>
      </w:tr>
      <w:tr w:rsidR="00066E91" w:rsidRPr="002515CE" w14:paraId="22DF0D13" w14:textId="77777777">
        <w:tc>
          <w:tcPr>
            <w:tcW w:w="4320" w:type="dxa"/>
          </w:tcPr>
          <w:p w14:paraId="1DD39544"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GAAC-Engineers</w:t>
            </w:r>
          </w:p>
        </w:tc>
        <w:tc>
          <w:tcPr>
            <w:tcW w:w="4320" w:type="dxa"/>
          </w:tcPr>
          <w:p w14:paraId="591201E1"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Orbit-Engineers</w:t>
            </w:r>
          </w:p>
        </w:tc>
      </w:tr>
      <w:tr w:rsidR="00066E91" w:rsidRPr="002515CE" w14:paraId="013B0705" w14:textId="77777777">
        <w:tc>
          <w:tcPr>
            <w:tcW w:w="4320" w:type="dxa"/>
          </w:tcPr>
          <w:p w14:paraId="620560CD"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GAAC-FinOps</w:t>
            </w:r>
          </w:p>
        </w:tc>
        <w:tc>
          <w:tcPr>
            <w:tcW w:w="4320" w:type="dxa"/>
          </w:tcPr>
          <w:p w14:paraId="035F7C95"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Orbit-FinOps</w:t>
            </w:r>
          </w:p>
        </w:tc>
      </w:tr>
      <w:tr w:rsidR="00066E91" w:rsidRPr="002515CE" w14:paraId="46521F07" w14:textId="77777777">
        <w:tc>
          <w:tcPr>
            <w:tcW w:w="4320" w:type="dxa"/>
          </w:tcPr>
          <w:p w14:paraId="508908B5"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func-gaac-prod</w:t>
            </w:r>
          </w:p>
        </w:tc>
        <w:tc>
          <w:tcPr>
            <w:tcW w:w="4320" w:type="dxa"/>
          </w:tcPr>
          <w:p w14:paraId="341FE2F2"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ca-orbit-api-prod</w:t>
            </w:r>
          </w:p>
        </w:tc>
      </w:tr>
      <w:tr w:rsidR="00066E91" w:rsidRPr="002515CE" w14:paraId="310AB775" w14:textId="77777777">
        <w:tc>
          <w:tcPr>
            <w:tcW w:w="4320" w:type="dxa"/>
          </w:tcPr>
          <w:p w14:paraId="577D2376"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stgaacprod</w:t>
            </w:r>
          </w:p>
        </w:tc>
        <w:tc>
          <w:tcPr>
            <w:tcW w:w="4320" w:type="dxa"/>
          </w:tcPr>
          <w:p w14:paraId="76C6507D" w14:textId="77777777" w:rsidR="00066E91" w:rsidRPr="002515CE" w:rsidRDefault="00E66E1A">
            <w:pPr>
              <w:rPr>
                <w:rFonts w:asciiTheme="majorHAnsi" w:hAnsiTheme="majorHAnsi" w:cstheme="majorHAnsi"/>
                <w:sz w:val="24"/>
                <w:szCs w:val="24"/>
              </w:rPr>
            </w:pPr>
            <w:r w:rsidRPr="002515CE">
              <w:rPr>
                <w:rFonts w:asciiTheme="majorHAnsi" w:hAnsiTheme="majorHAnsi" w:cstheme="majorHAnsi"/>
                <w:sz w:val="24"/>
                <w:szCs w:val="24"/>
              </w:rPr>
              <w:t>storbitprod01</w:t>
            </w:r>
          </w:p>
        </w:tc>
      </w:tr>
    </w:tbl>
    <w:p w14:paraId="48EE299C" w14:textId="77777777" w:rsidR="00C826E9" w:rsidRDefault="00000000">
      <w:r>
        <w:br w:type="page"/>
      </w:r>
    </w:p>
    <w:p w14:paraId="73BF22BB" w14:textId="77777777" w:rsidR="00C826E9" w:rsidRDefault="00000000">
      <w:pPr>
        <w:pStyle w:val="Heading1"/>
      </w:pPr>
      <w:r>
        <w:lastRenderedPageBreak/>
        <w:t>UPDATED TAGGING GOVERNANCE ADDENDUM</w:t>
      </w:r>
    </w:p>
    <w:p w14:paraId="06A450B4" w14:textId="77777777" w:rsidR="00C826E9" w:rsidRDefault="00000000">
      <w:r>
        <w:br/>
        <w:t>UPDATED TAGGING STANDARD (from Orbit Tagging Governance FinOps Runbook v2.1)</w:t>
      </w:r>
      <w:r>
        <w:br/>
      </w:r>
      <w:r>
        <w:br/>
        <w:t>Approved Tags:</w:t>
      </w:r>
      <w:r>
        <w:br/>
        <w:t>- workload: Platform, GrailBabeDev, GrailBabeProd, Orbit</w:t>
      </w:r>
      <w:r>
        <w:br/>
        <w:t>- environment: Dev, prod</w:t>
      </w:r>
      <w:r>
        <w:br/>
        <w:t>- owner: Ryan Gutridge</w:t>
      </w:r>
      <w:r>
        <w:br/>
        <w:t>- cost-center: CC-Platform, CC-GrailBabeDev, CC-GrailBabeProd, CC-Orbit</w:t>
      </w:r>
      <w:r>
        <w:br/>
        <w:t>- criticality: low, medium, high, mission-critical</w:t>
      </w:r>
      <w:r>
        <w:br/>
      </w:r>
      <w:r>
        <w:br/>
        <w:t>Approved Resource Group Standards:</w:t>
      </w:r>
      <w:r>
        <w:br/>
        <w:t>- rg-kinisislabs-platform-shared-prod-eus2 → workload=Platform, environment=prod, owner=Ryan Gutridge, cost-center=CC-Platform, criticality=mission-critical</w:t>
      </w:r>
      <w:r>
        <w:br/>
        <w:t>- rg-kinisislabs-platform-monitoring-prod-eus2 → workload=Platform, environment=prod, owner=Ryan Gutridge, cost-center=CC-Platform, criticality=mission-critical</w:t>
      </w:r>
      <w:r>
        <w:br/>
        <w:t>- rg-orbit-prod-eus2 → workload=Orbit, environment=prod, owner=Ryan Gutridge, cost-center=CC-Orbit, criticality=high</w:t>
      </w:r>
      <w:r>
        <w:br/>
        <w:t>- rg-grailbabeprod-compute-prod-eus2 → workload=GrailBabeProd, environment=prod, owner=Ryan Gutridge, cost-center=CC-GrailBabeProd, criticality=mission-critical</w:t>
      </w:r>
      <w:r>
        <w:br/>
        <w:t>- rg-grailbabedev-compute-dev-eus2 → workload=GrailBabeDev, environment=dev, owner=Ryan Gutridge, cost-center=CC-GrailBabeDev, criticality=medium</w:t>
      </w:r>
      <w:r>
        <w:br/>
      </w:r>
    </w:p>
    <w:sectPr w:rsidR="00C826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2343723">
    <w:abstractNumId w:val="8"/>
  </w:num>
  <w:num w:numId="2" w16cid:durableId="301351041">
    <w:abstractNumId w:val="6"/>
  </w:num>
  <w:num w:numId="3" w16cid:durableId="1776943731">
    <w:abstractNumId w:val="5"/>
  </w:num>
  <w:num w:numId="4" w16cid:durableId="1358117205">
    <w:abstractNumId w:val="4"/>
  </w:num>
  <w:num w:numId="5" w16cid:durableId="794637597">
    <w:abstractNumId w:val="7"/>
  </w:num>
  <w:num w:numId="6" w16cid:durableId="1250893257">
    <w:abstractNumId w:val="3"/>
  </w:num>
  <w:num w:numId="7" w16cid:durableId="794642900">
    <w:abstractNumId w:val="2"/>
  </w:num>
  <w:num w:numId="8" w16cid:durableId="1936358407">
    <w:abstractNumId w:val="1"/>
  </w:num>
  <w:num w:numId="9" w16cid:durableId="307173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E91"/>
    <w:rsid w:val="0015074B"/>
    <w:rsid w:val="00220E54"/>
    <w:rsid w:val="002253F6"/>
    <w:rsid w:val="002515CE"/>
    <w:rsid w:val="0029639D"/>
    <w:rsid w:val="002B13EC"/>
    <w:rsid w:val="00326F90"/>
    <w:rsid w:val="00477DE4"/>
    <w:rsid w:val="004F4718"/>
    <w:rsid w:val="00597099"/>
    <w:rsid w:val="006A473D"/>
    <w:rsid w:val="007D4632"/>
    <w:rsid w:val="00940EF6"/>
    <w:rsid w:val="00A2388C"/>
    <w:rsid w:val="00AA1D8D"/>
    <w:rsid w:val="00B47730"/>
    <w:rsid w:val="00C826E9"/>
    <w:rsid w:val="00CB0664"/>
    <w:rsid w:val="00E35981"/>
    <w:rsid w:val="00E66E1A"/>
    <w:rsid w:val="00E87529"/>
    <w:rsid w:val="00EF5E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C3BE8"/>
  <w14:defaultImageDpi w14:val="300"/>
  <w15:docId w15:val="{423439B6-5DAA-6F47-8B1F-510100FEA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BB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40EF6"/>
    <w:pPr>
      <w:spacing w:after="100"/>
    </w:pPr>
  </w:style>
  <w:style w:type="paragraph" w:styleId="TOC2">
    <w:name w:val="toc 2"/>
    <w:basedOn w:val="Normal"/>
    <w:next w:val="Normal"/>
    <w:autoRedefine/>
    <w:uiPriority w:val="39"/>
    <w:unhideWhenUsed/>
    <w:rsid w:val="00940EF6"/>
    <w:pPr>
      <w:spacing w:after="100"/>
      <w:ind w:left="220"/>
    </w:pPr>
  </w:style>
  <w:style w:type="paragraph" w:styleId="TOC3">
    <w:name w:val="toc 3"/>
    <w:basedOn w:val="Normal"/>
    <w:next w:val="Normal"/>
    <w:autoRedefine/>
    <w:uiPriority w:val="39"/>
    <w:unhideWhenUsed/>
    <w:rsid w:val="00940EF6"/>
    <w:pPr>
      <w:spacing w:after="100"/>
      <w:ind w:left="440"/>
    </w:pPr>
  </w:style>
  <w:style w:type="character" w:styleId="Hyperlink">
    <w:name w:val="Hyperlink"/>
    <w:basedOn w:val="DefaultParagraphFont"/>
    <w:uiPriority w:val="99"/>
    <w:unhideWhenUsed/>
    <w:rsid w:val="00940EF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35</Pages>
  <Words>7167</Words>
  <Characters>50600</Characters>
  <Application>Microsoft Office Word</Application>
  <DocSecurity>0</DocSecurity>
  <Lines>1946</Lines>
  <Paragraphs>1155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Gutridge</cp:lastModifiedBy>
  <cp:revision>5</cp:revision>
  <dcterms:created xsi:type="dcterms:W3CDTF">2026-05-20T17:40:00Z</dcterms:created>
  <dcterms:modified xsi:type="dcterms:W3CDTF">2026-06-01T01:38:00Z</dcterms:modified>
  <cp:category/>
</cp:coreProperties>
</file>