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App Admin Center (GAAC)</w:t>
      </w:r>
    </w:p>
    <w:p>
      <w:pPr>
        <w:jc w:val="center"/>
      </w:pPr>
      <w:r>
        <w:t>Executive Technical Specification</w:t>
      </w:r>
    </w:p>
    <w:p>
      <w:r>
        <w:t>Purpose: Centralized operational dashboard for Azure-hosted applications providing live monitoring of Azure infrastructure, networking, application telemetry, alerts, and Azure cost visibility in a single engineer-facing platform.</w:t>
      </w:r>
    </w:p>
    <w:p>
      <w:pPr>
        <w:pStyle w:val="Heading1"/>
      </w:pPr>
      <w:r>
        <w:t>1. Executive Summary</w:t>
      </w:r>
    </w:p>
    <w:p>
      <w:r>
        <w:t>The Global App Admin Center (GAAC) is a centralized monitoring and operational platform designed to provide engineering teams with unified visibility into Azure infrastructure, application health, networking, telemetry, alerting, and cloud costs. The platform will aggregate live operational data directly from Azure services and application telemetry APIs without storing monitoring data internally.</w:t>
      </w:r>
    </w:p>
    <w:p>
      <w:pPr>
        <w:pStyle w:val="Heading1"/>
      </w:pPr>
      <w:r>
        <w:t>2. Objectives</w:t>
      </w:r>
    </w:p>
    <w:p>
      <w:pPr>
        <w:pStyle w:val="ListBullet"/>
      </w:pPr>
      <w:r>
        <w:t>Centralized monitoring for all Azure-hosted applications</w:t>
      </w:r>
    </w:p>
    <w:p>
      <w:pPr>
        <w:pStyle w:val="ListBullet"/>
      </w:pPr>
      <w:r>
        <w:t>Unified infrastructure, network, and application visibility</w:t>
      </w:r>
    </w:p>
    <w:p>
      <w:pPr>
        <w:pStyle w:val="ListBullet"/>
      </w:pPr>
      <w:r>
        <w:t>Real-time Azure cost monitoring</w:t>
      </w:r>
    </w:p>
    <w:p>
      <w:pPr>
        <w:pStyle w:val="ListBullet"/>
      </w:pPr>
      <w:r>
        <w:t>Centralized alerting and operational awareness</w:t>
      </w:r>
    </w:p>
    <w:p>
      <w:pPr>
        <w:pStyle w:val="ListBullet"/>
      </w:pPr>
      <w:r>
        <w:t>Secure internal access through Microsoft Entra ID and MFA</w:t>
      </w:r>
    </w:p>
    <w:p>
      <w:pPr>
        <w:pStyle w:val="ListBullet"/>
      </w:pPr>
      <w:r>
        <w:t>No internal storage of telemetry or monitoring data</w:t>
      </w:r>
    </w:p>
    <w:p>
      <w:pPr>
        <w:pStyle w:val="ListBullet"/>
      </w:pPr>
      <w:r>
        <w:t>Scalable architecture for future enhancements</w:t>
      </w:r>
    </w:p>
    <w:p>
      <w:pPr>
        <w:pStyle w:val="Heading1"/>
      </w:pPr>
      <w:r>
        <w:t>3. High-Level Architecture</w:t>
      </w:r>
    </w:p>
    <w:p>
      <w:r>
        <w:rPr>
          <w:rFonts w:ascii="Courier New" w:hAnsi="Courier New"/>
          <w:sz w:val="18"/>
        </w:rPr>
        <w:br/>
        <w:t>Internal Engineers</w:t>
        <w:br/>
        <w:t xml:space="preserve">        │</w:t>
        <w:br/>
        <w:t xml:space="preserve">        ▼</w:t>
        <w:br/>
        <w:t>Entra ID Group + MFA</w:t>
        <w:br/>
        <w:t xml:space="preserve">        │</w:t>
        <w:br/>
        <w:t xml:space="preserve">        ▼</w:t>
        <w:br/>
        <w:t>Azure Static Web App</w:t>
        <w:br/>
        <w:t xml:space="preserve">        │</w:t>
        <w:br/>
        <w:t xml:space="preserve">        ▼</w:t>
        <w:br/>
        <w:t>Azure Functions API Layer</w:t>
        <w:br/>
        <w:t xml:space="preserve">        │</w:t>
        <w:br/>
        <w:t xml:space="preserve">        ├── Azure Monitor</w:t>
        <w:br/>
        <w:t xml:space="preserve">        ├── Azure Resource Graph</w:t>
        <w:br/>
        <w:t xml:space="preserve">        ├── Azure Cost Management</w:t>
        <w:br/>
        <w:t xml:space="preserve">        ├── Log Analytics</w:t>
        <w:br/>
        <w:t xml:space="preserve">        ├── Network Watcher</w:t>
        <w:br/>
        <w:t xml:space="preserve">        └── Web Application Telemetry APIs</w:t>
        <w:br/>
      </w:r>
    </w:p>
    <w:p>
      <w:pPr>
        <w:pStyle w:val="Heading1"/>
      </w:pPr>
      <w:r>
        <w:t>4. Azure Deployment Architecture</w:t>
      </w:r>
    </w:p>
    <w:p>
      <w:r>
        <w:t>The Global App Admin Center will deploy directly into the Shared Platform Azure Subscription using a production-only deployment model.</w:t>
      </w:r>
    </w:p>
    <w:tbl>
      <w:tblPr>
        <w:tblStyle w:val="TableGrid"/>
        <w:tblW w:type="auto" w:w="0"/>
        <w:tblLook w:firstColumn="1" w:firstRow="1" w:lastColumn="0" w:lastRow="0" w:noHBand="0" w:noVBand="1" w:val="04A0"/>
      </w:tblPr>
      <w:tblGrid>
        <w:gridCol w:w="4320"/>
        <w:gridCol w:w="4320"/>
      </w:tblGrid>
      <w:tr>
        <w:tc>
          <w:tcPr>
            <w:tcW w:type="dxa" w:w="4320"/>
          </w:tcPr>
          <w:p>
            <w:r>
              <w:t>Resource Type</w:t>
            </w:r>
          </w:p>
        </w:tc>
        <w:tc>
          <w:tcPr>
            <w:tcW w:type="dxa" w:w="4320"/>
          </w:tcPr>
          <w:p>
            <w:r>
              <w:t>Name</w:t>
            </w:r>
          </w:p>
        </w:tc>
      </w:tr>
      <w:tr>
        <w:tc>
          <w:tcPr>
            <w:tcW w:type="dxa" w:w="4320"/>
          </w:tcPr>
          <w:p>
            <w:r>
              <w:t>Resource Group</w:t>
            </w:r>
          </w:p>
        </w:tc>
        <w:tc>
          <w:tcPr>
            <w:tcW w:type="dxa" w:w="4320"/>
          </w:tcPr>
          <w:p>
            <w:r>
              <w:t>rg-gaac-prod</w:t>
            </w:r>
          </w:p>
        </w:tc>
      </w:tr>
      <w:tr>
        <w:tc>
          <w:tcPr>
            <w:tcW w:type="dxa" w:w="4320"/>
          </w:tcPr>
          <w:p>
            <w:r>
              <w:t>Static Web App</w:t>
            </w:r>
          </w:p>
        </w:tc>
        <w:tc>
          <w:tcPr>
            <w:tcW w:type="dxa" w:w="4320"/>
          </w:tcPr>
          <w:p>
            <w:r>
              <w:t>stapp-gaac-prod</w:t>
            </w:r>
          </w:p>
        </w:tc>
      </w:tr>
      <w:tr>
        <w:tc>
          <w:tcPr>
            <w:tcW w:type="dxa" w:w="4320"/>
          </w:tcPr>
          <w:p>
            <w:r>
              <w:t>Azure Functions</w:t>
            </w:r>
          </w:p>
        </w:tc>
        <w:tc>
          <w:tcPr>
            <w:tcW w:type="dxa" w:w="4320"/>
          </w:tcPr>
          <w:p>
            <w:r>
              <w:t>func-gaac-prod</w:t>
            </w:r>
          </w:p>
        </w:tc>
      </w:tr>
      <w:tr>
        <w:tc>
          <w:tcPr>
            <w:tcW w:type="dxa" w:w="4320"/>
          </w:tcPr>
          <w:p>
            <w:r>
              <w:t>Key Vault</w:t>
            </w:r>
          </w:p>
        </w:tc>
        <w:tc>
          <w:tcPr>
            <w:tcW w:type="dxa" w:w="4320"/>
          </w:tcPr>
          <w:p>
            <w:r>
              <w:t>kv-gaac-prod</w:t>
            </w:r>
          </w:p>
        </w:tc>
      </w:tr>
      <w:tr>
        <w:tc>
          <w:tcPr>
            <w:tcW w:type="dxa" w:w="4320"/>
          </w:tcPr>
          <w:p>
            <w:r>
              <w:t>Application Insights</w:t>
            </w:r>
          </w:p>
        </w:tc>
        <w:tc>
          <w:tcPr>
            <w:tcW w:type="dxa" w:w="4320"/>
          </w:tcPr>
          <w:p>
            <w:r>
              <w:t>appi-gaac-prod</w:t>
            </w:r>
          </w:p>
        </w:tc>
      </w:tr>
      <w:tr>
        <w:tc>
          <w:tcPr>
            <w:tcW w:type="dxa" w:w="4320"/>
          </w:tcPr>
          <w:p>
            <w:r>
              <w:t>Log Analytics Workspace</w:t>
            </w:r>
          </w:p>
        </w:tc>
        <w:tc>
          <w:tcPr>
            <w:tcW w:type="dxa" w:w="4320"/>
          </w:tcPr>
          <w:p>
            <w:r>
              <w:t>law-gaac-prod</w:t>
            </w:r>
          </w:p>
        </w:tc>
      </w:tr>
      <w:tr>
        <w:tc>
          <w:tcPr>
            <w:tcW w:type="dxa" w:w="4320"/>
          </w:tcPr>
          <w:p>
            <w:r>
              <w:t>App Configuration</w:t>
            </w:r>
          </w:p>
        </w:tc>
        <w:tc>
          <w:tcPr>
            <w:tcW w:type="dxa" w:w="4320"/>
          </w:tcPr>
          <w:p>
            <w:r>
              <w:t>appcs-gaac-prod</w:t>
            </w:r>
          </w:p>
        </w:tc>
      </w:tr>
      <w:tr>
        <w:tc>
          <w:tcPr>
            <w:tcW w:type="dxa" w:w="4320"/>
          </w:tcPr>
          <w:p>
            <w:r>
              <w:t>Storage Account</w:t>
            </w:r>
          </w:p>
        </w:tc>
        <w:tc>
          <w:tcPr>
            <w:tcW w:type="dxa" w:w="4320"/>
          </w:tcPr>
          <w:p>
            <w:r>
              <w:t>stgaacprod</w:t>
            </w:r>
          </w:p>
        </w:tc>
      </w:tr>
    </w:tbl>
    <w:p>
      <w:pPr>
        <w:pStyle w:val="Heading1"/>
      </w:pPr>
      <w:r>
        <w:t>5. Core Azure Services</w:t>
      </w:r>
    </w:p>
    <w:tbl>
      <w:tblPr>
        <w:tblStyle w:val="TableGrid"/>
        <w:tblW w:type="auto" w:w="0"/>
        <w:tblLook w:firstColumn="1" w:firstRow="1" w:lastColumn="0" w:lastRow="0" w:noHBand="0" w:noVBand="1" w:val="04A0"/>
      </w:tblPr>
      <w:tblGrid>
        <w:gridCol w:w="4320"/>
        <w:gridCol w:w="4320"/>
      </w:tblGrid>
      <w:tr>
        <w:tc>
          <w:tcPr>
            <w:tcW w:type="dxa" w:w="4320"/>
          </w:tcPr>
          <w:p>
            <w:r>
              <w:t>Service</w:t>
            </w:r>
          </w:p>
        </w:tc>
        <w:tc>
          <w:tcPr>
            <w:tcW w:type="dxa" w:w="4320"/>
          </w:tcPr>
          <w:p>
            <w:r>
              <w:t>Purpose</w:t>
            </w:r>
          </w:p>
        </w:tc>
      </w:tr>
      <w:tr>
        <w:tc>
          <w:tcPr>
            <w:tcW w:type="dxa" w:w="4320"/>
          </w:tcPr>
          <w:p>
            <w:r>
              <w:t>Azure Static Web Apps</w:t>
            </w:r>
          </w:p>
        </w:tc>
        <w:tc>
          <w:tcPr>
            <w:tcW w:type="dxa" w:w="4320"/>
          </w:tcPr>
          <w:p>
            <w:r>
              <w:t>Frontend dashboard hosting</w:t>
            </w:r>
          </w:p>
        </w:tc>
      </w:tr>
      <w:tr>
        <w:tc>
          <w:tcPr>
            <w:tcW w:type="dxa" w:w="4320"/>
          </w:tcPr>
          <w:p>
            <w:r>
              <w:t>Azure Functions</w:t>
            </w:r>
          </w:p>
        </w:tc>
        <w:tc>
          <w:tcPr>
            <w:tcW w:type="dxa" w:w="4320"/>
          </w:tcPr>
          <w:p>
            <w:r>
              <w:t>Backend aggregation API layer</w:t>
            </w:r>
          </w:p>
        </w:tc>
      </w:tr>
      <w:tr>
        <w:tc>
          <w:tcPr>
            <w:tcW w:type="dxa" w:w="4320"/>
          </w:tcPr>
          <w:p>
            <w:r>
              <w:t>Microsoft Entra ID</w:t>
            </w:r>
          </w:p>
        </w:tc>
        <w:tc>
          <w:tcPr>
            <w:tcW w:type="dxa" w:w="4320"/>
          </w:tcPr>
          <w:p>
            <w:r>
              <w:t>Authentication and MFA</w:t>
            </w:r>
          </w:p>
        </w:tc>
      </w:tr>
      <w:tr>
        <w:tc>
          <w:tcPr>
            <w:tcW w:type="dxa" w:w="4320"/>
          </w:tcPr>
          <w:p>
            <w:r>
              <w:t>Azure Monitor</w:t>
            </w:r>
          </w:p>
        </w:tc>
        <w:tc>
          <w:tcPr>
            <w:tcW w:type="dxa" w:w="4320"/>
          </w:tcPr>
          <w:p>
            <w:r>
              <w:t>Infrastructure metrics</w:t>
            </w:r>
          </w:p>
        </w:tc>
      </w:tr>
      <w:tr>
        <w:tc>
          <w:tcPr>
            <w:tcW w:type="dxa" w:w="4320"/>
          </w:tcPr>
          <w:p>
            <w:r>
              <w:t>Azure Resource Graph</w:t>
            </w:r>
          </w:p>
        </w:tc>
        <w:tc>
          <w:tcPr>
            <w:tcW w:type="dxa" w:w="4320"/>
          </w:tcPr>
          <w:p>
            <w:r>
              <w:t>Azure resource discovery</w:t>
            </w:r>
          </w:p>
        </w:tc>
      </w:tr>
      <w:tr>
        <w:tc>
          <w:tcPr>
            <w:tcW w:type="dxa" w:w="4320"/>
          </w:tcPr>
          <w:p>
            <w:r>
              <w:t>Azure Cost Management API</w:t>
            </w:r>
          </w:p>
        </w:tc>
        <w:tc>
          <w:tcPr>
            <w:tcW w:type="dxa" w:w="4320"/>
          </w:tcPr>
          <w:p>
            <w:r>
              <w:t>Cost analytics</w:t>
            </w:r>
          </w:p>
        </w:tc>
      </w:tr>
      <w:tr>
        <w:tc>
          <w:tcPr>
            <w:tcW w:type="dxa" w:w="4320"/>
          </w:tcPr>
          <w:p>
            <w:r>
              <w:t>Log Analytics</w:t>
            </w:r>
          </w:p>
        </w:tc>
        <w:tc>
          <w:tcPr>
            <w:tcW w:type="dxa" w:w="4320"/>
          </w:tcPr>
          <w:p>
            <w:r>
              <w:t>Centralized log queries</w:t>
            </w:r>
          </w:p>
        </w:tc>
      </w:tr>
      <w:tr>
        <w:tc>
          <w:tcPr>
            <w:tcW w:type="dxa" w:w="4320"/>
          </w:tcPr>
          <w:p>
            <w:r>
              <w:t>Network Watcher</w:t>
            </w:r>
          </w:p>
        </w:tc>
        <w:tc>
          <w:tcPr>
            <w:tcW w:type="dxa" w:w="4320"/>
          </w:tcPr>
          <w:p>
            <w:r>
              <w:t>Network telemetry and diagnostics</w:t>
            </w:r>
          </w:p>
        </w:tc>
      </w:tr>
      <w:tr>
        <w:tc>
          <w:tcPr>
            <w:tcW w:type="dxa" w:w="4320"/>
          </w:tcPr>
          <w:p>
            <w:r>
              <w:t>Application Insights</w:t>
            </w:r>
          </w:p>
        </w:tc>
        <w:tc>
          <w:tcPr>
            <w:tcW w:type="dxa" w:w="4320"/>
          </w:tcPr>
          <w:p>
            <w:r>
              <w:t>Application telemetry and monitoring</w:t>
            </w:r>
          </w:p>
        </w:tc>
      </w:tr>
      <w:tr>
        <w:tc>
          <w:tcPr>
            <w:tcW w:type="dxa" w:w="4320"/>
          </w:tcPr>
          <w:p>
            <w:r>
              <w:t>Azure Key Vault</w:t>
            </w:r>
          </w:p>
        </w:tc>
        <w:tc>
          <w:tcPr>
            <w:tcW w:type="dxa" w:w="4320"/>
          </w:tcPr>
          <w:p>
            <w:r>
              <w:t>Secrets management</w:t>
            </w:r>
          </w:p>
        </w:tc>
      </w:tr>
    </w:tbl>
    <w:p>
      <w:pPr>
        <w:pStyle w:val="Heading1"/>
      </w:pPr>
      <w:r>
        <w:t>6. Security and Access Control</w:t>
      </w:r>
    </w:p>
    <w:p>
      <w:pPr>
        <w:pStyle w:val="ListBullet"/>
      </w:pPr>
      <w:r>
        <w:t>Microsoft Entra ID authentication</w:t>
      </w:r>
    </w:p>
    <w:p>
      <w:pPr>
        <w:pStyle w:val="ListBullet"/>
      </w:pPr>
      <w:r>
        <w:t>MFA enforced via Conditional Access</w:t>
      </w:r>
    </w:p>
    <w:p>
      <w:pPr>
        <w:pStyle w:val="ListBullet"/>
      </w:pPr>
      <w:r>
        <w:t>Access restricted to internal Entra groups</w:t>
      </w:r>
    </w:p>
    <w:p>
      <w:pPr>
        <w:pStyle w:val="ListBullet"/>
      </w:pPr>
      <w:r>
        <w:t>Managed identity for Azure Functions</w:t>
      </w:r>
    </w:p>
    <w:p>
      <w:pPr>
        <w:pStyle w:val="ListBullet"/>
      </w:pPr>
      <w:r>
        <w:t>HTTPS-only access</w:t>
      </w:r>
    </w:p>
    <w:p>
      <w:pPr>
        <w:pStyle w:val="ListBullet"/>
      </w:pPr>
      <w:r>
        <w:t>Role-based access control (RBAC)</w:t>
      </w:r>
    </w:p>
    <w:p>
      <w:pPr>
        <w:pStyle w:val="ListBullet"/>
      </w:pPr>
      <w:r>
        <w:t>Key Vault-managed secrets</w:t>
      </w:r>
    </w:p>
    <w:p>
      <w:pPr>
        <w:pStyle w:val="ListBullet"/>
      </w:pPr>
      <w:r>
        <w:t>Audit logging enabled</w:t>
      </w:r>
    </w:p>
    <w:p>
      <w:r>
        <w:t>Recommended Entra Groups:</w:t>
      </w:r>
    </w:p>
    <w:p>
      <w:pPr>
        <w:pStyle w:val="ListBullet2"/>
      </w:pPr>
      <w:r>
        <w:t>GAAC-Authorized-Users</w:t>
      </w:r>
    </w:p>
    <w:p>
      <w:pPr>
        <w:pStyle w:val="ListBullet2"/>
      </w:pPr>
      <w:r>
        <w:t>GAAC-Admins</w:t>
      </w:r>
    </w:p>
    <w:p>
      <w:pPr>
        <w:pStyle w:val="ListBullet2"/>
      </w:pPr>
      <w:r>
        <w:t>GAAC-Engineers</w:t>
      </w:r>
    </w:p>
    <w:p>
      <w:pPr>
        <w:pStyle w:val="ListBullet2"/>
      </w:pPr>
      <w:r>
        <w:t>GAAC-FinOps</w:t>
      </w:r>
    </w:p>
    <w:p>
      <w:pPr>
        <w:pStyle w:val="Heading1"/>
      </w:pPr>
      <w:r>
        <w:t>7. Dashboard Features</w:t>
      </w:r>
    </w:p>
    <w:p>
      <w:pPr>
        <w:pStyle w:val="ListBullet"/>
      </w:pPr>
      <w:r>
        <w:t>Application dropdown selector</w:t>
      </w:r>
    </w:p>
    <w:p>
      <w:pPr>
        <w:pStyle w:val="ListBullet"/>
      </w:pPr>
      <w:r>
        <w:t>Azure infrastructure monitoring</w:t>
      </w:r>
    </w:p>
    <w:p>
      <w:pPr>
        <w:pStyle w:val="ListBullet"/>
      </w:pPr>
      <w:r>
        <w:t>Network monitoring and diagnostics</w:t>
      </w:r>
    </w:p>
    <w:p>
      <w:pPr>
        <w:pStyle w:val="ListBullet"/>
      </w:pPr>
      <w:r>
        <w:t>Azure cost tracking and analysis</w:t>
      </w:r>
    </w:p>
    <w:p>
      <w:pPr>
        <w:pStyle w:val="ListBullet"/>
      </w:pPr>
      <w:r>
        <w:t>Live web application telemetry</w:t>
      </w:r>
    </w:p>
    <w:p>
      <w:pPr>
        <w:pStyle w:val="ListBullet"/>
      </w:pPr>
      <w:r>
        <w:t>Centralized alerting dashboard</w:t>
      </w:r>
    </w:p>
    <w:p>
      <w:pPr>
        <w:pStyle w:val="ListBullet"/>
      </w:pPr>
      <w:r>
        <w:t>Global health status indicators</w:t>
      </w:r>
    </w:p>
    <w:p>
      <w:pPr>
        <w:pStyle w:val="ListBullet"/>
      </w:pPr>
      <w:r>
        <w:t>Real-time operational visibility</w:t>
      </w:r>
    </w:p>
    <w:p>
      <w:pPr>
        <w:pStyle w:val="Heading1"/>
      </w:pPr>
      <w:r>
        <w:t>8. Alerting and Incident Monitoring</w:t>
      </w:r>
    </w:p>
    <w:p>
      <w:r>
        <w:t>The platform will provide centralized live alerting for Azure infrastructure, network services, application telemetry, and Azure cost anomalies.</w:t>
      </w:r>
    </w:p>
    <w:tbl>
      <w:tblPr>
        <w:tblStyle w:val="TableGrid"/>
        <w:tblW w:type="auto" w:w="0"/>
        <w:tblLook w:firstColumn="1" w:firstRow="1" w:lastColumn="0" w:lastRow="0" w:noHBand="0" w:noVBand="1" w:val="04A0"/>
      </w:tblPr>
      <w:tblGrid>
        <w:gridCol w:w="4320"/>
        <w:gridCol w:w="4320"/>
      </w:tblGrid>
      <w:tr>
        <w:tc>
          <w:tcPr>
            <w:tcW w:type="dxa" w:w="4320"/>
          </w:tcPr>
          <w:p>
            <w:r>
              <w:t>Alert Source</w:t>
            </w:r>
          </w:p>
        </w:tc>
        <w:tc>
          <w:tcPr>
            <w:tcW w:type="dxa" w:w="4320"/>
          </w:tcPr>
          <w:p>
            <w:r>
              <w:t>Monitoring Area</w:t>
            </w:r>
          </w:p>
        </w:tc>
      </w:tr>
      <w:tr>
        <w:tc>
          <w:tcPr>
            <w:tcW w:type="dxa" w:w="4320"/>
          </w:tcPr>
          <w:p>
            <w:r>
              <w:t>Azure Monitor</w:t>
            </w:r>
          </w:p>
        </w:tc>
        <w:tc>
          <w:tcPr>
            <w:tcW w:type="dxa" w:w="4320"/>
          </w:tcPr>
          <w:p>
            <w:r>
              <w:t>Infrastructure and application health</w:t>
            </w:r>
          </w:p>
        </w:tc>
      </w:tr>
      <w:tr>
        <w:tc>
          <w:tcPr>
            <w:tcW w:type="dxa" w:w="4320"/>
          </w:tcPr>
          <w:p>
            <w:r>
              <w:t>Log Analytics</w:t>
            </w:r>
          </w:p>
        </w:tc>
        <w:tc>
          <w:tcPr>
            <w:tcW w:type="dxa" w:w="4320"/>
          </w:tcPr>
          <w:p>
            <w:r>
              <w:t>Operational and network logs</w:t>
            </w:r>
          </w:p>
        </w:tc>
      </w:tr>
      <w:tr>
        <w:tc>
          <w:tcPr>
            <w:tcW w:type="dxa" w:w="4320"/>
          </w:tcPr>
          <w:p>
            <w:r>
              <w:t>Network Watcher</w:t>
            </w:r>
          </w:p>
        </w:tc>
        <w:tc>
          <w:tcPr>
            <w:tcW w:type="dxa" w:w="4320"/>
          </w:tcPr>
          <w:p>
            <w:r>
              <w:t>Network connectivity and diagnostics</w:t>
            </w:r>
          </w:p>
        </w:tc>
      </w:tr>
      <w:tr>
        <w:tc>
          <w:tcPr>
            <w:tcW w:type="dxa" w:w="4320"/>
          </w:tcPr>
          <w:p>
            <w:r>
              <w:t>Azure Cost Management</w:t>
            </w:r>
          </w:p>
        </w:tc>
        <w:tc>
          <w:tcPr>
            <w:tcW w:type="dxa" w:w="4320"/>
          </w:tcPr>
          <w:p>
            <w:r>
              <w:t>Cost anomalies and budget thresholds</w:t>
            </w:r>
          </w:p>
        </w:tc>
      </w:tr>
      <w:tr>
        <w:tc>
          <w:tcPr>
            <w:tcW w:type="dxa" w:w="4320"/>
          </w:tcPr>
          <w:p>
            <w:r>
              <w:t>Application Insights</w:t>
            </w:r>
          </w:p>
        </w:tc>
        <w:tc>
          <w:tcPr>
            <w:tcW w:type="dxa" w:w="4320"/>
          </w:tcPr>
          <w:p>
            <w:r>
              <w:t>Application performance and errors</w:t>
            </w:r>
          </w:p>
        </w:tc>
      </w:tr>
      <w:tr>
        <w:tc>
          <w:tcPr>
            <w:tcW w:type="dxa" w:w="4320"/>
          </w:tcPr>
          <w:p>
            <w:r>
              <w:t>Web App Telemetry APIs</w:t>
            </w:r>
          </w:p>
        </w:tc>
        <w:tc>
          <w:tcPr>
            <w:tcW w:type="dxa" w:w="4320"/>
          </w:tcPr>
          <w:p>
            <w:r>
              <w:t>Custom application metrics and health</w:t>
            </w:r>
          </w:p>
        </w:tc>
      </w:tr>
    </w:tbl>
    <w:p>
      <w:pPr>
        <w:pStyle w:val="Heading1"/>
      </w:pPr>
      <w:r>
        <w:t>9. Live Data Collection Model</w:t>
      </w:r>
    </w:p>
    <w:p>
      <w:r>
        <w:rPr>
          <w:rFonts w:ascii="Courier New" w:hAnsi="Courier New"/>
          <w:sz w:val="18"/>
        </w:rPr>
        <w:br/>
        <w:t>Engineer opens dashboard</w:t>
        <w:br/>
        <w:t xml:space="preserve">        ↓</w:t>
        <w:br/>
        <w:t>Selects application from dropdown</w:t>
        <w:br/>
        <w:t xml:space="preserve">        ↓</w:t>
        <w:br/>
        <w:t>Azure Functions API retrieves live data</w:t>
        <w:br/>
        <w:t xml:space="preserve">        ↓</w:t>
        <w:br/>
        <w:t>Azure APIs + Application APIs queried</w:t>
        <w:br/>
        <w:t xml:space="preserve">        ↓</w:t>
        <w:br/>
        <w:t>Unified operational dashboard displayed</w:t>
        <w:br/>
      </w:r>
    </w:p>
    <w:p>
      <w:r>
        <w:t>No monitoring data, telemetry history, or customer analytics data will be stored within the Global App Admin Center platform.</w:t>
      </w:r>
    </w:p>
    <w:p>
      <w:pPr>
        <w:pStyle w:val="Heading1"/>
      </w:pPr>
      <w:r>
        <w:t>10. Future State Enhancements</w:t>
      </w:r>
    </w:p>
    <w:p>
      <w:pPr>
        <w:pStyle w:val="ListBullet"/>
      </w:pPr>
      <w:r>
        <w:t>iOS application telemetry monitoring</w:t>
      </w:r>
    </w:p>
    <w:p>
      <w:pPr>
        <w:pStyle w:val="ListBullet"/>
      </w:pPr>
      <w:r>
        <w:t>Android application telemetry monitoring</w:t>
      </w:r>
    </w:p>
    <w:p>
      <w:pPr>
        <w:pStyle w:val="ListBullet"/>
      </w:pPr>
      <w:r>
        <w:t>Predictive cost analytics</w:t>
      </w:r>
    </w:p>
    <w:p>
      <w:pPr>
        <w:pStyle w:val="ListBullet"/>
      </w:pPr>
      <w:r>
        <w:t>AI-driven anomaly detection</w:t>
      </w:r>
    </w:p>
    <w:p>
      <w:pPr>
        <w:pStyle w:val="ListBullet"/>
      </w:pPr>
      <w:r>
        <w:t>Automated remediation workflows</w:t>
      </w:r>
    </w:p>
    <w:p>
      <w:pPr>
        <w:pStyle w:val="ListBullet"/>
      </w:pPr>
      <w:r>
        <w:t>Teams and PagerDuty integrations</w:t>
      </w:r>
    </w:p>
    <w:p>
      <w:pPr>
        <w:pStyle w:val="ListBullet"/>
      </w:pPr>
      <w:r>
        <w:t>Advanced historical trend analysis</w:t>
      </w:r>
    </w:p>
    <w:p>
      <w:pPr>
        <w:pStyle w:val="Heading1"/>
      </w:pPr>
      <w:r>
        <w:t>11. Conclusion</w:t>
      </w:r>
    </w:p>
    <w:p>
      <w:r>
        <w:t>The Global App Admin Center will provide a secure, centralized, production-grade operational monitoring platform for Azure-hosted applications and infrastructure. By consolidating Azure metrics, application telemetry, network monitoring, cost analytics, and alerting into a single dashboard, engineering teams will gain improved operational awareness, faster incident response capabilities, and enhanced cloud cost visibility.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