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教学主题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1621155</wp:posOffset>
                </wp:positionH>
                <wp:positionV relativeFrom="paragraph">
                  <wp:posOffset>149860</wp:posOffset>
                </wp:positionV>
                <wp:extent cx="2076450" cy="85979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58440" y="1424940"/>
                          <a:ext cx="2076450" cy="859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jc w:val="center"/>
                              <w:textAlignment w:val="auto"/>
                              <w:rPr>
                                <w:rFonts w:hint="default" w:ascii="黑体" w:hAnsi="黑体" w:eastAsia="黑体" w:cs="黑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知识块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textAlignment w:val="auto"/>
                              <w:rPr>
                                <w:rFonts w:hint="eastAsia" w:ascii="黑体" w:hAnsi="黑体" w:eastAsia="黑体" w:cs="黑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24"/>
                                <w:szCs w:val="24"/>
                                <w:lang w:val="en-US" w:eastAsia="zh-CN"/>
                              </w:rPr>
                              <w:t>数学、机械</w:t>
                            </w:r>
                            <w:r>
                              <w:rPr>
                                <w:rFonts w:hint="eastAsia" w:ascii="黑体" w:hAnsi="黑体" w:eastAsia="黑体" w:cs="黑体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黑体" w:hAnsi="黑体" w:eastAsia="黑体" w:cs="黑体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黑体" w:hAnsi="黑体" w:eastAsia="黑体" w:cs="黑体"/>
                                <w:sz w:val="24"/>
                                <w:szCs w:val="24"/>
                                <w:lang w:val="en-US" w:eastAsia="zh-CN"/>
                              </w:rPr>
                              <w:t>★★★☆☆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textAlignment w:val="auto"/>
                              <w:rPr>
                                <w:rFonts w:hint="eastAsia" w:ascii="黑体" w:hAnsi="黑体" w:eastAsia="黑体" w:cs="黑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24"/>
                                <w:szCs w:val="24"/>
                                <w:lang w:val="en-US" w:eastAsia="zh-CN"/>
                              </w:rPr>
                              <w:t>编程、逻辑思维★★☆☆☆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textAlignment w:val="auto"/>
                              <w:rPr>
                                <w:rFonts w:hint="eastAsia" w:ascii="黑体" w:hAnsi="黑体" w:eastAsia="黑体" w:cs="黑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24"/>
                                <w:szCs w:val="24"/>
                                <w:lang w:val="en-US" w:eastAsia="zh-CN"/>
                              </w:rPr>
                              <w:t>精细动作</w:t>
                            </w:r>
                            <w:r>
                              <w:rPr>
                                <w:rFonts w:hint="eastAsia" w:ascii="黑体" w:hAnsi="黑体" w:eastAsia="黑体" w:cs="黑体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黑体" w:hAnsi="黑体" w:eastAsia="黑体" w:cs="黑体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黑体" w:hAnsi="黑体" w:eastAsia="黑体" w:cs="黑体"/>
                                <w:sz w:val="24"/>
                                <w:szCs w:val="24"/>
                                <w:lang w:val="en-US" w:eastAsia="zh-CN"/>
                              </w:rPr>
                              <w:t>★☆☆☆☆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7.65pt;margin-top:11.8pt;height:67.7pt;width:163.5pt;z-index:251659264;mso-width-relative:page;mso-height-relative:page;" filled="f" stroked="f" coordsize="21600,21600" o:gfxdata="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AqmlgTaAAAACgEAAA8AAAAAAAAAAQAgAAAAIgAAAGRycy9kb3ducmV2LnhtbFBLAQIUABQA&#10;AAAIAIdO4kCGmokbJwIAACQEAAAOAAAAAAAAAAEAIAAAACk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jc w:val="center"/>
                        <w:textAlignment w:val="auto"/>
                        <w:rPr>
                          <w:rFonts w:hint="default" w:ascii="黑体" w:hAnsi="黑体" w:eastAsia="黑体" w:cs="黑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知识块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textAlignment w:val="auto"/>
                        <w:rPr>
                          <w:rFonts w:hint="eastAsia" w:ascii="黑体" w:hAnsi="黑体" w:eastAsia="黑体" w:cs="黑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24"/>
                          <w:szCs w:val="24"/>
                          <w:lang w:val="en-US" w:eastAsia="zh-CN"/>
                        </w:rPr>
                        <w:t>数学、机械</w:t>
                      </w:r>
                      <w:r>
                        <w:rPr>
                          <w:rFonts w:hint="eastAsia" w:ascii="黑体" w:hAnsi="黑体" w:eastAsia="黑体" w:cs="黑体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黑体" w:hAnsi="黑体" w:eastAsia="黑体" w:cs="黑体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黑体" w:hAnsi="黑体" w:eastAsia="黑体" w:cs="黑体"/>
                          <w:sz w:val="24"/>
                          <w:szCs w:val="24"/>
                          <w:lang w:val="en-US" w:eastAsia="zh-CN"/>
                        </w:rPr>
                        <w:t>★★★☆☆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textAlignment w:val="auto"/>
                        <w:rPr>
                          <w:rFonts w:hint="eastAsia" w:ascii="黑体" w:hAnsi="黑体" w:eastAsia="黑体" w:cs="黑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24"/>
                          <w:szCs w:val="24"/>
                          <w:lang w:val="en-US" w:eastAsia="zh-CN"/>
                        </w:rPr>
                        <w:t>编程、逻辑思维★★☆☆☆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textAlignment w:val="auto"/>
                        <w:rPr>
                          <w:rFonts w:hint="eastAsia" w:ascii="黑体" w:hAnsi="黑体" w:eastAsia="黑体" w:cs="黑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24"/>
                          <w:szCs w:val="24"/>
                          <w:lang w:val="en-US" w:eastAsia="zh-CN"/>
                        </w:rPr>
                        <w:t>精细动作</w:t>
                      </w:r>
                      <w:r>
                        <w:rPr>
                          <w:rFonts w:hint="eastAsia" w:ascii="黑体" w:hAnsi="黑体" w:eastAsia="黑体" w:cs="黑体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黑体" w:hAnsi="黑体" w:eastAsia="黑体" w:cs="黑体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黑体" w:hAnsi="黑体" w:eastAsia="黑体" w:cs="黑体"/>
                          <w:sz w:val="24"/>
                          <w:szCs w:val="24"/>
                          <w:lang w:val="en-US" w:eastAsia="zh-CN"/>
                        </w:rPr>
                        <w:t>★☆☆☆☆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1442085</wp:posOffset>
                </wp:positionH>
                <wp:positionV relativeFrom="paragraph">
                  <wp:posOffset>68580</wp:posOffset>
                </wp:positionV>
                <wp:extent cx="2459990" cy="1066800"/>
                <wp:effectExtent l="6350" t="6350" r="16510" b="635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0180" y="1370330"/>
                          <a:ext cx="2459990" cy="10668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3.55pt;margin-top:5.4pt;height:84pt;width:193.7pt;z-index:251658240;v-text-anchor:middle;mso-width-relative:page;mso-height-relative:page;" fillcolor="#DEEBF7 [660]" filled="t" stroked="t" coordsize="21600,21600" arcsize="0.166666666666667" o:gfxdata="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ECc4nbXAAAACgEAAA8AAAAAAAAAAQAgAAAAIgAAAGRycy9kb3ducmV2LnhtbFBLAQIU&#10;ABQAAAAIAIdO4kDxQZwrnwIAACMFAAAOAAAAAAAAAAEAIAAAACYBAABkcnMvZTJvRG9jLnhtbFBL&#10;BQYAAAAABgAGAFkBAAA3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教学目标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textAlignment w:val="auto"/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利用乐高零件实现软连接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textAlignment w:val="auto"/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掌握圆面积与周长的计算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教学重点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textAlignment w:val="auto"/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蛇头部、身体及尾部的软连接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textAlignment w:val="auto"/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根据蛇行方式，具象认识圆和圆的计算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教学准备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textAlignment w:val="auto"/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红色4孔9686积木，10个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textAlignment w:val="auto"/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圆形纽扣，2个，直径2厘米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教学过程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textAlignment w:val="auto"/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课堂引入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讨论属相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小朋友知道自己的属相吗？那你知道一共有多少个属相吗，他们分别是什么？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讨论属相与时辰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textAlignment w:val="auto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结构搭建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textAlignment w:val="auto"/>
        <w:outlineLvl w:val="1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textAlignment w:val="auto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反思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textAlignment w:val="auto"/>
        <w:outlineLvl w:val="1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textAlignment w:val="auto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延续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textAlignment w:val="auto"/>
        <w:outlineLvl w:val="1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评价分享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textAlignment w:val="auto"/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模型展示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小朋友告诉爸爸妈妈这个模型的名字是什么？它有什么功能呢？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textAlignment w:val="auto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知识点渗透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textAlignment w:val="auto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软连接与精细动作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这种连接方式叫什么呢？他可以用来做什么？你还可以想到哪些应用方式？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软连接是....的连接方式，可以激发孩子的.....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课程拓展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textAlignment w:val="auto"/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和家长一起思考在生活中有哪些地方用到了软连接？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说明：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主题：黑体二号，居中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知识点：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知识点三个字：黑体小四号加粗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知识点具体内容：黑体小四，不加粗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正文部分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一级标题：宋体四号，加粗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二级标题：宋体小四号，加粗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三级标题及正文：宋体小四号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需包含页眉和页码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行间距为“固定值：22pt”，知识点文本框行间距为“固定值：15pt”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教案只作为教学大纲，不需要包含图片视频等内容；PPT中文字应尽量简洁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教学重点：应简洁明了，教学重点应在评价分享中有所体现。教学目标是教学重点的方向和概括，教学重点是教学目标的细化。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教学准备：应尽量详细，需包含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必要：教具名称，教具数量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非标准化教具则还需包含“教具描述”和“教具规格”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教学过程：流程清晰，尤其对于新教师，应包含“课堂引入”和“小结”的具体叙述语句。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反思：对于本节课搭建内容中的问题，困难，搭建重点的回顾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延续：基于本节课的搭建内容进行创新和联想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评价分享：应在课堂中做到流程清晰，重点突出；对重要知识点有意识的对家长进行说明展示，加强家长印象。新教师应做到把每一句“引入”“承接”“小结”时说的话都斟酌记录下来。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课程拓展：课后思考，可以提供图片，视频，随手可得的材料，生活现象等，引导家长和孩子共同在课后思考，引起家长参与感。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目标：简单易行，家长在课后也有课堂参与感，发现孩子进步；对本节课进行拓展小结或对下节课进行铺垫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993814"/>
    <w:multiLevelType w:val="multilevel"/>
    <w:tmpl w:val="9099381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B82A2075"/>
    <w:multiLevelType w:val="multilevel"/>
    <w:tmpl w:val="B82A20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9C517B"/>
    <w:rsid w:val="58D270F7"/>
    <w:rsid w:val="789C517B"/>
    <w:rsid w:val="7CD5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2020-08-11T04:42:00Z</dcterms:created>
  <dc:creator>青柠</dc:creator>
  <cp:lastModifiedBy>青柠</cp:lastModifiedBy>
  <dcterms:modified xsi:type="dcterms:W3CDTF">2020-09-02T10:54:12Z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