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C6FC" w14:textId="05B5765D" w:rsidR="00AD742C" w:rsidRPr="006D2805" w:rsidRDefault="006D2805" w:rsidP="006D280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Análise exploratória</w:t>
      </w:r>
      <w:r w:rsidR="00376252"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 xml:space="preserve"> </w:t>
      </w:r>
      <w:r w:rsidR="00A24228" w:rsidRPr="006D2805">
        <w:rPr>
          <w:rFonts w:ascii="Arial" w:hAnsi="Arial" w:cs="Arial"/>
          <w:b/>
          <w:bCs/>
        </w:rPr>
        <w:t xml:space="preserve">Insights e análises: </w:t>
      </w:r>
    </w:p>
    <w:p w14:paraId="4B1B8928" w14:textId="77777777" w:rsidR="00E715B6" w:rsidRPr="006D2805" w:rsidRDefault="00E715B6" w:rsidP="006D2805">
      <w:pPr>
        <w:jc w:val="both"/>
        <w:rPr>
          <w:rFonts w:ascii="Arial" w:hAnsi="Arial" w:cs="Arial"/>
        </w:rPr>
      </w:pPr>
    </w:p>
    <w:p w14:paraId="3369157A" w14:textId="77777777" w:rsidR="00E715B6" w:rsidRPr="006D2805" w:rsidRDefault="00E715B6" w:rsidP="006D2805">
      <w:pPr>
        <w:jc w:val="both"/>
        <w:rPr>
          <w:rFonts w:ascii="Arial" w:hAnsi="Arial" w:cs="Arial"/>
          <w:b/>
          <w:bCs/>
        </w:rPr>
      </w:pPr>
      <w:r w:rsidRPr="006D2805">
        <w:rPr>
          <w:rFonts w:ascii="Arial" w:hAnsi="Arial" w:cs="Arial"/>
          <w:b/>
          <w:bCs/>
        </w:rPr>
        <w:t>1. Visão geral do comportamento do preço ao longo do tempo</w:t>
      </w:r>
    </w:p>
    <w:p w14:paraId="167A1E4C" w14:textId="77777777" w:rsidR="00F94A57" w:rsidRPr="006D2805" w:rsidRDefault="00E715B6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O preço do Brent apresentou oscilações marcantes ao longo dos últimos 30 anos, refletindo períodos de estabilidade, choques abruptos e tendências de longo prazo. Grandes picos e quedas estão associados a eventos econômicos globais, conflitos geopolíticos e transformações estruturais no mercado de petróleo.</w:t>
      </w:r>
    </w:p>
    <w:p w14:paraId="399AA020" w14:textId="673B862B" w:rsidR="00F94A57" w:rsidRPr="006D2805" w:rsidRDefault="00F94A57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 xml:space="preserve">Observando o gráfico de </w:t>
      </w:r>
      <w:r w:rsidR="008B09E2" w:rsidRPr="006D2805">
        <w:rPr>
          <w:rFonts w:ascii="Arial" w:hAnsi="Arial" w:cs="Arial"/>
        </w:rPr>
        <w:t>preço ao longo do tempo, é possível identificar tendências, picos e quedas.</w:t>
      </w:r>
    </w:p>
    <w:p w14:paraId="4AC434D2" w14:textId="3F29D451" w:rsidR="008B09E2" w:rsidRPr="006D2805" w:rsidRDefault="008B09E2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 xml:space="preserve">Pontos de atenção: </w:t>
      </w:r>
    </w:p>
    <w:p w14:paraId="3F7AAF3A" w14:textId="77777777" w:rsidR="008B09E2" w:rsidRPr="006D2805" w:rsidRDefault="008B09E2" w:rsidP="006D28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O gráfico mostra que, entre 2003 e 2008, houve uma forte alta (associada à Guerra do Iraque e ao crescimento global), seguida de uma queda brusca em 2008-2009 (Crise Financeira Global).</w:t>
      </w:r>
    </w:p>
    <w:p w14:paraId="43212821" w14:textId="5D00F420" w:rsidR="008C51F1" w:rsidRPr="006D2805" w:rsidRDefault="008C51F1" w:rsidP="006D28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Entre 2014 e 2016, outra grande queda, relacionada à Revolução do Xisto nos EUA e ao Colapso dos Preços do Petróleo.</w:t>
      </w:r>
    </w:p>
    <w:p w14:paraId="564D9BDD" w14:textId="77777777" w:rsidR="008C51F1" w:rsidRPr="006D2805" w:rsidRDefault="008C51F1" w:rsidP="006D28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Em 2020, a Pandemia de COVID-19 levou o preço a mínimas históricas, com posterior recuperação.</w:t>
      </w:r>
    </w:p>
    <w:p w14:paraId="13ABDBEF" w14:textId="77777777" w:rsidR="008C51F1" w:rsidRPr="006D2805" w:rsidRDefault="008C51F1" w:rsidP="006D2805">
      <w:pPr>
        <w:pStyle w:val="PargrafodaLista"/>
        <w:jc w:val="both"/>
        <w:rPr>
          <w:rFonts w:ascii="Arial" w:hAnsi="Arial" w:cs="Arial"/>
        </w:rPr>
      </w:pPr>
    </w:p>
    <w:p w14:paraId="179F9D7C" w14:textId="77777777" w:rsidR="008C51F1" w:rsidRPr="006D2805" w:rsidRDefault="008C51F1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O Brent alterna períodos de estabilidade com choques abruptos. Após grandes eventos, o preço raramente retorna rapidamente ao patamar anterior, estabelecendo novos níveis médios.</w:t>
      </w:r>
    </w:p>
    <w:p w14:paraId="26DF7FE8" w14:textId="77777777" w:rsidR="00E715B6" w:rsidRPr="006D2805" w:rsidRDefault="00E715B6" w:rsidP="006D2805">
      <w:pPr>
        <w:jc w:val="both"/>
        <w:rPr>
          <w:rFonts w:ascii="Arial" w:hAnsi="Arial" w:cs="Arial"/>
        </w:rPr>
      </w:pPr>
    </w:p>
    <w:p w14:paraId="1CC9AA6C" w14:textId="77777777" w:rsidR="00AD742C" w:rsidRPr="006D2805" w:rsidRDefault="00AD742C" w:rsidP="006D2805">
      <w:pPr>
        <w:jc w:val="both"/>
        <w:rPr>
          <w:rFonts w:ascii="Arial" w:hAnsi="Arial" w:cs="Arial"/>
          <w:b/>
          <w:bCs/>
        </w:rPr>
      </w:pPr>
      <w:r w:rsidRPr="006D2805">
        <w:rPr>
          <w:rFonts w:ascii="Arial" w:hAnsi="Arial" w:cs="Arial"/>
          <w:b/>
          <w:bCs/>
        </w:rPr>
        <w:t>2. Eventos com maior impacto no preço</w:t>
      </w:r>
    </w:p>
    <w:p w14:paraId="3D270BB7" w14:textId="7F31FC59" w:rsidR="00AD742C" w:rsidRPr="006D2805" w:rsidRDefault="00AD742C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 xml:space="preserve">Com base nos dados </w:t>
      </w:r>
      <w:r w:rsidR="00014CF0" w:rsidRPr="006D2805">
        <w:rPr>
          <w:rFonts w:ascii="Arial" w:hAnsi="Arial" w:cs="Arial"/>
        </w:rPr>
        <w:t>do preço</w:t>
      </w:r>
      <w:r w:rsidRPr="006D2805">
        <w:rPr>
          <w:rFonts w:ascii="Arial" w:hAnsi="Arial" w:cs="Arial"/>
        </w:rPr>
        <w:t xml:space="preserve"> Brent durante o período de cada evento, os maiores impactos absolutos (diferença entre o preço máximo e mínimo durante o evento) foram: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66"/>
        <w:gridCol w:w="1753"/>
        <w:gridCol w:w="1991"/>
        <w:gridCol w:w="2284"/>
      </w:tblGrid>
      <w:tr w:rsidR="00ED0729" w:rsidRPr="006D2805" w14:paraId="609A5AB9" w14:textId="77777777" w:rsidTr="00ED0729">
        <w:tc>
          <w:tcPr>
            <w:tcW w:w="2466" w:type="dxa"/>
          </w:tcPr>
          <w:p w14:paraId="4704918F" w14:textId="71170DCF" w:rsidR="00ED0729" w:rsidRPr="006D2805" w:rsidRDefault="00ED0729" w:rsidP="006D280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>Evento</w:t>
            </w:r>
          </w:p>
        </w:tc>
        <w:tc>
          <w:tcPr>
            <w:tcW w:w="1753" w:type="dxa"/>
          </w:tcPr>
          <w:p w14:paraId="097283FC" w14:textId="0F9CA0A9" w:rsidR="00ED0729" w:rsidRPr="006D2805" w:rsidRDefault="00635EE5" w:rsidP="006D280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>Preço Mínimo</w:t>
            </w:r>
          </w:p>
        </w:tc>
        <w:tc>
          <w:tcPr>
            <w:tcW w:w="1991" w:type="dxa"/>
          </w:tcPr>
          <w:p w14:paraId="595DE55E" w14:textId="3C195849" w:rsidR="00ED0729" w:rsidRPr="006D2805" w:rsidRDefault="00635EE5" w:rsidP="006D280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>Preço Máximo</w:t>
            </w:r>
          </w:p>
        </w:tc>
        <w:tc>
          <w:tcPr>
            <w:tcW w:w="2284" w:type="dxa"/>
          </w:tcPr>
          <w:p w14:paraId="15510786" w14:textId="22CACE6D" w:rsidR="00ED0729" w:rsidRPr="006D2805" w:rsidRDefault="00ED0729" w:rsidP="006D280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>Impacto Real (US$)</w:t>
            </w:r>
          </w:p>
        </w:tc>
      </w:tr>
      <w:tr w:rsidR="00ED0729" w:rsidRPr="006D2805" w14:paraId="013BBFDD" w14:textId="77777777" w:rsidTr="00D70A25">
        <w:tc>
          <w:tcPr>
            <w:tcW w:w="2466" w:type="dxa"/>
          </w:tcPr>
          <w:p w14:paraId="1C974A25" w14:textId="1C79A022" w:rsidR="00ED0729" w:rsidRPr="006D2805" w:rsidRDefault="00ED072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Guerra do Iraque</w:t>
            </w:r>
          </w:p>
        </w:tc>
        <w:tc>
          <w:tcPr>
            <w:tcW w:w="1753" w:type="dxa"/>
            <w:vAlign w:val="center"/>
          </w:tcPr>
          <w:p w14:paraId="3C87E801" w14:textId="5EEC4020" w:rsidR="00ED0729" w:rsidRPr="006D2805" w:rsidRDefault="00635EE5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23,23</w:t>
            </w:r>
          </w:p>
        </w:tc>
        <w:tc>
          <w:tcPr>
            <w:tcW w:w="1991" w:type="dxa"/>
            <w:vAlign w:val="center"/>
          </w:tcPr>
          <w:p w14:paraId="3B5ED435" w14:textId="76D3AFE1" w:rsidR="00ED0729" w:rsidRPr="006D2805" w:rsidRDefault="00123E2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143,95</w:t>
            </w:r>
          </w:p>
        </w:tc>
        <w:tc>
          <w:tcPr>
            <w:tcW w:w="2284" w:type="dxa"/>
            <w:vAlign w:val="center"/>
          </w:tcPr>
          <w:p w14:paraId="7304263C" w14:textId="0100FB6B" w:rsidR="00ED0729" w:rsidRPr="006D2805" w:rsidRDefault="00ED072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120,72</w:t>
            </w:r>
          </w:p>
        </w:tc>
      </w:tr>
      <w:tr w:rsidR="00674E63" w:rsidRPr="006D2805" w14:paraId="0FB3EC2F" w14:textId="77777777" w:rsidTr="00D70A25">
        <w:tc>
          <w:tcPr>
            <w:tcW w:w="2466" w:type="dxa"/>
          </w:tcPr>
          <w:p w14:paraId="6C3C42B2" w14:textId="1DB9DACA" w:rsidR="00674E63" w:rsidRPr="006D2805" w:rsidRDefault="00674E6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Revolução do Xisto nos EUA</w:t>
            </w:r>
          </w:p>
        </w:tc>
        <w:tc>
          <w:tcPr>
            <w:tcW w:w="1753" w:type="dxa"/>
            <w:vAlign w:val="center"/>
          </w:tcPr>
          <w:p w14:paraId="52411E83" w14:textId="1F75274F" w:rsidR="00674E63" w:rsidRPr="006D2805" w:rsidRDefault="00674E6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26,01</w:t>
            </w:r>
          </w:p>
        </w:tc>
        <w:tc>
          <w:tcPr>
            <w:tcW w:w="1991" w:type="dxa"/>
            <w:vAlign w:val="center"/>
          </w:tcPr>
          <w:p w14:paraId="2244C4AD" w14:textId="6C71B65F" w:rsidR="00674E63" w:rsidRPr="006D2805" w:rsidRDefault="00674E6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115,19</w:t>
            </w:r>
          </w:p>
        </w:tc>
        <w:tc>
          <w:tcPr>
            <w:tcW w:w="2284" w:type="dxa"/>
            <w:vAlign w:val="center"/>
          </w:tcPr>
          <w:p w14:paraId="5ED79675" w14:textId="7E0B4395" w:rsidR="00674E63" w:rsidRPr="006D2805" w:rsidRDefault="00674E6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89,18</w:t>
            </w:r>
          </w:p>
        </w:tc>
      </w:tr>
      <w:tr w:rsidR="00ED3D5F" w:rsidRPr="006D2805" w14:paraId="3D96DD5B" w14:textId="77777777" w:rsidTr="00D70A25">
        <w:tc>
          <w:tcPr>
            <w:tcW w:w="2466" w:type="dxa"/>
          </w:tcPr>
          <w:p w14:paraId="04788D36" w14:textId="112CAC6C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Pandemia de COVID-19</w:t>
            </w:r>
          </w:p>
        </w:tc>
        <w:tc>
          <w:tcPr>
            <w:tcW w:w="1753" w:type="dxa"/>
            <w:vAlign w:val="center"/>
          </w:tcPr>
          <w:p w14:paraId="75E9D541" w14:textId="3F629A64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9,12</w:t>
            </w:r>
          </w:p>
        </w:tc>
        <w:tc>
          <w:tcPr>
            <w:tcW w:w="1991" w:type="dxa"/>
            <w:vAlign w:val="center"/>
          </w:tcPr>
          <w:p w14:paraId="3DC53126" w14:textId="44C9CB8A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85,76</w:t>
            </w:r>
          </w:p>
        </w:tc>
        <w:tc>
          <w:tcPr>
            <w:tcW w:w="2284" w:type="dxa"/>
            <w:vAlign w:val="center"/>
          </w:tcPr>
          <w:p w14:paraId="1FCE04B2" w14:textId="79DF5BB6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76,64</w:t>
            </w:r>
          </w:p>
        </w:tc>
      </w:tr>
      <w:tr w:rsidR="00ED3D5F" w:rsidRPr="006D2805" w14:paraId="7F32093D" w14:textId="77777777" w:rsidTr="00D70A25">
        <w:tc>
          <w:tcPr>
            <w:tcW w:w="2466" w:type="dxa"/>
          </w:tcPr>
          <w:p w14:paraId="5FB6CAD7" w14:textId="08CE42F7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Invasão da Ucrânia pela Rússia</w:t>
            </w:r>
          </w:p>
        </w:tc>
        <w:tc>
          <w:tcPr>
            <w:tcW w:w="1753" w:type="dxa"/>
            <w:vAlign w:val="center"/>
          </w:tcPr>
          <w:p w14:paraId="23511640" w14:textId="04C4B6BC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61,57</w:t>
            </w:r>
          </w:p>
        </w:tc>
        <w:tc>
          <w:tcPr>
            <w:tcW w:w="1991" w:type="dxa"/>
            <w:vAlign w:val="center"/>
          </w:tcPr>
          <w:p w14:paraId="43EDEA24" w14:textId="09A2FA08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133,18</w:t>
            </w:r>
          </w:p>
        </w:tc>
        <w:tc>
          <w:tcPr>
            <w:tcW w:w="2284" w:type="dxa"/>
            <w:vAlign w:val="center"/>
          </w:tcPr>
          <w:p w14:paraId="029091B2" w14:textId="6BEBBC4B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71,61</w:t>
            </w:r>
          </w:p>
        </w:tc>
      </w:tr>
      <w:tr w:rsidR="00ED3D5F" w:rsidRPr="006D2805" w14:paraId="490CAAED" w14:textId="77777777" w:rsidTr="00D70A25">
        <w:tc>
          <w:tcPr>
            <w:tcW w:w="2466" w:type="dxa"/>
          </w:tcPr>
          <w:p w14:paraId="3D99767A" w14:textId="4DA37CC9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Crise Financeira Global</w:t>
            </w:r>
          </w:p>
        </w:tc>
        <w:tc>
          <w:tcPr>
            <w:tcW w:w="1753" w:type="dxa"/>
            <w:vAlign w:val="center"/>
          </w:tcPr>
          <w:p w14:paraId="7710B113" w14:textId="3902EEF9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33,73</w:t>
            </w:r>
          </w:p>
        </w:tc>
        <w:tc>
          <w:tcPr>
            <w:tcW w:w="1991" w:type="dxa"/>
            <w:vAlign w:val="center"/>
          </w:tcPr>
          <w:p w14:paraId="662A77C8" w14:textId="40969103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102,09</w:t>
            </w:r>
          </w:p>
        </w:tc>
        <w:tc>
          <w:tcPr>
            <w:tcW w:w="2284" w:type="dxa"/>
            <w:vAlign w:val="center"/>
          </w:tcPr>
          <w:p w14:paraId="436306E7" w14:textId="6BBE3FB4" w:rsidR="00ED3D5F" w:rsidRPr="006D2805" w:rsidRDefault="00ED3D5F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68,36</w:t>
            </w:r>
          </w:p>
        </w:tc>
      </w:tr>
      <w:tr w:rsidR="008B1BD9" w:rsidRPr="006D2805" w14:paraId="15E83FF4" w14:textId="77777777" w:rsidTr="00D70A25">
        <w:tc>
          <w:tcPr>
            <w:tcW w:w="2466" w:type="dxa"/>
          </w:tcPr>
          <w:p w14:paraId="7A52E38B" w14:textId="070C3764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Colapso dos Preços do Petróleo</w:t>
            </w:r>
          </w:p>
        </w:tc>
        <w:tc>
          <w:tcPr>
            <w:tcW w:w="1753" w:type="dxa"/>
            <w:vAlign w:val="center"/>
          </w:tcPr>
          <w:p w14:paraId="49BC0A8B" w14:textId="61CF1D18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26,01</w:t>
            </w:r>
          </w:p>
        </w:tc>
        <w:tc>
          <w:tcPr>
            <w:tcW w:w="1991" w:type="dxa"/>
            <w:vAlign w:val="center"/>
          </w:tcPr>
          <w:p w14:paraId="064AABD7" w14:textId="619C1302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79,62</w:t>
            </w:r>
          </w:p>
        </w:tc>
        <w:tc>
          <w:tcPr>
            <w:tcW w:w="2284" w:type="dxa"/>
            <w:vAlign w:val="center"/>
          </w:tcPr>
          <w:p w14:paraId="58F04DDF" w14:textId="7AB5A45B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53,61</w:t>
            </w:r>
          </w:p>
        </w:tc>
      </w:tr>
      <w:tr w:rsidR="008B1BD9" w:rsidRPr="006D2805" w14:paraId="0224A136" w14:textId="77777777" w:rsidTr="00D70A25">
        <w:tc>
          <w:tcPr>
            <w:tcW w:w="2466" w:type="dxa"/>
          </w:tcPr>
          <w:p w14:paraId="430F8689" w14:textId="256F3DA2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Primavera Árabe</w:t>
            </w:r>
          </w:p>
        </w:tc>
        <w:tc>
          <w:tcPr>
            <w:tcW w:w="1753" w:type="dxa"/>
            <w:vAlign w:val="center"/>
          </w:tcPr>
          <w:p w14:paraId="4A03E1BE" w14:textId="317E8C50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88,69</w:t>
            </w:r>
          </w:p>
        </w:tc>
        <w:tc>
          <w:tcPr>
            <w:tcW w:w="1991" w:type="dxa"/>
            <w:vAlign w:val="center"/>
          </w:tcPr>
          <w:p w14:paraId="659DD3AE" w14:textId="5ED994A1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128,14</w:t>
            </w:r>
          </w:p>
        </w:tc>
        <w:tc>
          <w:tcPr>
            <w:tcW w:w="2284" w:type="dxa"/>
            <w:vAlign w:val="center"/>
          </w:tcPr>
          <w:p w14:paraId="45A91202" w14:textId="379C2C05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39,45</w:t>
            </w:r>
          </w:p>
        </w:tc>
      </w:tr>
      <w:tr w:rsidR="008B1BD9" w:rsidRPr="006D2805" w14:paraId="63194FDB" w14:textId="77777777" w:rsidTr="00D70A25">
        <w:tc>
          <w:tcPr>
            <w:tcW w:w="2466" w:type="dxa"/>
          </w:tcPr>
          <w:p w14:paraId="3A3CD3DE" w14:textId="7D51902F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lastRenderedPageBreak/>
              <w:t>Crise Energética na Europa</w:t>
            </w:r>
          </w:p>
        </w:tc>
        <w:tc>
          <w:tcPr>
            <w:tcW w:w="1753" w:type="dxa"/>
            <w:vAlign w:val="center"/>
          </w:tcPr>
          <w:p w14:paraId="5E8B2AD8" w14:textId="494C8290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71,03</w:t>
            </w:r>
          </w:p>
        </w:tc>
        <w:tc>
          <w:tcPr>
            <w:tcW w:w="1991" w:type="dxa"/>
            <w:vAlign w:val="center"/>
          </w:tcPr>
          <w:p w14:paraId="4B448A66" w14:textId="17399F03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99,87</w:t>
            </w:r>
          </w:p>
        </w:tc>
        <w:tc>
          <w:tcPr>
            <w:tcW w:w="2284" w:type="dxa"/>
            <w:vAlign w:val="center"/>
          </w:tcPr>
          <w:p w14:paraId="4A98CDBB" w14:textId="3D154925" w:rsidR="008B1BD9" w:rsidRPr="006D2805" w:rsidRDefault="008B1B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28,84</w:t>
            </w:r>
          </w:p>
        </w:tc>
      </w:tr>
      <w:tr w:rsidR="001B72FD" w:rsidRPr="006D2805" w14:paraId="2E0F7272" w14:textId="77777777" w:rsidTr="00D70A25">
        <w:tc>
          <w:tcPr>
            <w:tcW w:w="2466" w:type="dxa"/>
          </w:tcPr>
          <w:p w14:paraId="7DBF5F56" w14:textId="74A3E3D5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Guerra do Golfo</w:t>
            </w:r>
          </w:p>
        </w:tc>
        <w:tc>
          <w:tcPr>
            <w:tcW w:w="1753" w:type="dxa"/>
            <w:vAlign w:val="center"/>
          </w:tcPr>
          <w:p w14:paraId="2F7C1656" w14:textId="0AB845C0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17,68</w:t>
            </w:r>
          </w:p>
        </w:tc>
        <w:tc>
          <w:tcPr>
            <w:tcW w:w="1991" w:type="dxa"/>
            <w:vAlign w:val="center"/>
          </w:tcPr>
          <w:p w14:paraId="026851FA" w14:textId="5A588940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41,45</w:t>
            </w:r>
          </w:p>
        </w:tc>
        <w:tc>
          <w:tcPr>
            <w:tcW w:w="2284" w:type="dxa"/>
            <w:vAlign w:val="center"/>
          </w:tcPr>
          <w:p w14:paraId="31B95570" w14:textId="4E6868F3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23,77</w:t>
            </w:r>
          </w:p>
        </w:tc>
      </w:tr>
      <w:tr w:rsidR="001B72FD" w:rsidRPr="006D2805" w14:paraId="326B8B5C" w14:textId="77777777" w:rsidTr="00D70A25">
        <w:tc>
          <w:tcPr>
            <w:tcW w:w="2466" w:type="dxa"/>
          </w:tcPr>
          <w:p w14:paraId="6501BE85" w14:textId="168F14D0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 xml:space="preserve">Reabertura da China </w:t>
            </w:r>
            <w:proofErr w:type="spellStart"/>
            <w:r w:rsidRPr="006D2805">
              <w:rPr>
                <w:rFonts w:ascii="Arial" w:hAnsi="Arial" w:cs="Arial"/>
                <w:sz w:val="22"/>
                <w:szCs w:val="22"/>
              </w:rPr>
              <w:t>Pós-COVID</w:t>
            </w:r>
            <w:proofErr w:type="spellEnd"/>
          </w:p>
        </w:tc>
        <w:tc>
          <w:tcPr>
            <w:tcW w:w="1753" w:type="dxa"/>
            <w:vAlign w:val="center"/>
          </w:tcPr>
          <w:p w14:paraId="03BF61AE" w14:textId="499A1175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71,03</w:t>
            </w:r>
          </w:p>
        </w:tc>
        <w:tc>
          <w:tcPr>
            <w:tcW w:w="1991" w:type="dxa"/>
            <w:vAlign w:val="center"/>
          </w:tcPr>
          <w:p w14:paraId="3420CB0E" w14:textId="369CA0F4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color w:val="000000"/>
                <w:sz w:val="22"/>
                <w:szCs w:val="22"/>
              </w:rPr>
              <w:t>88,31</w:t>
            </w:r>
          </w:p>
        </w:tc>
        <w:tc>
          <w:tcPr>
            <w:tcW w:w="2284" w:type="dxa"/>
            <w:vAlign w:val="center"/>
          </w:tcPr>
          <w:p w14:paraId="0EF6F040" w14:textId="0A1E1D92" w:rsidR="001B72FD" w:rsidRPr="006D2805" w:rsidRDefault="001B72FD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17,28</w:t>
            </w:r>
          </w:p>
        </w:tc>
      </w:tr>
    </w:tbl>
    <w:p w14:paraId="7C9AC6D7" w14:textId="77777777" w:rsidR="00AD742C" w:rsidRPr="006D2805" w:rsidRDefault="00AD742C" w:rsidP="006D2805">
      <w:pPr>
        <w:jc w:val="both"/>
        <w:rPr>
          <w:rFonts w:ascii="Arial" w:hAnsi="Arial" w:cs="Arial"/>
        </w:rPr>
      </w:pPr>
    </w:p>
    <w:p w14:paraId="2E3F6882" w14:textId="77777777" w:rsidR="001D4D35" w:rsidRPr="006D2805" w:rsidRDefault="001D4D35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Os maiores impactos absolutos coincidem com eventos prolongados e/ou de grande magnitude, como guerras, transformações estruturais e crises globais.</w:t>
      </w:r>
    </w:p>
    <w:p w14:paraId="5559180E" w14:textId="77777777" w:rsidR="004242E6" w:rsidRPr="006D2805" w:rsidRDefault="004242E6" w:rsidP="006D2805">
      <w:pPr>
        <w:jc w:val="both"/>
        <w:rPr>
          <w:rFonts w:ascii="Arial" w:hAnsi="Arial" w:cs="Arial"/>
        </w:rPr>
      </w:pPr>
    </w:p>
    <w:p w14:paraId="58672114" w14:textId="1A2C6D0C" w:rsidR="004242E6" w:rsidRPr="006D2805" w:rsidRDefault="002428F3" w:rsidP="006D2805">
      <w:pPr>
        <w:jc w:val="both"/>
        <w:rPr>
          <w:rFonts w:ascii="Arial" w:hAnsi="Arial" w:cs="Arial"/>
          <w:b/>
          <w:bCs/>
        </w:rPr>
      </w:pPr>
      <w:r w:rsidRPr="006D2805">
        <w:rPr>
          <w:rFonts w:ascii="Arial" w:hAnsi="Arial" w:cs="Arial"/>
          <w:b/>
          <w:bCs/>
        </w:rPr>
        <w:t>3. Categorias de eventos mais impactantes</w:t>
      </w:r>
      <w:r w:rsidR="006E0AB9" w:rsidRPr="006D2805">
        <w:rPr>
          <w:rFonts w:ascii="Arial" w:hAnsi="Arial" w:cs="Arial"/>
          <w:b/>
          <w:bCs/>
        </w:rPr>
        <w:t xml:space="preserve"> – com base no</w:t>
      </w:r>
      <w:r w:rsidR="003D799D" w:rsidRPr="006D2805">
        <w:rPr>
          <w:rFonts w:ascii="Arial" w:hAnsi="Arial" w:cs="Arial"/>
          <w:b/>
          <w:bCs/>
        </w:rPr>
        <w:t>s 10 eventos com maior impacto</w:t>
      </w:r>
      <w:r w:rsidR="00560A4C" w:rsidRPr="006D2805">
        <w:rPr>
          <w:rFonts w:ascii="Arial" w:hAnsi="Arial" w:cs="Arial"/>
          <w:b/>
          <w:bCs/>
        </w:rPr>
        <w:t xml:space="preserve"> no preço</w:t>
      </w:r>
    </w:p>
    <w:p w14:paraId="7BD2BDE1" w14:textId="4751659D" w:rsidR="00D17C0B" w:rsidRPr="006D2805" w:rsidRDefault="00604698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 xml:space="preserve">Levando-se em consideração os 10 eventos com maior impacto </w:t>
      </w:r>
      <w:r w:rsidR="003D799D" w:rsidRPr="006D2805">
        <w:rPr>
          <w:rFonts w:ascii="Arial" w:hAnsi="Arial" w:cs="Arial"/>
        </w:rPr>
        <w:t>(análise gerada no tópico anterior), a</w:t>
      </w:r>
      <w:r w:rsidR="00D17C0B" w:rsidRPr="006D2805">
        <w:rPr>
          <w:rFonts w:ascii="Arial" w:hAnsi="Arial" w:cs="Arial"/>
        </w:rPr>
        <w:t xml:space="preserve"> média do impacto real por categoria de evento é: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7"/>
        <w:gridCol w:w="2185"/>
        <w:gridCol w:w="3112"/>
      </w:tblGrid>
      <w:tr w:rsidR="00870AF0" w:rsidRPr="006D2805" w14:paraId="16756CDD" w14:textId="77777777" w:rsidTr="0035719A">
        <w:tc>
          <w:tcPr>
            <w:tcW w:w="3197" w:type="dxa"/>
          </w:tcPr>
          <w:p w14:paraId="2A567CA3" w14:textId="6A2CFF12" w:rsidR="00870AF0" w:rsidRPr="006D2805" w:rsidRDefault="00870AF0" w:rsidP="006D2805">
            <w:pPr>
              <w:jc w:val="both"/>
              <w:rPr>
                <w:rFonts w:ascii="Arial" w:hAnsi="Arial" w:cs="Arial"/>
                <w:b/>
                <w:bCs/>
              </w:rPr>
            </w:pPr>
            <w:r w:rsidRPr="006D2805">
              <w:rPr>
                <w:rFonts w:ascii="Arial" w:hAnsi="Arial" w:cs="Arial"/>
                <w:b/>
                <w:bCs/>
              </w:rPr>
              <w:t>Categoria do Evento</w:t>
            </w:r>
          </w:p>
        </w:tc>
        <w:tc>
          <w:tcPr>
            <w:tcW w:w="2185" w:type="dxa"/>
          </w:tcPr>
          <w:p w14:paraId="66345713" w14:textId="281E2DF1" w:rsidR="00870AF0" w:rsidRPr="006D2805" w:rsidRDefault="00870AF0" w:rsidP="006D2805">
            <w:pPr>
              <w:jc w:val="both"/>
              <w:rPr>
                <w:rFonts w:ascii="Arial" w:hAnsi="Arial" w:cs="Arial"/>
                <w:b/>
                <w:bCs/>
              </w:rPr>
            </w:pPr>
            <w:r w:rsidRPr="006D2805">
              <w:rPr>
                <w:rFonts w:ascii="Arial" w:hAnsi="Arial" w:cs="Arial"/>
                <w:b/>
                <w:bCs/>
              </w:rPr>
              <w:t xml:space="preserve">Quantidade de Eventos </w:t>
            </w:r>
          </w:p>
        </w:tc>
        <w:tc>
          <w:tcPr>
            <w:tcW w:w="3112" w:type="dxa"/>
          </w:tcPr>
          <w:p w14:paraId="52F830D0" w14:textId="23D9663F" w:rsidR="00870AF0" w:rsidRPr="006D2805" w:rsidRDefault="00870AF0" w:rsidP="006D2805">
            <w:pPr>
              <w:jc w:val="both"/>
              <w:rPr>
                <w:rFonts w:ascii="Arial" w:hAnsi="Arial" w:cs="Arial"/>
                <w:b/>
                <w:bCs/>
              </w:rPr>
            </w:pPr>
            <w:r w:rsidRPr="006D2805">
              <w:rPr>
                <w:rFonts w:ascii="Arial" w:hAnsi="Arial" w:cs="Arial"/>
                <w:b/>
                <w:bCs/>
              </w:rPr>
              <w:t>Impacto Médio (US$)</w:t>
            </w:r>
          </w:p>
        </w:tc>
      </w:tr>
      <w:tr w:rsidR="002962FA" w:rsidRPr="006D2805" w14:paraId="05932ED5" w14:textId="77777777" w:rsidTr="00560A4C">
        <w:tc>
          <w:tcPr>
            <w:tcW w:w="3197" w:type="dxa"/>
          </w:tcPr>
          <w:p w14:paraId="3AFA2DD8" w14:textId="108DEEFB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 xml:space="preserve">Crises Econômicas Globais ou Regionais                </w:t>
            </w:r>
          </w:p>
        </w:tc>
        <w:tc>
          <w:tcPr>
            <w:tcW w:w="2185" w:type="dxa"/>
            <w:vAlign w:val="center"/>
          </w:tcPr>
          <w:p w14:paraId="2ABD7B6E" w14:textId="3015CF94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2</w:t>
            </w:r>
          </w:p>
        </w:tc>
        <w:tc>
          <w:tcPr>
            <w:tcW w:w="3112" w:type="dxa"/>
            <w:vAlign w:val="center"/>
          </w:tcPr>
          <w:p w14:paraId="4234FB22" w14:textId="18B41D6A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72,50</w:t>
            </w:r>
          </w:p>
        </w:tc>
      </w:tr>
      <w:tr w:rsidR="002962FA" w:rsidRPr="006D2805" w14:paraId="2A1A4780" w14:textId="77777777" w:rsidTr="00560A4C">
        <w:tc>
          <w:tcPr>
            <w:tcW w:w="3197" w:type="dxa"/>
          </w:tcPr>
          <w:p w14:paraId="31DE10D6" w14:textId="15C4468B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 xml:space="preserve">Transformações Estruturais no Mercado de Petróleo     </w:t>
            </w:r>
          </w:p>
        </w:tc>
        <w:tc>
          <w:tcPr>
            <w:tcW w:w="2185" w:type="dxa"/>
            <w:vAlign w:val="center"/>
          </w:tcPr>
          <w:p w14:paraId="73311DEE" w14:textId="55BB7EA5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2</w:t>
            </w:r>
          </w:p>
        </w:tc>
        <w:tc>
          <w:tcPr>
            <w:tcW w:w="3112" w:type="dxa"/>
            <w:vAlign w:val="center"/>
          </w:tcPr>
          <w:p w14:paraId="2F389E36" w14:textId="50D93C21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71,</w:t>
            </w:r>
            <w:r w:rsidRPr="006D2805">
              <w:rPr>
                <w:rFonts w:ascii="Arial" w:hAnsi="Arial" w:cs="Arial"/>
              </w:rPr>
              <w:t>39</w:t>
            </w:r>
          </w:p>
        </w:tc>
      </w:tr>
      <w:tr w:rsidR="002962FA" w:rsidRPr="006D2805" w14:paraId="0FF49DB3" w14:textId="77777777" w:rsidTr="00560A4C">
        <w:tc>
          <w:tcPr>
            <w:tcW w:w="3197" w:type="dxa"/>
          </w:tcPr>
          <w:p w14:paraId="4D35B0B9" w14:textId="70DCF7EB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 xml:space="preserve">Conflitos Geopolíticos e Guerras                      </w:t>
            </w:r>
          </w:p>
        </w:tc>
        <w:tc>
          <w:tcPr>
            <w:tcW w:w="2185" w:type="dxa"/>
            <w:vAlign w:val="center"/>
          </w:tcPr>
          <w:p w14:paraId="61990D17" w14:textId="7FDCD3B1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4</w:t>
            </w:r>
          </w:p>
        </w:tc>
        <w:tc>
          <w:tcPr>
            <w:tcW w:w="3112" w:type="dxa"/>
            <w:vAlign w:val="center"/>
          </w:tcPr>
          <w:p w14:paraId="1FC97E07" w14:textId="08A94A6E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63,88</w:t>
            </w:r>
          </w:p>
        </w:tc>
      </w:tr>
      <w:tr w:rsidR="002962FA" w:rsidRPr="006D2805" w14:paraId="71D13F7C" w14:textId="77777777" w:rsidTr="00560A4C">
        <w:tc>
          <w:tcPr>
            <w:tcW w:w="3197" w:type="dxa"/>
          </w:tcPr>
          <w:p w14:paraId="728B9461" w14:textId="57697557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 xml:space="preserve">Fatores de Incerteza ou Choques Pontuais              </w:t>
            </w:r>
          </w:p>
        </w:tc>
        <w:tc>
          <w:tcPr>
            <w:tcW w:w="2185" w:type="dxa"/>
            <w:vAlign w:val="center"/>
          </w:tcPr>
          <w:p w14:paraId="10E92BBE" w14:textId="16775CCC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2</w:t>
            </w:r>
          </w:p>
        </w:tc>
        <w:tc>
          <w:tcPr>
            <w:tcW w:w="3112" w:type="dxa"/>
            <w:vAlign w:val="center"/>
          </w:tcPr>
          <w:p w14:paraId="6FC84A24" w14:textId="38E4A8E9" w:rsidR="002962FA" w:rsidRPr="006D2805" w:rsidRDefault="002962FA" w:rsidP="006D2805">
            <w:pPr>
              <w:jc w:val="both"/>
              <w:rPr>
                <w:rFonts w:ascii="Arial" w:hAnsi="Arial" w:cs="Arial"/>
              </w:rPr>
            </w:pPr>
            <w:r w:rsidRPr="006D2805">
              <w:rPr>
                <w:rFonts w:ascii="Arial" w:hAnsi="Arial" w:cs="Arial"/>
              </w:rPr>
              <w:t>23,06</w:t>
            </w:r>
          </w:p>
        </w:tc>
      </w:tr>
    </w:tbl>
    <w:p w14:paraId="5ECB4B5C" w14:textId="77777777" w:rsidR="00D17C0B" w:rsidRPr="006D2805" w:rsidRDefault="00D17C0B" w:rsidP="006D2805">
      <w:pPr>
        <w:jc w:val="both"/>
        <w:rPr>
          <w:rFonts w:ascii="Arial" w:hAnsi="Arial" w:cs="Arial"/>
        </w:rPr>
      </w:pPr>
    </w:p>
    <w:p w14:paraId="7AF848D9" w14:textId="3D59CAA8" w:rsidR="009F5253" w:rsidRPr="006D2805" w:rsidRDefault="009F5253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Crises Econômicas e transformações estrutur</w:t>
      </w:r>
      <w:r w:rsidR="00946444" w:rsidRPr="006D2805">
        <w:rPr>
          <w:rFonts w:ascii="Arial" w:hAnsi="Arial" w:cs="Arial"/>
        </w:rPr>
        <w:t xml:space="preserve">ais são os eventos que mais movimentam o preço do petróleo Brent, </w:t>
      </w:r>
      <w:r w:rsidR="00560A4C" w:rsidRPr="006D2805">
        <w:rPr>
          <w:rFonts w:ascii="Arial" w:hAnsi="Arial" w:cs="Arial"/>
        </w:rPr>
        <w:t>s</w:t>
      </w:r>
      <w:r w:rsidR="00946444" w:rsidRPr="006D2805">
        <w:rPr>
          <w:rFonts w:ascii="Arial" w:hAnsi="Arial" w:cs="Arial"/>
        </w:rPr>
        <w:t xml:space="preserve">eguidos por Conflitos Geopolíticos ou </w:t>
      </w:r>
      <w:r w:rsidR="00560A4C" w:rsidRPr="006D2805">
        <w:rPr>
          <w:rFonts w:ascii="Arial" w:hAnsi="Arial" w:cs="Arial"/>
        </w:rPr>
        <w:t>G</w:t>
      </w:r>
      <w:r w:rsidR="00946444" w:rsidRPr="006D2805">
        <w:rPr>
          <w:rFonts w:ascii="Arial" w:hAnsi="Arial" w:cs="Arial"/>
        </w:rPr>
        <w:t>uerras. Fatores de Incerteza</w:t>
      </w:r>
      <w:r w:rsidR="001335C2" w:rsidRPr="006D2805">
        <w:rPr>
          <w:rFonts w:ascii="Arial" w:hAnsi="Arial" w:cs="Arial"/>
        </w:rPr>
        <w:t xml:space="preserve">, embora possam apresentar variações imediatas grandes e tenha um impacto também relevante, tendem a não </w:t>
      </w:r>
      <w:r w:rsidR="00014CF0" w:rsidRPr="006D2805">
        <w:rPr>
          <w:rFonts w:ascii="Arial" w:hAnsi="Arial" w:cs="Arial"/>
        </w:rPr>
        <w:t>prolongar o seu efeito.</w:t>
      </w:r>
    </w:p>
    <w:p w14:paraId="1DE7C734" w14:textId="77777777" w:rsidR="009C7A47" w:rsidRPr="006D2805" w:rsidRDefault="009C7A47" w:rsidP="006D2805">
      <w:pPr>
        <w:jc w:val="both"/>
        <w:rPr>
          <w:rFonts w:ascii="Arial" w:hAnsi="Arial" w:cs="Arial"/>
        </w:rPr>
      </w:pPr>
    </w:p>
    <w:p w14:paraId="0EB377DA" w14:textId="5E68CDE0" w:rsidR="007078A3" w:rsidRPr="006D2805" w:rsidRDefault="007078A3" w:rsidP="006D2805">
      <w:pPr>
        <w:jc w:val="both"/>
        <w:rPr>
          <w:rFonts w:ascii="Arial" w:hAnsi="Arial" w:cs="Arial"/>
          <w:b/>
          <w:bCs/>
        </w:rPr>
      </w:pPr>
      <w:r w:rsidRPr="006D2805">
        <w:rPr>
          <w:rFonts w:ascii="Arial" w:hAnsi="Arial" w:cs="Arial"/>
          <w:b/>
          <w:bCs/>
        </w:rPr>
        <w:t>4. Relação entre duração do evento e impacto</w:t>
      </w:r>
      <w:r w:rsidR="00FA276C" w:rsidRPr="006D2805">
        <w:rPr>
          <w:rFonts w:ascii="Arial" w:hAnsi="Arial" w:cs="Arial"/>
          <w:b/>
          <w:bCs/>
        </w:rPr>
        <w:t xml:space="preserve"> – avaliando todos os eventos do período</w:t>
      </w:r>
      <w:r w:rsidR="00624328" w:rsidRPr="006D2805">
        <w:rPr>
          <w:rFonts w:ascii="Arial" w:hAnsi="Arial" w:cs="Arial"/>
          <w:b/>
          <w:bCs/>
        </w:rPr>
        <w:t xml:space="preserve">. </w:t>
      </w:r>
    </w:p>
    <w:p w14:paraId="56559C37" w14:textId="77777777" w:rsidR="008C0736" w:rsidRPr="006D2805" w:rsidRDefault="008C0736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A análise mostra que eventos de longa duração tendem a apresentar maiores impactos absolutos, mas há exceções. Por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8"/>
        <w:gridCol w:w="2587"/>
        <w:gridCol w:w="2587"/>
      </w:tblGrid>
      <w:tr w:rsidR="00BC53C6" w:rsidRPr="006D2805" w14:paraId="738F6E05" w14:textId="77777777" w:rsidTr="00BC53C6">
        <w:trPr>
          <w:trHeight w:val="585"/>
        </w:trPr>
        <w:tc>
          <w:tcPr>
            <w:tcW w:w="2588" w:type="dxa"/>
          </w:tcPr>
          <w:p w14:paraId="38C0BBFB" w14:textId="638427CE" w:rsidR="00BC53C6" w:rsidRPr="006D2805" w:rsidRDefault="00BC53C6" w:rsidP="006D280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Categoria de Evento                                   </w:t>
            </w:r>
          </w:p>
        </w:tc>
        <w:tc>
          <w:tcPr>
            <w:tcW w:w="2587" w:type="dxa"/>
          </w:tcPr>
          <w:p w14:paraId="38C3E904" w14:textId="59F38C31" w:rsidR="00BC53C6" w:rsidRPr="006D2805" w:rsidRDefault="00BC53C6" w:rsidP="006D280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>Duração Média (dias)</w:t>
            </w:r>
          </w:p>
        </w:tc>
        <w:tc>
          <w:tcPr>
            <w:tcW w:w="2587" w:type="dxa"/>
          </w:tcPr>
          <w:p w14:paraId="54F865B9" w14:textId="6B14199A" w:rsidR="00BC53C6" w:rsidRPr="006D2805" w:rsidRDefault="00BC53C6" w:rsidP="006D280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>Impacto Médio</w:t>
            </w: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6D2805">
              <w:rPr>
                <w:rFonts w:ascii="Arial" w:hAnsi="Arial" w:cs="Arial"/>
                <w:b/>
                <w:bCs/>
                <w:sz w:val="22"/>
                <w:szCs w:val="22"/>
              </w:rPr>
              <w:t>(US$)</w:t>
            </w:r>
          </w:p>
        </w:tc>
      </w:tr>
      <w:tr w:rsidR="00BC53C6" w:rsidRPr="006D2805" w14:paraId="27C4DE37" w14:textId="77777777" w:rsidTr="00BC53C6">
        <w:trPr>
          <w:trHeight w:val="870"/>
        </w:trPr>
        <w:tc>
          <w:tcPr>
            <w:tcW w:w="2588" w:type="dxa"/>
          </w:tcPr>
          <w:p w14:paraId="607CA8E8" w14:textId="60515B93" w:rsidR="00BC53C6" w:rsidRPr="006D2805" w:rsidRDefault="00BC53C6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 xml:space="preserve">Conflitos Geopolíticos e Guerras </w:t>
            </w:r>
            <w:r w:rsidR="007013CA" w:rsidRPr="006D2805">
              <w:rPr>
                <w:rFonts w:ascii="Arial" w:hAnsi="Arial" w:cs="Arial"/>
                <w:sz w:val="22"/>
                <w:szCs w:val="22"/>
                <w:vertAlign w:val="superscript"/>
              </w:rPr>
              <w:t>(1)</w:t>
            </w:r>
            <w:r w:rsidRPr="006D2805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</w:p>
        </w:tc>
        <w:tc>
          <w:tcPr>
            <w:tcW w:w="2587" w:type="dxa"/>
          </w:tcPr>
          <w:p w14:paraId="309EADC0" w14:textId="77777777" w:rsidR="00BC53C6" w:rsidRPr="006D2805" w:rsidRDefault="00DA32E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1331</w:t>
            </w:r>
          </w:p>
          <w:p w14:paraId="3F8975A8" w14:textId="1850DA6C" w:rsidR="00DA32E3" w:rsidRPr="006D2805" w:rsidRDefault="00DA32E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7" w:type="dxa"/>
          </w:tcPr>
          <w:p w14:paraId="2968A61F" w14:textId="6B2E73F6" w:rsidR="00BC53C6" w:rsidRPr="006D2805" w:rsidRDefault="008E21D9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63,88</w:t>
            </w:r>
          </w:p>
        </w:tc>
      </w:tr>
      <w:tr w:rsidR="00BC53C6" w:rsidRPr="006D2805" w14:paraId="401F7146" w14:textId="77777777" w:rsidTr="006D2805">
        <w:trPr>
          <w:trHeight w:val="850"/>
        </w:trPr>
        <w:tc>
          <w:tcPr>
            <w:tcW w:w="2588" w:type="dxa"/>
          </w:tcPr>
          <w:p w14:paraId="468DB235" w14:textId="5B63AC56" w:rsidR="00BC53C6" w:rsidRPr="006D2805" w:rsidRDefault="00BC53C6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lastRenderedPageBreak/>
              <w:t xml:space="preserve">Transformações Estruturais no Mercado de Petróleo     </w:t>
            </w:r>
          </w:p>
        </w:tc>
        <w:tc>
          <w:tcPr>
            <w:tcW w:w="2587" w:type="dxa"/>
          </w:tcPr>
          <w:p w14:paraId="391F86B3" w14:textId="46428564" w:rsidR="00BC53C6" w:rsidRPr="006D2805" w:rsidRDefault="001962D0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 xml:space="preserve">757  </w:t>
            </w:r>
          </w:p>
        </w:tc>
        <w:tc>
          <w:tcPr>
            <w:tcW w:w="2587" w:type="dxa"/>
          </w:tcPr>
          <w:p w14:paraId="44FA6702" w14:textId="42696A81" w:rsidR="00BC53C6" w:rsidRPr="006D2805" w:rsidRDefault="001962D0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71,</w:t>
            </w:r>
            <w:r w:rsidR="00667BE5" w:rsidRPr="006D2805">
              <w:rPr>
                <w:rFonts w:ascii="Arial" w:hAnsi="Arial" w:cs="Arial"/>
                <w:sz w:val="22"/>
                <w:szCs w:val="22"/>
              </w:rPr>
              <w:t>39</w:t>
            </w:r>
            <w:r w:rsidRPr="006D2805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</w:p>
        </w:tc>
      </w:tr>
      <w:tr w:rsidR="00BC53C6" w:rsidRPr="006D2805" w14:paraId="79A6DA8C" w14:textId="77777777" w:rsidTr="006D2805">
        <w:trPr>
          <w:trHeight w:val="706"/>
        </w:trPr>
        <w:tc>
          <w:tcPr>
            <w:tcW w:w="2588" w:type="dxa"/>
          </w:tcPr>
          <w:p w14:paraId="11495EF4" w14:textId="6EBB29CD" w:rsidR="00BC53C6" w:rsidRPr="006D2805" w:rsidRDefault="00BC53C6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 xml:space="preserve">Crises Econômicas Globais ou Regionais                </w:t>
            </w:r>
          </w:p>
        </w:tc>
        <w:tc>
          <w:tcPr>
            <w:tcW w:w="2587" w:type="dxa"/>
          </w:tcPr>
          <w:p w14:paraId="6B8EF450" w14:textId="06C59DF6" w:rsidR="00BC53C6" w:rsidRPr="006D2805" w:rsidRDefault="000848C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377</w:t>
            </w:r>
          </w:p>
        </w:tc>
        <w:tc>
          <w:tcPr>
            <w:tcW w:w="2587" w:type="dxa"/>
          </w:tcPr>
          <w:p w14:paraId="46CC65EC" w14:textId="7873C603" w:rsidR="00BC53C6" w:rsidRPr="006D2805" w:rsidRDefault="001962D0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41,2</w:t>
            </w:r>
            <w:r w:rsidR="009639A7" w:rsidRPr="006D2805">
              <w:rPr>
                <w:rFonts w:ascii="Arial" w:hAnsi="Arial" w:cs="Arial"/>
                <w:sz w:val="22"/>
                <w:szCs w:val="22"/>
              </w:rPr>
              <w:t>4</w:t>
            </w:r>
            <w:r w:rsidRPr="006D2805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</w:p>
        </w:tc>
      </w:tr>
      <w:tr w:rsidR="00BC53C6" w:rsidRPr="006D2805" w14:paraId="490DBC87" w14:textId="77777777" w:rsidTr="00BC53C6">
        <w:trPr>
          <w:trHeight w:val="870"/>
        </w:trPr>
        <w:tc>
          <w:tcPr>
            <w:tcW w:w="2588" w:type="dxa"/>
          </w:tcPr>
          <w:p w14:paraId="111B32D6" w14:textId="78D4EB18" w:rsidR="00BC53C6" w:rsidRPr="006D2805" w:rsidRDefault="00BC53C6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 xml:space="preserve">Fatores de Incerteza ou Choques Pontuais </w:t>
            </w:r>
            <w:r w:rsidR="000834CA" w:rsidRPr="006D2805">
              <w:rPr>
                <w:rFonts w:ascii="Arial" w:hAnsi="Arial" w:cs="Arial"/>
                <w:sz w:val="22"/>
                <w:szCs w:val="22"/>
                <w:vertAlign w:val="superscript"/>
              </w:rPr>
              <w:t>(2)</w:t>
            </w:r>
            <w:r w:rsidRPr="006D2805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</w:tc>
        <w:tc>
          <w:tcPr>
            <w:tcW w:w="2587" w:type="dxa"/>
          </w:tcPr>
          <w:p w14:paraId="4F32FBB3" w14:textId="5197DED4" w:rsidR="00BC53C6" w:rsidRPr="006D2805" w:rsidRDefault="00AD5123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223</w:t>
            </w:r>
          </w:p>
        </w:tc>
        <w:tc>
          <w:tcPr>
            <w:tcW w:w="2587" w:type="dxa"/>
          </w:tcPr>
          <w:p w14:paraId="5B79E686" w14:textId="225CC045" w:rsidR="00BC53C6" w:rsidRPr="006D2805" w:rsidRDefault="00CC54A2" w:rsidP="006D28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805">
              <w:rPr>
                <w:rFonts w:ascii="Arial" w:hAnsi="Arial" w:cs="Arial"/>
                <w:sz w:val="22"/>
                <w:szCs w:val="22"/>
              </w:rPr>
              <w:t>23,06</w:t>
            </w:r>
          </w:p>
        </w:tc>
      </w:tr>
    </w:tbl>
    <w:p w14:paraId="2D56BBBB" w14:textId="79F91E07" w:rsidR="008C0736" w:rsidRPr="006D2805" w:rsidRDefault="00237BA4" w:rsidP="006D28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D2805">
        <w:rPr>
          <w:rFonts w:ascii="Arial" w:hAnsi="Arial" w:cs="Arial"/>
          <w:sz w:val="18"/>
          <w:szCs w:val="18"/>
        </w:rPr>
        <w:t>N</w:t>
      </w:r>
      <w:r w:rsidR="007013CA" w:rsidRPr="006D2805">
        <w:rPr>
          <w:rFonts w:ascii="Arial" w:hAnsi="Arial" w:cs="Arial"/>
          <w:sz w:val="18"/>
          <w:szCs w:val="18"/>
        </w:rPr>
        <w:t xml:space="preserve">esta categoria foram </w:t>
      </w:r>
      <w:r w:rsidR="00296C9C" w:rsidRPr="006D2805">
        <w:rPr>
          <w:rFonts w:ascii="Arial" w:hAnsi="Arial" w:cs="Arial"/>
          <w:sz w:val="18"/>
          <w:szCs w:val="18"/>
        </w:rPr>
        <w:t>desconsiderados</w:t>
      </w:r>
      <w:r w:rsidR="007013CA" w:rsidRPr="006D2805">
        <w:rPr>
          <w:rFonts w:ascii="Arial" w:hAnsi="Arial" w:cs="Arial"/>
          <w:sz w:val="18"/>
          <w:szCs w:val="18"/>
        </w:rPr>
        <w:t xml:space="preserve"> os eventos: </w:t>
      </w:r>
      <w:r w:rsidR="00C049FE" w:rsidRPr="006D2805">
        <w:rPr>
          <w:rFonts w:ascii="Arial" w:hAnsi="Arial" w:cs="Arial"/>
          <w:sz w:val="18"/>
          <w:szCs w:val="18"/>
        </w:rPr>
        <w:t xml:space="preserve"> Crise do Petróleo</w:t>
      </w:r>
      <w:r w:rsidR="00296C9C" w:rsidRPr="006D2805">
        <w:rPr>
          <w:rFonts w:ascii="Arial" w:hAnsi="Arial" w:cs="Arial"/>
          <w:sz w:val="18"/>
          <w:szCs w:val="18"/>
        </w:rPr>
        <w:t xml:space="preserve"> de 1973, </w:t>
      </w:r>
      <w:r w:rsidR="00C049FE" w:rsidRPr="006D2805">
        <w:rPr>
          <w:rFonts w:ascii="Arial" w:hAnsi="Arial" w:cs="Arial"/>
          <w:sz w:val="18"/>
          <w:szCs w:val="18"/>
        </w:rPr>
        <w:t>Revolução Iraniana</w:t>
      </w:r>
      <w:r w:rsidR="00296C9C" w:rsidRPr="006D2805">
        <w:rPr>
          <w:rFonts w:ascii="Arial" w:hAnsi="Arial" w:cs="Arial"/>
          <w:sz w:val="18"/>
          <w:szCs w:val="18"/>
        </w:rPr>
        <w:t>, Guerra do Irã – Iraque e Ataques à Saudi Aramco</w:t>
      </w:r>
      <w:r w:rsidR="00573462" w:rsidRPr="006D2805">
        <w:rPr>
          <w:rFonts w:ascii="Arial" w:hAnsi="Arial" w:cs="Arial"/>
          <w:sz w:val="18"/>
          <w:szCs w:val="18"/>
        </w:rPr>
        <w:t>.</w:t>
      </w:r>
      <w:r w:rsidR="00A43C50" w:rsidRPr="006D2805">
        <w:rPr>
          <w:rFonts w:ascii="Arial" w:hAnsi="Arial" w:cs="Arial"/>
          <w:sz w:val="18"/>
          <w:szCs w:val="18"/>
        </w:rPr>
        <w:t xml:space="preserve"> Para os três primeiros casos, não temos os dados do preço do petróleo, já que nossa base se inicia em 1987, e os eventos foram anteriores</w:t>
      </w:r>
      <w:r w:rsidR="002D5AB5" w:rsidRPr="006D2805">
        <w:rPr>
          <w:rFonts w:ascii="Arial" w:hAnsi="Arial" w:cs="Arial"/>
          <w:sz w:val="18"/>
          <w:szCs w:val="18"/>
        </w:rPr>
        <w:t xml:space="preserve">, já </w:t>
      </w:r>
      <w:r w:rsidR="00573462" w:rsidRPr="006D2805">
        <w:rPr>
          <w:rFonts w:ascii="Arial" w:hAnsi="Arial" w:cs="Arial"/>
          <w:sz w:val="18"/>
          <w:szCs w:val="18"/>
        </w:rPr>
        <w:t>os Ataques</w:t>
      </w:r>
      <w:r w:rsidR="002D5AB5" w:rsidRPr="006D2805">
        <w:rPr>
          <w:rFonts w:ascii="Arial" w:hAnsi="Arial" w:cs="Arial"/>
          <w:sz w:val="18"/>
          <w:szCs w:val="18"/>
        </w:rPr>
        <w:t xml:space="preserve"> </w:t>
      </w:r>
      <w:r w:rsidR="00573462" w:rsidRPr="006D2805">
        <w:rPr>
          <w:rFonts w:ascii="Arial" w:hAnsi="Arial" w:cs="Arial"/>
          <w:sz w:val="18"/>
          <w:szCs w:val="18"/>
        </w:rPr>
        <w:t>a</w:t>
      </w:r>
      <w:r w:rsidR="002D5AB5" w:rsidRPr="006D2805">
        <w:rPr>
          <w:rFonts w:ascii="Arial" w:hAnsi="Arial" w:cs="Arial"/>
          <w:sz w:val="18"/>
          <w:szCs w:val="18"/>
        </w:rPr>
        <w:t xml:space="preserve"> </w:t>
      </w:r>
      <w:r w:rsidR="00573462" w:rsidRPr="006D2805">
        <w:rPr>
          <w:rFonts w:ascii="Arial" w:hAnsi="Arial" w:cs="Arial"/>
          <w:sz w:val="18"/>
          <w:szCs w:val="18"/>
        </w:rPr>
        <w:t>Saudi Aramco</w:t>
      </w:r>
      <w:r w:rsidR="00A43C50" w:rsidRPr="006D2805">
        <w:rPr>
          <w:rFonts w:ascii="Arial" w:hAnsi="Arial" w:cs="Arial"/>
          <w:sz w:val="18"/>
          <w:szCs w:val="18"/>
        </w:rPr>
        <w:t xml:space="preserve">, </w:t>
      </w:r>
      <w:r w:rsidR="00C653E3" w:rsidRPr="006D2805">
        <w:rPr>
          <w:rFonts w:ascii="Arial" w:hAnsi="Arial" w:cs="Arial"/>
          <w:sz w:val="18"/>
          <w:szCs w:val="18"/>
        </w:rPr>
        <w:t xml:space="preserve">são considerados como duração de </w:t>
      </w:r>
      <w:r w:rsidR="00A43C50" w:rsidRPr="006D2805">
        <w:rPr>
          <w:rFonts w:ascii="Arial" w:hAnsi="Arial" w:cs="Arial"/>
          <w:sz w:val="18"/>
          <w:szCs w:val="18"/>
        </w:rPr>
        <w:t>duração de 1 único dia</w:t>
      </w:r>
      <w:r w:rsidR="00C653E3" w:rsidRPr="006D2805">
        <w:rPr>
          <w:rFonts w:ascii="Arial" w:hAnsi="Arial" w:cs="Arial"/>
          <w:sz w:val="18"/>
          <w:szCs w:val="18"/>
        </w:rPr>
        <w:t>, o que distorceria os resultados.</w:t>
      </w:r>
    </w:p>
    <w:p w14:paraId="562E5FCA" w14:textId="286B0F25" w:rsidR="000834CA" w:rsidRPr="006D2805" w:rsidRDefault="00237BA4" w:rsidP="006D28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6D2805">
        <w:rPr>
          <w:rFonts w:ascii="Arial" w:hAnsi="Arial" w:cs="Arial"/>
          <w:sz w:val="18"/>
          <w:szCs w:val="18"/>
        </w:rPr>
        <w:t>N</w:t>
      </w:r>
      <w:r w:rsidR="000834CA" w:rsidRPr="006D2805">
        <w:rPr>
          <w:rFonts w:ascii="Arial" w:hAnsi="Arial" w:cs="Arial"/>
          <w:sz w:val="18"/>
          <w:szCs w:val="18"/>
        </w:rPr>
        <w:t>esta categoria foi desconsiderado o evento dos ataques de 11 de se</w:t>
      </w:r>
      <w:r w:rsidR="00256975" w:rsidRPr="006D2805">
        <w:rPr>
          <w:rFonts w:ascii="Arial" w:hAnsi="Arial" w:cs="Arial"/>
          <w:sz w:val="18"/>
          <w:szCs w:val="18"/>
        </w:rPr>
        <w:t xml:space="preserve">tembro, pois são considerados como duração de 1 único dia, o que </w:t>
      </w:r>
      <w:r w:rsidRPr="006D2805">
        <w:rPr>
          <w:rFonts w:ascii="Arial" w:hAnsi="Arial" w:cs="Arial"/>
          <w:sz w:val="18"/>
          <w:szCs w:val="18"/>
        </w:rPr>
        <w:t>distorceria</w:t>
      </w:r>
      <w:r w:rsidR="00256975" w:rsidRPr="006D2805">
        <w:rPr>
          <w:rFonts w:ascii="Arial" w:hAnsi="Arial" w:cs="Arial"/>
          <w:sz w:val="18"/>
          <w:szCs w:val="18"/>
        </w:rPr>
        <w:t xml:space="preserve"> os </w:t>
      </w:r>
      <w:r w:rsidRPr="006D2805">
        <w:rPr>
          <w:rFonts w:ascii="Arial" w:hAnsi="Arial" w:cs="Arial"/>
          <w:sz w:val="18"/>
          <w:szCs w:val="18"/>
        </w:rPr>
        <w:t>resultados</w:t>
      </w:r>
    </w:p>
    <w:p w14:paraId="22222E76" w14:textId="77777777" w:rsidR="006B3E17" w:rsidRPr="006D2805" w:rsidRDefault="006B3E17" w:rsidP="006D2805">
      <w:pPr>
        <w:jc w:val="both"/>
        <w:rPr>
          <w:rFonts w:ascii="Arial" w:hAnsi="Arial" w:cs="Arial"/>
        </w:rPr>
      </w:pPr>
    </w:p>
    <w:p w14:paraId="2A0C6C3D" w14:textId="5B93EFC7" w:rsidR="008C0736" w:rsidRPr="006D2805" w:rsidRDefault="008C0736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Eventos mais longos, como guerras e transformações estruturais, tendem a gerar maiores oscilações acumuladas, enquanto choques pontuais têm impacto mais limitado, mas podem ser relevantes dependendo do contexto.</w:t>
      </w:r>
      <w:r w:rsidR="007E2162" w:rsidRPr="006D2805">
        <w:rPr>
          <w:rFonts w:ascii="Arial" w:hAnsi="Arial" w:cs="Arial"/>
        </w:rPr>
        <w:br/>
      </w:r>
    </w:p>
    <w:p w14:paraId="2A8E4E41" w14:textId="3FF33A80" w:rsidR="00053F56" w:rsidRPr="006D2805" w:rsidRDefault="006B3E17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 xml:space="preserve">Pontos de Atenção: </w:t>
      </w:r>
    </w:p>
    <w:p w14:paraId="305CE2D0" w14:textId="5AFE01F5" w:rsidR="00053F56" w:rsidRPr="006D2805" w:rsidRDefault="00053F56" w:rsidP="006D280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Guerra do Iraque: duração longa (quase 9 anos), impacto absoluto muito alto.</w:t>
      </w:r>
    </w:p>
    <w:p w14:paraId="76761F2C" w14:textId="0B04752A" w:rsidR="00053F56" w:rsidRPr="006D2805" w:rsidRDefault="00053F56" w:rsidP="006D280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Pandemia de COVID-19: duração relativamente curta, mas impacto elevado.</w:t>
      </w:r>
    </w:p>
    <w:p w14:paraId="2C96E47B" w14:textId="1172FB1D" w:rsidR="00053F56" w:rsidRDefault="00053F56" w:rsidP="006D280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 xml:space="preserve">Reabertura da China </w:t>
      </w:r>
      <w:proofErr w:type="spellStart"/>
      <w:r w:rsidRPr="006D2805">
        <w:rPr>
          <w:rFonts w:ascii="Arial" w:hAnsi="Arial" w:cs="Arial"/>
        </w:rPr>
        <w:t>Pós-COVID</w:t>
      </w:r>
      <w:proofErr w:type="spellEnd"/>
      <w:r w:rsidRPr="006D2805">
        <w:rPr>
          <w:rFonts w:ascii="Arial" w:hAnsi="Arial" w:cs="Arial"/>
        </w:rPr>
        <w:t>: curta duração, impacto menor.</w:t>
      </w:r>
    </w:p>
    <w:p w14:paraId="3DD1A39E" w14:textId="77777777" w:rsidR="008D5AF6" w:rsidRPr="006D2805" w:rsidRDefault="008D5AF6" w:rsidP="008D5AF6">
      <w:pPr>
        <w:pStyle w:val="PargrafodaLista"/>
        <w:jc w:val="both"/>
        <w:rPr>
          <w:rFonts w:ascii="Arial" w:hAnsi="Arial" w:cs="Arial"/>
        </w:rPr>
      </w:pPr>
    </w:p>
    <w:p w14:paraId="33C80226" w14:textId="5523A22C" w:rsidR="00053F56" w:rsidRDefault="008D5AF6" w:rsidP="006D2805">
      <w:pPr>
        <w:jc w:val="both"/>
        <w:rPr>
          <w:rFonts w:ascii="Arial" w:hAnsi="Arial" w:cs="Arial"/>
        </w:rPr>
      </w:pPr>
      <w:r w:rsidRPr="006D2805">
        <w:rPr>
          <w:rFonts w:ascii="Arial" w:hAnsi="Arial" w:cs="Arial"/>
        </w:rPr>
        <w:t>Não existe uma relação linear, a intensidade do evento é tão ou mais importante que a sua duração.</w:t>
      </w:r>
    </w:p>
    <w:p w14:paraId="2773005F" w14:textId="77777777" w:rsidR="003C64D8" w:rsidRDefault="003C64D8" w:rsidP="006D2805">
      <w:pPr>
        <w:jc w:val="both"/>
        <w:rPr>
          <w:rFonts w:ascii="Arial" w:hAnsi="Arial" w:cs="Arial"/>
        </w:rPr>
      </w:pPr>
    </w:p>
    <w:p w14:paraId="57C2C069" w14:textId="5D232DB9" w:rsidR="003C64D8" w:rsidRDefault="003C64D8" w:rsidP="006D2805">
      <w:pPr>
        <w:jc w:val="both"/>
        <w:rPr>
          <w:rFonts w:ascii="Arial" w:hAnsi="Arial" w:cs="Arial"/>
        </w:rPr>
      </w:pPr>
      <w:r w:rsidRPr="004F692B">
        <w:rPr>
          <w:rFonts w:ascii="Arial" w:hAnsi="Arial" w:cs="Arial"/>
          <w:b/>
          <w:bCs/>
        </w:rPr>
        <w:t>Conclusão</w:t>
      </w:r>
      <w:r>
        <w:rPr>
          <w:rFonts w:ascii="Arial" w:hAnsi="Arial" w:cs="Arial"/>
        </w:rPr>
        <w:t xml:space="preserve">: </w:t>
      </w:r>
    </w:p>
    <w:p w14:paraId="2F2CA3B7" w14:textId="2C50164A" w:rsidR="003C64D8" w:rsidRPr="006D2805" w:rsidRDefault="003C64D8" w:rsidP="006D2805">
      <w:pPr>
        <w:jc w:val="both"/>
        <w:rPr>
          <w:rFonts w:ascii="Arial" w:hAnsi="Arial" w:cs="Arial"/>
        </w:rPr>
      </w:pPr>
      <w:r w:rsidRPr="003C64D8">
        <w:rPr>
          <w:rFonts w:ascii="Arial" w:hAnsi="Arial" w:cs="Arial"/>
        </w:rPr>
        <w:t>O comportamento do Brent é altamente sensível a eventos globais, com grandes oscilações associadas a guerras, transformações estruturais no mercado e crises econômicas. Transformações estruturais e conflitos geopolíticos são, em média, os eventos mais impactantes. O tempo de recuperação do preço após grandes choques é longo, frequentemente superior a uma década, indicando que choques desse porte alteram de forma duradoura o patamar de preço do Brent. A duração do evento está relacionada ao impacto acumulado, mas choques pontuais também podem provocar movimentos bruscos. O monitoramento contínuo do contexto global e das tendências estruturais é fundamental para antecipar movimentos do Brent.</w:t>
      </w:r>
    </w:p>
    <w:sectPr w:rsidR="003C64D8" w:rsidRPr="006D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1B567" w14:textId="77777777" w:rsidR="006D2805" w:rsidRDefault="006D2805" w:rsidP="006D2805">
      <w:pPr>
        <w:spacing w:after="0" w:line="240" w:lineRule="auto"/>
      </w:pPr>
      <w:r>
        <w:separator/>
      </w:r>
    </w:p>
  </w:endnote>
  <w:endnote w:type="continuationSeparator" w:id="0">
    <w:p w14:paraId="0B4CB602" w14:textId="77777777" w:rsidR="006D2805" w:rsidRDefault="006D2805" w:rsidP="006D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FC1C3" w14:textId="77777777" w:rsidR="006D2805" w:rsidRDefault="006D2805" w:rsidP="006D2805">
      <w:pPr>
        <w:spacing w:after="0" w:line="240" w:lineRule="auto"/>
      </w:pPr>
      <w:r>
        <w:separator/>
      </w:r>
    </w:p>
  </w:footnote>
  <w:footnote w:type="continuationSeparator" w:id="0">
    <w:p w14:paraId="5E6BE555" w14:textId="77777777" w:rsidR="006D2805" w:rsidRDefault="006D2805" w:rsidP="006D2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4D81"/>
    <w:multiLevelType w:val="hybridMultilevel"/>
    <w:tmpl w:val="3D1470DA"/>
    <w:lvl w:ilvl="0" w:tplc="48E01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4293"/>
    <w:multiLevelType w:val="hybridMultilevel"/>
    <w:tmpl w:val="83109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11AE"/>
    <w:multiLevelType w:val="hybridMultilevel"/>
    <w:tmpl w:val="CD606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641875">
    <w:abstractNumId w:val="1"/>
  </w:num>
  <w:num w:numId="2" w16cid:durableId="619923571">
    <w:abstractNumId w:val="0"/>
  </w:num>
  <w:num w:numId="3" w16cid:durableId="181044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16"/>
    <w:rsid w:val="00014CF0"/>
    <w:rsid w:val="00053F56"/>
    <w:rsid w:val="000834CA"/>
    <w:rsid w:val="000848C3"/>
    <w:rsid w:val="00123E2D"/>
    <w:rsid w:val="001335C2"/>
    <w:rsid w:val="00183E96"/>
    <w:rsid w:val="001962D0"/>
    <w:rsid w:val="001B72FD"/>
    <w:rsid w:val="001D4D35"/>
    <w:rsid w:val="00237BA4"/>
    <w:rsid w:val="002428F3"/>
    <w:rsid w:val="00256975"/>
    <w:rsid w:val="002962FA"/>
    <w:rsid w:val="00296C9C"/>
    <w:rsid w:val="002D5AB5"/>
    <w:rsid w:val="002E22AA"/>
    <w:rsid w:val="00310D2E"/>
    <w:rsid w:val="0035719A"/>
    <w:rsid w:val="00374CFA"/>
    <w:rsid w:val="00376252"/>
    <w:rsid w:val="003A1316"/>
    <w:rsid w:val="003C4241"/>
    <w:rsid w:val="003C64D8"/>
    <w:rsid w:val="003D799D"/>
    <w:rsid w:val="004242E6"/>
    <w:rsid w:val="004F692B"/>
    <w:rsid w:val="00560A4C"/>
    <w:rsid w:val="005626C8"/>
    <w:rsid w:val="00573462"/>
    <w:rsid w:val="00604698"/>
    <w:rsid w:val="00624328"/>
    <w:rsid w:val="00635EE5"/>
    <w:rsid w:val="006360F4"/>
    <w:rsid w:val="00667BE5"/>
    <w:rsid w:val="00674E63"/>
    <w:rsid w:val="006B3E17"/>
    <w:rsid w:val="006D2805"/>
    <w:rsid w:val="006E0AB9"/>
    <w:rsid w:val="007013CA"/>
    <w:rsid w:val="007078A3"/>
    <w:rsid w:val="0072689F"/>
    <w:rsid w:val="00755138"/>
    <w:rsid w:val="00785430"/>
    <w:rsid w:val="007E2162"/>
    <w:rsid w:val="007F5EBA"/>
    <w:rsid w:val="00870AF0"/>
    <w:rsid w:val="008B09E2"/>
    <w:rsid w:val="008B1BD9"/>
    <w:rsid w:val="008C0736"/>
    <w:rsid w:val="008C51F1"/>
    <w:rsid w:val="008D5AF6"/>
    <w:rsid w:val="008E21D9"/>
    <w:rsid w:val="00946444"/>
    <w:rsid w:val="009639A7"/>
    <w:rsid w:val="009754A8"/>
    <w:rsid w:val="009C7A47"/>
    <w:rsid w:val="009F5253"/>
    <w:rsid w:val="00A24228"/>
    <w:rsid w:val="00A43C50"/>
    <w:rsid w:val="00AD5123"/>
    <w:rsid w:val="00AD742C"/>
    <w:rsid w:val="00B94AE2"/>
    <w:rsid w:val="00BC53C6"/>
    <w:rsid w:val="00C049FE"/>
    <w:rsid w:val="00C23E3E"/>
    <w:rsid w:val="00C653E3"/>
    <w:rsid w:val="00CC54A2"/>
    <w:rsid w:val="00D15882"/>
    <w:rsid w:val="00D17C0B"/>
    <w:rsid w:val="00D70A25"/>
    <w:rsid w:val="00DA32E3"/>
    <w:rsid w:val="00DE1C0A"/>
    <w:rsid w:val="00E715B6"/>
    <w:rsid w:val="00ED0729"/>
    <w:rsid w:val="00ED3D5F"/>
    <w:rsid w:val="00F94A57"/>
    <w:rsid w:val="00F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6478"/>
  <w15:chartTrackingRefBased/>
  <w15:docId w15:val="{360B7554-085E-4378-A46A-1E0DB605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1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1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1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1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1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1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1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1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1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1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131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D2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05"/>
  </w:style>
  <w:style w:type="paragraph" w:styleId="Rodap">
    <w:name w:val="footer"/>
    <w:basedOn w:val="Normal"/>
    <w:link w:val="RodapChar"/>
    <w:uiPriority w:val="99"/>
    <w:unhideWhenUsed/>
    <w:rsid w:val="006D2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74FC-4E87-404A-AAF0-E72149FB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Meneghello</dc:creator>
  <cp:keywords/>
  <dc:description/>
  <cp:lastModifiedBy>Daniela Meneghello</cp:lastModifiedBy>
  <cp:revision>56</cp:revision>
  <dcterms:created xsi:type="dcterms:W3CDTF">2025-05-18T16:16:00Z</dcterms:created>
  <dcterms:modified xsi:type="dcterms:W3CDTF">2025-05-18T18:50:00Z</dcterms:modified>
</cp:coreProperties>
</file>