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CE75B">
      <w:pPr>
        <w:pStyle w:val="3"/>
        <w:spacing w:line="480" w:lineRule="auto"/>
        <w:jc w:val="center"/>
        <w:rPr>
          <w:sz w:val="36"/>
          <w:szCs w:val="36"/>
        </w:rPr>
      </w:pPr>
      <w:bookmarkStart w:id="0" w:name="_Toc5780"/>
      <w:r>
        <w:rPr>
          <w:sz w:val="36"/>
          <w:szCs w:val="36"/>
        </w:rPr>
        <w:t>User Guide</w:t>
      </w:r>
      <w:bookmarkEnd w:id="0"/>
      <w:bookmarkStart w:id="19" w:name="_GoBack"/>
      <w:bookmarkEnd w:id="19"/>
    </w:p>
    <w:sdt>
      <w:sdtPr>
        <w:rPr>
          <w:rFonts w:ascii="SimSun" w:hAnsi="SimSun" w:eastAsia="SimSun" w:cstheme="minorBidi"/>
          <w:color w:val="auto"/>
          <w:sz w:val="32"/>
          <w:szCs w:val="36"/>
          <w:lang w:val="en-US" w:eastAsia="en-US" w:bidi="ar-SA"/>
        </w:rPr>
        <w:id w:val="147454509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en-US" w:bidi="ar-SA"/>
        </w:rPr>
      </w:sdtEndPr>
      <w:sdtContent>
        <w:p w14:paraId="4243432F">
          <w:pPr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rPr>
              <w:rFonts w:hint="default"/>
              <w:color w:val="auto"/>
              <w:sz w:val="36"/>
              <w:szCs w:val="36"/>
              <w:lang w:val="en-US"/>
            </w:rPr>
          </w:pPr>
          <w:r>
            <w:rPr>
              <w:rFonts w:hint="default" w:ascii="Arial" w:hAnsi="Arial" w:eastAsia="SimSun" w:cs="Arial"/>
              <w:color w:val="4F80BD"/>
              <w:sz w:val="32"/>
              <w:szCs w:val="36"/>
              <w:lang w:val="en-US" w:eastAsia="en-US" w:bidi="ar-SA"/>
            </w:rPr>
            <w:t>Content</w:t>
          </w:r>
        </w:p>
        <w:p w14:paraId="2E91ADE2">
          <w:pPr>
            <w:pStyle w:val="27"/>
            <w:tabs>
              <w:tab w:val="right" w:leader="dot" w:pos="8640"/>
            </w:tabs>
            <w:rPr>
              <w:color w:val="0070C0"/>
            </w:rPr>
          </w:pP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TOC \o "1-3" \h \u </w:instrText>
          </w:r>
          <w:r>
            <w:rPr>
              <w:color w:val="0070C0"/>
            </w:rPr>
            <w:fldChar w:fldCharType="separate"/>
          </w: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HYPERLINK \l _Toc5780 </w:instrText>
          </w:r>
          <w:r>
            <w:rPr>
              <w:color w:val="0070C0"/>
            </w:rPr>
            <w:fldChar w:fldCharType="separate"/>
          </w:r>
          <w:r>
            <w:rPr>
              <w:color w:val="0070C0"/>
              <w:szCs w:val="36"/>
            </w:rPr>
            <w:t>Autoencoder + Clustering Pipeline — User Guide</w:t>
          </w:r>
          <w:r>
            <w:rPr>
              <w:color w:val="0070C0"/>
            </w:rPr>
            <w:tab/>
          </w: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PAGEREF _Toc5780 \h </w:instrText>
          </w:r>
          <w:r>
            <w:rPr>
              <w:color w:val="0070C0"/>
            </w:rPr>
            <w:fldChar w:fldCharType="separate"/>
          </w:r>
          <w:r>
            <w:rPr>
              <w:color w:val="0070C0"/>
            </w:rPr>
            <w:t>1</w:t>
          </w:r>
          <w:r>
            <w:rPr>
              <w:color w:val="0070C0"/>
            </w:rPr>
            <w:fldChar w:fldCharType="end"/>
          </w:r>
          <w:r>
            <w:rPr>
              <w:color w:val="0070C0"/>
            </w:rPr>
            <w:fldChar w:fldCharType="end"/>
          </w:r>
        </w:p>
        <w:p w14:paraId="7D12DE99">
          <w:pPr>
            <w:pStyle w:val="30"/>
            <w:tabs>
              <w:tab w:val="right" w:leader="dot" w:pos="8640"/>
            </w:tabs>
            <w:rPr>
              <w:color w:val="0070C0"/>
            </w:rPr>
          </w:pP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HYPERLINK \l _Toc6420 </w:instrText>
          </w:r>
          <w:r>
            <w:rPr>
              <w:color w:val="0070C0"/>
            </w:rPr>
            <w:fldChar w:fldCharType="separate"/>
          </w:r>
          <w:r>
            <w:rPr>
              <w:color w:val="0070C0"/>
            </w:rPr>
            <w:t>What this pipeline does</w:t>
          </w:r>
          <w:r>
            <w:rPr>
              <w:color w:val="0070C0"/>
            </w:rPr>
            <w:tab/>
          </w: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PAGEREF _Toc6420 \h </w:instrText>
          </w:r>
          <w:r>
            <w:rPr>
              <w:color w:val="0070C0"/>
            </w:rPr>
            <w:fldChar w:fldCharType="separate"/>
          </w:r>
          <w:r>
            <w:rPr>
              <w:color w:val="0070C0"/>
            </w:rPr>
            <w:t>2</w:t>
          </w:r>
          <w:r>
            <w:rPr>
              <w:color w:val="0070C0"/>
            </w:rPr>
            <w:fldChar w:fldCharType="end"/>
          </w:r>
          <w:r>
            <w:rPr>
              <w:color w:val="0070C0"/>
            </w:rPr>
            <w:fldChar w:fldCharType="end"/>
          </w:r>
        </w:p>
        <w:p w14:paraId="277CA988">
          <w:pPr>
            <w:pStyle w:val="30"/>
            <w:tabs>
              <w:tab w:val="right" w:leader="dot" w:pos="8640"/>
            </w:tabs>
            <w:rPr>
              <w:color w:val="0070C0"/>
            </w:rPr>
          </w:pP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HYPERLINK \l _Toc9286 </w:instrText>
          </w:r>
          <w:r>
            <w:rPr>
              <w:color w:val="0070C0"/>
            </w:rPr>
            <w:fldChar w:fldCharType="separate"/>
          </w:r>
          <w:r>
            <w:rPr>
              <w:color w:val="0070C0"/>
            </w:rPr>
            <w:t>Before you begin</w:t>
          </w:r>
          <w:r>
            <w:rPr>
              <w:color w:val="0070C0"/>
            </w:rPr>
            <w:tab/>
          </w: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PAGEREF _Toc9286 \h </w:instrText>
          </w:r>
          <w:r>
            <w:rPr>
              <w:color w:val="0070C0"/>
            </w:rPr>
            <w:fldChar w:fldCharType="separate"/>
          </w:r>
          <w:r>
            <w:rPr>
              <w:color w:val="0070C0"/>
            </w:rPr>
            <w:t>2</w:t>
          </w:r>
          <w:r>
            <w:rPr>
              <w:color w:val="0070C0"/>
            </w:rPr>
            <w:fldChar w:fldCharType="end"/>
          </w:r>
          <w:r>
            <w:rPr>
              <w:color w:val="0070C0"/>
            </w:rPr>
            <w:fldChar w:fldCharType="end"/>
          </w:r>
        </w:p>
        <w:p w14:paraId="37167287">
          <w:pPr>
            <w:pStyle w:val="30"/>
            <w:tabs>
              <w:tab w:val="right" w:leader="dot" w:pos="8640"/>
            </w:tabs>
            <w:rPr>
              <w:color w:val="0070C0"/>
            </w:rPr>
          </w:pP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HYPERLINK \l _Toc22799 </w:instrText>
          </w:r>
          <w:r>
            <w:rPr>
              <w:color w:val="0070C0"/>
            </w:rPr>
            <w:fldChar w:fldCharType="separate"/>
          </w:r>
          <w:r>
            <w:rPr>
              <w:color w:val="0070C0"/>
            </w:rPr>
            <w:t>Files in the repository</w:t>
          </w:r>
          <w:r>
            <w:rPr>
              <w:color w:val="0070C0"/>
            </w:rPr>
            <w:tab/>
          </w: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PAGEREF _Toc22799 \h </w:instrText>
          </w:r>
          <w:r>
            <w:rPr>
              <w:color w:val="0070C0"/>
            </w:rPr>
            <w:fldChar w:fldCharType="separate"/>
          </w:r>
          <w:r>
            <w:rPr>
              <w:color w:val="0070C0"/>
            </w:rPr>
            <w:t>2</w:t>
          </w:r>
          <w:r>
            <w:rPr>
              <w:color w:val="0070C0"/>
            </w:rPr>
            <w:fldChar w:fldCharType="end"/>
          </w:r>
          <w:r>
            <w:rPr>
              <w:color w:val="0070C0"/>
            </w:rPr>
            <w:fldChar w:fldCharType="end"/>
          </w:r>
        </w:p>
        <w:p w14:paraId="157815C5">
          <w:pPr>
            <w:pStyle w:val="30"/>
            <w:tabs>
              <w:tab w:val="right" w:leader="dot" w:pos="8640"/>
            </w:tabs>
            <w:rPr>
              <w:color w:val="0070C0"/>
            </w:rPr>
          </w:pP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HYPERLINK \l _Toc19530 </w:instrText>
          </w:r>
          <w:r>
            <w:rPr>
              <w:color w:val="0070C0"/>
            </w:rPr>
            <w:fldChar w:fldCharType="separate"/>
          </w:r>
          <w:r>
            <w:rPr>
              <w:color w:val="0070C0"/>
            </w:rPr>
            <w:t>Part 1 — Preprocessing (preprocess.py)</w:t>
          </w:r>
          <w:r>
            <w:rPr>
              <w:color w:val="0070C0"/>
            </w:rPr>
            <w:tab/>
          </w: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PAGEREF _Toc19530 \h </w:instrText>
          </w:r>
          <w:r>
            <w:rPr>
              <w:color w:val="0070C0"/>
            </w:rPr>
            <w:fldChar w:fldCharType="separate"/>
          </w:r>
          <w:r>
            <w:rPr>
              <w:color w:val="0070C0"/>
            </w:rPr>
            <w:t>2</w:t>
          </w:r>
          <w:r>
            <w:rPr>
              <w:color w:val="0070C0"/>
            </w:rPr>
            <w:fldChar w:fldCharType="end"/>
          </w:r>
          <w:r>
            <w:rPr>
              <w:color w:val="0070C0"/>
            </w:rPr>
            <w:fldChar w:fldCharType="end"/>
          </w:r>
        </w:p>
        <w:p w14:paraId="64442B80">
          <w:pPr>
            <w:pStyle w:val="24"/>
            <w:tabs>
              <w:tab w:val="right" w:leader="dot" w:pos="8640"/>
            </w:tabs>
            <w:rPr>
              <w:color w:val="0070C0"/>
            </w:rPr>
          </w:pP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HYPERLINK \l _Toc16323 </w:instrText>
          </w:r>
          <w:r>
            <w:rPr>
              <w:color w:val="0070C0"/>
            </w:rPr>
            <w:fldChar w:fldCharType="separate"/>
          </w:r>
          <w:r>
            <w:rPr>
              <w:rFonts w:hint="default"/>
              <w:color w:val="0070C0"/>
              <w:lang w:val="en-US"/>
            </w:rPr>
            <w:t>Preprocessing process</w:t>
          </w:r>
          <w:r>
            <w:rPr>
              <w:color w:val="0070C0"/>
            </w:rPr>
            <w:tab/>
          </w: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PAGEREF _Toc16323 \h </w:instrText>
          </w:r>
          <w:r>
            <w:rPr>
              <w:color w:val="0070C0"/>
            </w:rPr>
            <w:fldChar w:fldCharType="separate"/>
          </w:r>
          <w:r>
            <w:rPr>
              <w:color w:val="0070C0"/>
            </w:rPr>
            <w:t>2</w:t>
          </w:r>
          <w:r>
            <w:rPr>
              <w:color w:val="0070C0"/>
            </w:rPr>
            <w:fldChar w:fldCharType="end"/>
          </w:r>
          <w:r>
            <w:rPr>
              <w:color w:val="0070C0"/>
            </w:rPr>
            <w:fldChar w:fldCharType="end"/>
          </w:r>
        </w:p>
        <w:p w14:paraId="3F05A4DA">
          <w:pPr>
            <w:pStyle w:val="24"/>
            <w:tabs>
              <w:tab w:val="right" w:leader="dot" w:pos="8640"/>
            </w:tabs>
            <w:rPr>
              <w:color w:val="0070C0"/>
            </w:rPr>
          </w:pP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HYPERLINK \l _Toc14350 </w:instrText>
          </w:r>
          <w:r>
            <w:rPr>
              <w:color w:val="0070C0"/>
            </w:rPr>
            <w:fldChar w:fldCharType="separate"/>
          </w:r>
          <w:r>
            <w:rPr>
              <w:color w:val="0070C0"/>
            </w:rPr>
            <w:t xml:space="preserve">Key settings </w:t>
          </w:r>
          <w:r>
            <w:rPr>
              <w:rFonts w:hint="default"/>
              <w:color w:val="0070C0"/>
              <w:lang w:val="en-US"/>
            </w:rPr>
            <w:t>table</w:t>
          </w:r>
          <w:r>
            <w:rPr>
              <w:color w:val="0070C0"/>
            </w:rPr>
            <w:tab/>
          </w: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PAGEREF _Toc14350 \h </w:instrText>
          </w:r>
          <w:r>
            <w:rPr>
              <w:color w:val="0070C0"/>
            </w:rPr>
            <w:fldChar w:fldCharType="separate"/>
          </w:r>
          <w:r>
            <w:rPr>
              <w:color w:val="0070C0"/>
            </w:rPr>
            <w:t>2</w:t>
          </w:r>
          <w:r>
            <w:rPr>
              <w:color w:val="0070C0"/>
            </w:rPr>
            <w:fldChar w:fldCharType="end"/>
          </w:r>
          <w:r>
            <w:rPr>
              <w:color w:val="0070C0"/>
            </w:rPr>
            <w:fldChar w:fldCharType="end"/>
          </w:r>
        </w:p>
        <w:p w14:paraId="043B1750">
          <w:pPr>
            <w:pStyle w:val="24"/>
            <w:tabs>
              <w:tab w:val="right" w:leader="dot" w:pos="8640"/>
            </w:tabs>
            <w:rPr>
              <w:color w:val="0070C0"/>
            </w:rPr>
          </w:pP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HYPERLINK \l _Toc26746 </w:instrText>
          </w:r>
          <w:r>
            <w:rPr>
              <w:color w:val="0070C0"/>
            </w:rPr>
            <w:fldChar w:fldCharType="separate"/>
          </w:r>
          <w:r>
            <w:rPr>
              <w:rFonts w:hint="default"/>
              <w:color w:val="0070C0"/>
              <w:lang w:val="en-US"/>
            </w:rPr>
            <w:t>Running</w:t>
          </w:r>
          <w:r>
            <w:rPr>
              <w:color w:val="0070C0"/>
            </w:rPr>
            <w:tab/>
          </w: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PAGEREF _Toc26746 \h </w:instrText>
          </w:r>
          <w:r>
            <w:rPr>
              <w:color w:val="0070C0"/>
            </w:rPr>
            <w:fldChar w:fldCharType="separate"/>
          </w:r>
          <w:r>
            <w:rPr>
              <w:color w:val="0070C0"/>
            </w:rPr>
            <w:t>3</w:t>
          </w:r>
          <w:r>
            <w:rPr>
              <w:color w:val="0070C0"/>
            </w:rPr>
            <w:fldChar w:fldCharType="end"/>
          </w:r>
          <w:r>
            <w:rPr>
              <w:color w:val="0070C0"/>
            </w:rPr>
            <w:fldChar w:fldCharType="end"/>
          </w:r>
        </w:p>
        <w:p w14:paraId="005D3256">
          <w:pPr>
            <w:pStyle w:val="30"/>
            <w:tabs>
              <w:tab w:val="right" w:leader="dot" w:pos="8640"/>
            </w:tabs>
            <w:rPr>
              <w:color w:val="0070C0"/>
            </w:rPr>
          </w:pP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HYPERLINK \l _Toc5881 </w:instrText>
          </w:r>
          <w:r>
            <w:rPr>
              <w:color w:val="0070C0"/>
            </w:rPr>
            <w:fldChar w:fldCharType="separate"/>
          </w:r>
          <w:r>
            <w:rPr>
              <w:color w:val="0070C0"/>
            </w:rPr>
            <w:t>Part 2 — Autoencoder + Clustering (</w:t>
          </w:r>
          <w:r>
            <w:rPr>
              <w:rFonts w:hint="eastAsia" w:eastAsia="SimSun"/>
              <w:color w:val="0070C0"/>
              <w:lang w:val="en-US" w:eastAsia="zh-CN"/>
            </w:rPr>
            <w:t>main</w:t>
          </w:r>
          <w:r>
            <w:rPr>
              <w:color w:val="0070C0"/>
            </w:rPr>
            <w:t>.py)</w:t>
          </w:r>
          <w:r>
            <w:rPr>
              <w:color w:val="0070C0"/>
            </w:rPr>
            <w:tab/>
          </w: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PAGEREF _Toc5881 \h </w:instrText>
          </w:r>
          <w:r>
            <w:rPr>
              <w:color w:val="0070C0"/>
            </w:rPr>
            <w:fldChar w:fldCharType="separate"/>
          </w:r>
          <w:r>
            <w:rPr>
              <w:color w:val="0070C0"/>
            </w:rPr>
            <w:t>3</w:t>
          </w:r>
          <w:r>
            <w:rPr>
              <w:color w:val="0070C0"/>
            </w:rPr>
            <w:fldChar w:fldCharType="end"/>
          </w:r>
          <w:r>
            <w:rPr>
              <w:color w:val="0070C0"/>
            </w:rPr>
            <w:fldChar w:fldCharType="end"/>
          </w:r>
        </w:p>
        <w:p w14:paraId="7F733EC6">
          <w:pPr>
            <w:pStyle w:val="24"/>
            <w:tabs>
              <w:tab w:val="right" w:leader="dot" w:pos="8640"/>
            </w:tabs>
            <w:rPr>
              <w:color w:val="0070C0"/>
            </w:rPr>
          </w:pP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HYPERLINK \l _Toc26916 </w:instrText>
          </w:r>
          <w:r>
            <w:rPr>
              <w:color w:val="0070C0"/>
            </w:rPr>
            <w:fldChar w:fldCharType="separate"/>
          </w:r>
          <w:r>
            <w:rPr>
              <w:rFonts w:hint="default"/>
              <w:color w:val="0070C0"/>
              <w:lang w:val="en-US"/>
            </w:rPr>
            <w:t>Model Structure:</w:t>
          </w:r>
          <w:r>
            <w:rPr>
              <w:color w:val="0070C0"/>
            </w:rPr>
            <w:tab/>
          </w: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PAGEREF _Toc26916 \h </w:instrText>
          </w:r>
          <w:r>
            <w:rPr>
              <w:color w:val="0070C0"/>
            </w:rPr>
            <w:fldChar w:fldCharType="separate"/>
          </w:r>
          <w:r>
            <w:rPr>
              <w:color w:val="0070C0"/>
            </w:rPr>
            <w:t>3</w:t>
          </w:r>
          <w:r>
            <w:rPr>
              <w:color w:val="0070C0"/>
            </w:rPr>
            <w:fldChar w:fldCharType="end"/>
          </w:r>
          <w:r>
            <w:rPr>
              <w:color w:val="0070C0"/>
            </w:rPr>
            <w:fldChar w:fldCharType="end"/>
          </w:r>
        </w:p>
        <w:p w14:paraId="3D54A44E">
          <w:pPr>
            <w:pStyle w:val="24"/>
            <w:tabs>
              <w:tab w:val="right" w:leader="dot" w:pos="8640"/>
            </w:tabs>
            <w:rPr>
              <w:color w:val="0070C0"/>
            </w:rPr>
          </w:pP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HYPERLINK \l _Toc17115 </w:instrText>
          </w:r>
          <w:r>
            <w:rPr>
              <w:color w:val="0070C0"/>
            </w:rPr>
            <w:fldChar w:fldCharType="separate"/>
          </w:r>
          <w:r>
            <w:rPr>
              <w:rFonts w:hint="default"/>
              <w:color w:val="0070C0"/>
              <w:lang w:val="en-US"/>
            </w:rPr>
            <w:t>Hyperparameter table</w:t>
          </w:r>
          <w:r>
            <w:rPr>
              <w:color w:val="0070C0"/>
            </w:rPr>
            <w:tab/>
          </w: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PAGEREF _Toc17115 \h </w:instrText>
          </w:r>
          <w:r>
            <w:rPr>
              <w:color w:val="0070C0"/>
            </w:rPr>
            <w:fldChar w:fldCharType="separate"/>
          </w:r>
          <w:r>
            <w:rPr>
              <w:color w:val="0070C0"/>
            </w:rPr>
            <w:t>4</w:t>
          </w:r>
          <w:r>
            <w:rPr>
              <w:color w:val="0070C0"/>
            </w:rPr>
            <w:fldChar w:fldCharType="end"/>
          </w:r>
          <w:r>
            <w:rPr>
              <w:color w:val="0070C0"/>
            </w:rPr>
            <w:fldChar w:fldCharType="end"/>
          </w:r>
        </w:p>
        <w:p w14:paraId="2FB3A0AF">
          <w:pPr>
            <w:pStyle w:val="24"/>
            <w:tabs>
              <w:tab w:val="right" w:leader="dot" w:pos="8640"/>
            </w:tabs>
            <w:rPr>
              <w:color w:val="0070C0"/>
            </w:rPr>
          </w:pP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HYPERLINK \l _Toc18819 </w:instrText>
          </w:r>
          <w:r>
            <w:rPr>
              <w:color w:val="0070C0"/>
            </w:rPr>
            <w:fldChar w:fldCharType="separate"/>
          </w:r>
          <w:r>
            <w:rPr>
              <w:rFonts w:hint="eastAsia"/>
              <w:color w:val="0070C0"/>
              <w:lang w:val="en-US" w:eastAsia="zh-CN"/>
            </w:rPr>
            <w:t>Running</w:t>
          </w:r>
          <w:r>
            <w:rPr>
              <w:color w:val="0070C0"/>
            </w:rPr>
            <w:tab/>
          </w: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PAGEREF _Toc18819 \h </w:instrText>
          </w:r>
          <w:r>
            <w:rPr>
              <w:color w:val="0070C0"/>
            </w:rPr>
            <w:fldChar w:fldCharType="separate"/>
          </w:r>
          <w:r>
            <w:rPr>
              <w:color w:val="0070C0"/>
            </w:rPr>
            <w:t>4</w:t>
          </w:r>
          <w:r>
            <w:rPr>
              <w:color w:val="0070C0"/>
            </w:rPr>
            <w:fldChar w:fldCharType="end"/>
          </w:r>
          <w:r>
            <w:rPr>
              <w:color w:val="0070C0"/>
            </w:rPr>
            <w:fldChar w:fldCharType="end"/>
          </w:r>
        </w:p>
        <w:p w14:paraId="3D56419C">
          <w:pPr>
            <w:pStyle w:val="24"/>
            <w:tabs>
              <w:tab w:val="right" w:leader="dot" w:pos="8640"/>
            </w:tabs>
            <w:rPr>
              <w:color w:val="0070C0"/>
            </w:rPr>
          </w:pP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HYPERLINK \l _Toc11475 </w:instrText>
          </w:r>
          <w:r>
            <w:rPr>
              <w:color w:val="0070C0"/>
            </w:rPr>
            <w:fldChar w:fldCharType="separate"/>
          </w:r>
          <w:r>
            <w:rPr>
              <w:color w:val="0070C0"/>
            </w:rPr>
            <w:t>Where results are saved</w:t>
          </w:r>
          <w:r>
            <w:rPr>
              <w:color w:val="0070C0"/>
            </w:rPr>
            <w:tab/>
          </w: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PAGEREF _Toc11475 \h </w:instrText>
          </w:r>
          <w:r>
            <w:rPr>
              <w:color w:val="0070C0"/>
            </w:rPr>
            <w:fldChar w:fldCharType="separate"/>
          </w:r>
          <w:r>
            <w:rPr>
              <w:color w:val="0070C0"/>
            </w:rPr>
            <w:t>5</w:t>
          </w:r>
          <w:r>
            <w:rPr>
              <w:color w:val="0070C0"/>
            </w:rPr>
            <w:fldChar w:fldCharType="end"/>
          </w:r>
          <w:r>
            <w:rPr>
              <w:color w:val="0070C0"/>
            </w:rPr>
            <w:fldChar w:fldCharType="end"/>
          </w:r>
        </w:p>
        <w:p w14:paraId="702D4D1F">
          <w:pPr>
            <w:pStyle w:val="24"/>
            <w:tabs>
              <w:tab w:val="right" w:leader="dot" w:pos="8640"/>
            </w:tabs>
            <w:rPr>
              <w:color w:val="0070C0"/>
            </w:rPr>
          </w:pP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HYPERLINK \l _Toc17655 </w:instrText>
          </w:r>
          <w:r>
            <w:rPr>
              <w:color w:val="0070C0"/>
            </w:rPr>
            <w:fldChar w:fldCharType="separate"/>
          </w:r>
          <w:r>
            <w:rPr>
              <w:color w:val="0070C0"/>
            </w:rPr>
            <w:t>Main outputs (what they are &amp; how to use them)</w:t>
          </w:r>
          <w:r>
            <w:rPr>
              <w:color w:val="0070C0"/>
            </w:rPr>
            <w:tab/>
          </w: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PAGEREF _Toc17655 \h </w:instrText>
          </w:r>
          <w:r>
            <w:rPr>
              <w:color w:val="0070C0"/>
            </w:rPr>
            <w:fldChar w:fldCharType="separate"/>
          </w:r>
          <w:r>
            <w:rPr>
              <w:color w:val="0070C0"/>
            </w:rPr>
            <w:t>5</w:t>
          </w:r>
          <w:r>
            <w:rPr>
              <w:color w:val="0070C0"/>
            </w:rPr>
            <w:fldChar w:fldCharType="end"/>
          </w:r>
          <w:r>
            <w:rPr>
              <w:color w:val="0070C0"/>
            </w:rPr>
            <w:fldChar w:fldCharType="end"/>
          </w:r>
        </w:p>
        <w:p w14:paraId="71C80192">
          <w:pPr>
            <w:pStyle w:val="24"/>
            <w:tabs>
              <w:tab w:val="right" w:leader="dot" w:pos="8640"/>
            </w:tabs>
            <w:rPr>
              <w:color w:val="0070C0"/>
            </w:rPr>
          </w:pP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HYPERLINK \l _Toc32382 </w:instrText>
          </w:r>
          <w:r>
            <w:rPr>
              <w:color w:val="0070C0"/>
            </w:rPr>
            <w:fldChar w:fldCharType="separate"/>
          </w:r>
          <w:r>
            <w:rPr>
              <w:color w:val="0070C0"/>
            </w:rPr>
            <w:t>Reading the Excel outputs</w:t>
          </w:r>
          <w:r>
            <w:rPr>
              <w:color w:val="0070C0"/>
            </w:rPr>
            <w:tab/>
          </w: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PAGEREF _Toc32382 \h </w:instrText>
          </w:r>
          <w:r>
            <w:rPr>
              <w:color w:val="0070C0"/>
            </w:rPr>
            <w:fldChar w:fldCharType="separate"/>
          </w:r>
          <w:r>
            <w:rPr>
              <w:color w:val="0070C0"/>
            </w:rPr>
            <w:t>6</w:t>
          </w:r>
          <w:r>
            <w:rPr>
              <w:color w:val="0070C0"/>
            </w:rPr>
            <w:fldChar w:fldCharType="end"/>
          </w:r>
          <w:r>
            <w:rPr>
              <w:color w:val="0070C0"/>
            </w:rPr>
            <w:fldChar w:fldCharType="end"/>
          </w:r>
        </w:p>
        <w:p w14:paraId="0639A855">
          <w:pPr>
            <w:pStyle w:val="24"/>
            <w:tabs>
              <w:tab w:val="right" w:leader="dot" w:pos="8640"/>
            </w:tabs>
            <w:rPr>
              <w:color w:val="0070C0"/>
            </w:rPr>
          </w:pP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HYPERLINK \l _Toc13186 </w:instrText>
          </w:r>
          <w:r>
            <w:rPr>
              <w:color w:val="0070C0"/>
            </w:rPr>
            <w:fldChar w:fldCharType="separate"/>
          </w:r>
          <w:r>
            <w:rPr>
              <w:color w:val="0070C0"/>
            </w:rPr>
            <w:t>Clustering &amp; evaluation</w:t>
          </w:r>
          <w:r>
            <w:rPr>
              <w:color w:val="0070C0"/>
            </w:rPr>
            <w:tab/>
          </w: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PAGEREF _Toc13186 \h </w:instrText>
          </w:r>
          <w:r>
            <w:rPr>
              <w:color w:val="0070C0"/>
            </w:rPr>
            <w:fldChar w:fldCharType="separate"/>
          </w:r>
          <w:r>
            <w:rPr>
              <w:color w:val="0070C0"/>
            </w:rPr>
            <w:t>7</w:t>
          </w:r>
          <w:r>
            <w:rPr>
              <w:color w:val="0070C0"/>
            </w:rPr>
            <w:fldChar w:fldCharType="end"/>
          </w:r>
          <w:r>
            <w:rPr>
              <w:color w:val="0070C0"/>
            </w:rPr>
            <w:fldChar w:fldCharType="end"/>
          </w:r>
        </w:p>
        <w:p w14:paraId="1087FC87">
          <w:pPr>
            <w:pStyle w:val="24"/>
            <w:tabs>
              <w:tab w:val="right" w:leader="dot" w:pos="8640"/>
            </w:tabs>
            <w:rPr>
              <w:color w:val="0070C0"/>
            </w:rPr>
          </w:pP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HYPERLINK \l _Toc31074 </w:instrText>
          </w:r>
          <w:r>
            <w:rPr>
              <w:color w:val="0070C0"/>
            </w:rPr>
            <w:fldChar w:fldCharType="separate"/>
          </w:r>
          <w:r>
            <w:rPr>
              <w:color w:val="0070C0"/>
            </w:rPr>
            <w:t>How to choose good hyperparameters</w:t>
          </w:r>
          <w:r>
            <w:rPr>
              <w:color w:val="0070C0"/>
            </w:rPr>
            <w:tab/>
          </w: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PAGEREF _Toc31074 \h </w:instrText>
          </w:r>
          <w:r>
            <w:rPr>
              <w:color w:val="0070C0"/>
            </w:rPr>
            <w:fldChar w:fldCharType="separate"/>
          </w:r>
          <w:r>
            <w:rPr>
              <w:color w:val="0070C0"/>
            </w:rPr>
            <w:t>7</w:t>
          </w:r>
          <w:r>
            <w:rPr>
              <w:color w:val="0070C0"/>
            </w:rPr>
            <w:fldChar w:fldCharType="end"/>
          </w:r>
          <w:r>
            <w:rPr>
              <w:color w:val="0070C0"/>
            </w:rPr>
            <w:fldChar w:fldCharType="end"/>
          </w:r>
        </w:p>
        <w:p w14:paraId="6284EA40">
          <w:pPr>
            <w:pStyle w:val="24"/>
            <w:tabs>
              <w:tab w:val="right" w:leader="dot" w:pos="8640"/>
            </w:tabs>
            <w:rPr>
              <w:color w:val="0070C0"/>
            </w:rPr>
          </w:pP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HYPERLINK \l _Toc7149 </w:instrText>
          </w:r>
          <w:r>
            <w:rPr>
              <w:color w:val="0070C0"/>
            </w:rPr>
            <w:fldChar w:fldCharType="separate"/>
          </w:r>
          <w:r>
            <w:rPr>
              <w:color w:val="0070C0"/>
            </w:rPr>
            <w:t>Interpreting the visual outputs</w:t>
          </w:r>
          <w:r>
            <w:rPr>
              <w:color w:val="0070C0"/>
            </w:rPr>
            <w:tab/>
          </w: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PAGEREF _Toc7149 \h </w:instrText>
          </w:r>
          <w:r>
            <w:rPr>
              <w:color w:val="0070C0"/>
            </w:rPr>
            <w:fldChar w:fldCharType="separate"/>
          </w:r>
          <w:r>
            <w:rPr>
              <w:color w:val="0070C0"/>
            </w:rPr>
            <w:t>7</w:t>
          </w:r>
          <w:r>
            <w:rPr>
              <w:color w:val="0070C0"/>
            </w:rPr>
            <w:fldChar w:fldCharType="end"/>
          </w:r>
          <w:r>
            <w:rPr>
              <w:color w:val="0070C0"/>
            </w:rPr>
            <w:fldChar w:fldCharType="end"/>
          </w:r>
        </w:p>
        <w:p w14:paraId="72D24B55">
          <w:pPr>
            <w:pStyle w:val="30"/>
            <w:tabs>
              <w:tab w:val="right" w:leader="dot" w:pos="8640"/>
            </w:tabs>
            <w:rPr>
              <w:color w:val="0070C0"/>
            </w:rPr>
          </w:pP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HYPERLINK \l _Toc12022 </w:instrText>
          </w:r>
          <w:r>
            <w:rPr>
              <w:color w:val="0070C0"/>
            </w:rPr>
            <w:fldChar w:fldCharType="separate"/>
          </w:r>
          <w:r>
            <w:rPr>
              <w:color w:val="0070C0"/>
            </w:rPr>
            <w:t>Troubleshooting</w:t>
          </w:r>
          <w:r>
            <w:rPr>
              <w:color w:val="0070C0"/>
            </w:rPr>
            <w:tab/>
          </w:r>
          <w:r>
            <w:rPr>
              <w:color w:val="0070C0"/>
            </w:rPr>
            <w:fldChar w:fldCharType="begin"/>
          </w:r>
          <w:r>
            <w:rPr>
              <w:color w:val="0070C0"/>
            </w:rPr>
            <w:instrText xml:space="preserve"> PAGEREF _Toc12022 \h </w:instrText>
          </w:r>
          <w:r>
            <w:rPr>
              <w:color w:val="0070C0"/>
            </w:rPr>
            <w:fldChar w:fldCharType="separate"/>
          </w:r>
          <w:r>
            <w:rPr>
              <w:color w:val="0070C0"/>
            </w:rPr>
            <w:t>8</w:t>
          </w:r>
          <w:r>
            <w:rPr>
              <w:color w:val="0070C0"/>
            </w:rPr>
            <w:fldChar w:fldCharType="end"/>
          </w:r>
          <w:r>
            <w:rPr>
              <w:color w:val="0070C0"/>
            </w:rPr>
            <w:fldChar w:fldCharType="end"/>
          </w:r>
        </w:p>
        <w:p w14:paraId="379D093B">
          <w:pPr>
            <w:rPr>
              <w:rFonts w:asciiTheme="minorHAnsi" w:hAnsiTheme="minorHAnsi" w:eastAsiaTheme="minorEastAsia" w:cstheme="minorBidi"/>
              <w:sz w:val="22"/>
              <w:szCs w:val="22"/>
              <w:lang w:val="en-US" w:eastAsia="en-US" w:bidi="ar-SA"/>
            </w:rPr>
          </w:pPr>
          <w:r>
            <w:rPr>
              <w:color w:val="0070C0"/>
            </w:rPr>
            <w:fldChar w:fldCharType="end"/>
          </w:r>
        </w:p>
      </w:sdtContent>
    </w:sdt>
    <w:p w14:paraId="78FE270B">
      <w:pP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br w:type="page"/>
      </w:r>
    </w:p>
    <w:p w14:paraId="117DDAF2">
      <w:pPr>
        <w:pStyle w:val="4"/>
        <w:jc w:val="both"/>
        <w:rPr>
          <w:color w:val="4F80BD"/>
        </w:rPr>
      </w:pPr>
      <w:bookmarkStart w:id="1" w:name="_Toc6420"/>
      <w:r>
        <w:rPr>
          <w:color w:val="4F80BD"/>
        </w:rPr>
        <w:t>What this pipeline does</w:t>
      </w:r>
      <w:bookmarkEnd w:id="1"/>
      <w:r>
        <w:rPr>
          <w:color w:val="4F80BD"/>
        </w:rPr>
        <w:t xml:space="preserve"> </w:t>
      </w:r>
    </w:p>
    <w:p w14:paraId="32B4C857">
      <w:pPr>
        <w:ind w:leftChars="100"/>
        <w:jc w:val="both"/>
      </w:pPr>
      <w:r>
        <w:t>This two-step pipeline takes a folder of insect images, standardizes them (same size/format), learns a compact ‘fingerprint’</w:t>
      </w:r>
      <w:r>
        <w:rPr>
          <w:rFonts w:hint="eastAsia" w:eastAsia="SimSun"/>
          <w:lang w:val="en-US" w:eastAsia="zh-CN"/>
        </w:rPr>
        <w:t xml:space="preserve"> </w:t>
      </w:r>
      <w:r>
        <w:t xml:space="preserve"> for each image using an autoencoder (a neural network), and then groups similar images together with unsupervised clustering. It also produces visual aids such as activation maps, attention heatmaps, and 2-D plots (t‑SNE/PCA) to help you see how</w:t>
      </w:r>
      <w:r>
        <w:rPr>
          <w:rFonts w:hint="default"/>
          <w:lang w:val="en-US"/>
        </w:rPr>
        <w:t xml:space="preserve"> insect</w:t>
      </w:r>
      <w:r>
        <w:t xml:space="preserve"> images group</w:t>
      </w:r>
      <w:r>
        <w:rPr>
          <w:rFonts w:hint="default"/>
          <w:lang w:val="en-US"/>
        </w:rPr>
        <w:t>s</w:t>
      </w:r>
      <w:r>
        <w:t>.</w:t>
      </w:r>
    </w:p>
    <w:p w14:paraId="35656391">
      <w:pPr>
        <w:pStyle w:val="4"/>
        <w:jc w:val="both"/>
      </w:pPr>
      <w:bookmarkStart w:id="2" w:name="_Toc9286"/>
      <w:r>
        <w:t>Before you begin</w:t>
      </w:r>
      <w:bookmarkEnd w:id="2"/>
    </w:p>
    <w:p w14:paraId="4D67251D">
      <w:pPr>
        <w:ind w:leftChars="100"/>
        <w:jc w:val="both"/>
      </w:pPr>
      <w:r>
        <w:t>• Python 3.9+</w:t>
      </w:r>
    </w:p>
    <w:p w14:paraId="40879ECD">
      <w:pPr>
        <w:ind w:leftChars="100"/>
        <w:jc w:val="both"/>
      </w:pPr>
      <w:r>
        <w:t>• Packages: numpy, pandas, pillow (PIL), matplotlib, scikit-learn, tensorflow 2.x, opencv-python, scikit-image, openpyxl, tqdm</w:t>
      </w:r>
    </w:p>
    <w:p w14:paraId="2A476F4C">
      <w:pPr>
        <w:ind w:leftChars="100"/>
        <w:jc w:val="both"/>
      </w:pPr>
      <w:r>
        <w:t>Install in one line:</w:t>
      </w:r>
    </w:p>
    <w:p w14:paraId="62CA8361">
      <w:pPr>
        <w:ind w:leftChars="200"/>
        <w:jc w:val="both"/>
      </w:pPr>
      <w:r>
        <w:t>pip install numpy pandas pillow matplotlib scikit-learn tensorflow opencv-python scikit-image openpyxl tqdm</w:t>
      </w:r>
    </w:p>
    <w:p w14:paraId="21BC7AAA">
      <w:pPr>
        <w:pStyle w:val="4"/>
        <w:jc w:val="both"/>
      </w:pPr>
      <w:bookmarkStart w:id="3" w:name="_Toc22799"/>
      <w:r>
        <w:t>Files in the repository</w:t>
      </w:r>
      <w:bookmarkEnd w:id="3"/>
    </w:p>
    <w:p w14:paraId="290B47DF">
      <w:pPr>
        <w:ind w:leftChars="100"/>
        <w:jc w:val="both"/>
      </w:pPr>
      <w:r>
        <w:t>1) preprocess.py — prepares the image dataset (collect, rename, resize).</w:t>
      </w:r>
    </w:p>
    <w:p w14:paraId="2C8E4D10">
      <w:pPr>
        <w:ind w:leftChars="100"/>
        <w:jc w:val="both"/>
      </w:pPr>
      <w:r>
        <w:t xml:space="preserve">2) </w:t>
      </w:r>
      <w:r>
        <w:rPr>
          <w:rFonts w:hint="eastAsia" w:eastAsia="SimSun"/>
          <w:lang w:val="en-US" w:eastAsia="zh-CN"/>
        </w:rPr>
        <w:t>main</w:t>
      </w:r>
      <w:r>
        <w:t>.py — trains the autoencoder, extracts features, and runs clustering.</w:t>
      </w:r>
    </w:p>
    <w:p w14:paraId="2A262A82">
      <w:pPr>
        <w:pStyle w:val="4"/>
        <w:jc w:val="both"/>
      </w:pPr>
      <w:bookmarkStart w:id="4" w:name="_Toc19530"/>
      <w:r>
        <w:t>Part 1 — Preprocessing (preprocess.py)</w:t>
      </w:r>
      <w:bookmarkEnd w:id="4"/>
    </w:p>
    <w:p w14:paraId="4B509A83">
      <w:pPr>
        <w:ind w:leftChars="100"/>
        <w:jc w:val="both"/>
      </w:pPr>
      <w:r>
        <w:t>Goal: Walk through all sub‑folders of an input directory, read every image, resize to a fixed size, convert to PNG, and save into a single output directory while also exporting simple statistics.</w:t>
      </w:r>
    </w:p>
    <w:p w14:paraId="54443831">
      <w:pPr>
        <w:pStyle w:val="5"/>
        <w:bidi w:val="0"/>
        <w:rPr>
          <w:rFonts w:hint="default"/>
          <w:lang w:val="en-US"/>
        </w:rPr>
      </w:pPr>
      <w:bookmarkStart w:id="5" w:name="_Toc16323"/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2643505</wp:posOffset>
                </wp:positionH>
                <wp:positionV relativeFrom="paragraph">
                  <wp:posOffset>794385</wp:posOffset>
                </wp:positionV>
                <wp:extent cx="255270" cy="95250"/>
                <wp:effectExtent l="38735" t="15240" r="48895" b="80010"/>
                <wp:wrapNone/>
                <wp:docPr id="5" name="右箭头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" cy="9525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208.15pt;margin-top:62.55pt;height:7.5pt;width:20.1pt;z-index:251659264;v-text-anchor:middle;mso-width-relative:page;mso-height-relative:page;" fillcolor="#3F80CE [3216]" filled="t" stroked="t" coordsize="21600,21600" o:gfxdata="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M4wxEnYAAAACwEAAA8A&#10;AAAAAAAAAQAgAAAAIgAAAGRycy9kb3ducmV2LnhtbFBLAQIUABQAAAAIAIdO4kCh545MNAMAAPMG&#10;AAAOAAAAAAAAAAEAIAAAACcBAABkcnMvZTJvRG9jLnhtbFBLBQYAAAAABgAGAFkBAADNBgAAAAA=&#10;" adj="17571,5400">
                <v:fill type="gradient" on="t" color2="#9BC1FF [3216]" angle="180" focus="100%" focussize="0,0" rotate="t">
                  <o:fill type="gradientUnscaled" v:ext="backwardCompatible"/>
                </v:fill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451485</wp:posOffset>
            </wp:positionH>
            <wp:positionV relativeFrom="paragraph">
              <wp:posOffset>535940</wp:posOffset>
            </wp:positionV>
            <wp:extent cx="2032000" cy="713740"/>
            <wp:effectExtent l="0" t="0" r="6350" b="10160"/>
            <wp:wrapTopAndBottom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71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3065780</wp:posOffset>
            </wp:positionH>
            <wp:positionV relativeFrom="paragraph">
              <wp:posOffset>520700</wp:posOffset>
            </wp:positionV>
            <wp:extent cx="1997710" cy="711835"/>
            <wp:effectExtent l="0" t="0" r="2540" b="12065"/>
            <wp:wrapSquare wrapText="bothSides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7710" cy="7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Preprocessing process</w:t>
      </w:r>
      <w:bookmarkEnd w:id="5"/>
    </w:p>
    <w:p w14:paraId="39266011">
      <w:pPr>
        <w:jc w:val="both"/>
      </w:pPr>
    </w:p>
    <w:p w14:paraId="11355CA5">
      <w:pPr>
        <w:pStyle w:val="5"/>
        <w:bidi w:val="0"/>
      </w:pPr>
    </w:p>
    <w:p w14:paraId="6955BFBC">
      <w:pPr>
        <w:pStyle w:val="5"/>
        <w:bidi w:val="0"/>
        <w:rPr>
          <w:rFonts w:hint="default"/>
          <w:lang w:val="en-US"/>
        </w:rPr>
      </w:pPr>
      <w:bookmarkStart w:id="6" w:name="_Toc14350"/>
      <w:r>
        <w:t xml:space="preserve">Key settings </w:t>
      </w:r>
      <w:r>
        <w:rPr>
          <w:rFonts w:hint="default"/>
          <w:lang w:val="en-US"/>
        </w:rPr>
        <w:t>table</w:t>
      </w:r>
      <w:bookmarkEnd w:id="6"/>
    </w:p>
    <w:p w14:paraId="4FA8E50A"/>
    <w:tbl>
      <w:tblPr>
        <w:tblStyle w:val="35"/>
        <w:tblW w:w="7468" w:type="dxa"/>
        <w:jc w:val="center"/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2273"/>
        <w:gridCol w:w="2369"/>
        <w:gridCol w:w="2826"/>
      </w:tblGrid>
      <w:tr w14:paraId="65073A18">
        <w:tblPrEx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229" w:hRule="atLeast"/>
          <w:tblHeader/>
          <w:jc w:val="center"/>
        </w:trPr>
        <w:tc>
          <w:tcPr>
            <w:tcW w:w="2273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61413297">
            <w:pPr>
              <w:snapToGrid w:val="0"/>
              <w:jc w:val="center"/>
              <w:rPr>
                <w:rFonts w:hint="default"/>
                <w:b/>
                <w:i w:val="0"/>
                <w:color w:val="4F81BD" w:themeColor="accent1"/>
                <w:sz w:val="18"/>
                <w:szCs w:val="18"/>
                <w:lang w:val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i w:val="0"/>
                <w:color w:val="4F81BD" w:themeColor="accent1"/>
                <w:sz w:val="18"/>
                <w:szCs w:val="18"/>
                <w:lang w:val="en-US"/>
                <w14:textFill>
                  <w14:solidFill>
                    <w14:schemeClr w14:val="accent1"/>
                  </w14:solidFill>
                </w14:textFill>
              </w:rPr>
              <w:t>Setting</w:t>
            </w:r>
          </w:p>
        </w:tc>
        <w:tc>
          <w:tcPr>
            <w:tcW w:w="2369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1683A454">
            <w:pPr>
              <w:snapToGrid w:val="0"/>
              <w:jc w:val="center"/>
              <w:rPr>
                <w:rFonts w:hint="default"/>
                <w:b/>
                <w:i w:val="0"/>
                <w:color w:val="4F81BD" w:themeColor="accent1"/>
                <w:sz w:val="18"/>
                <w:szCs w:val="18"/>
                <w:lang w:val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i w:val="0"/>
                <w:color w:val="4F81BD" w:themeColor="accent1"/>
                <w:sz w:val="18"/>
                <w:szCs w:val="18"/>
                <w:lang w:val="en-US"/>
                <w14:textFill>
                  <w14:solidFill>
                    <w14:schemeClr w14:val="accent1"/>
                  </w14:solidFill>
                </w14:textFill>
              </w:rPr>
              <w:t>What it means</w:t>
            </w:r>
          </w:p>
        </w:tc>
        <w:tc>
          <w:tcPr>
            <w:tcW w:w="2826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722C5827">
            <w:pPr>
              <w:snapToGrid w:val="0"/>
              <w:jc w:val="center"/>
              <w:rPr>
                <w:rFonts w:hint="default"/>
                <w:b/>
                <w:i w:val="0"/>
                <w:color w:val="4F81BD" w:themeColor="accent1"/>
                <w:sz w:val="18"/>
                <w:szCs w:val="18"/>
                <w:lang w:val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i w:val="0"/>
                <w:color w:val="4F81BD" w:themeColor="accent1"/>
                <w:sz w:val="18"/>
                <w:szCs w:val="18"/>
                <w:lang w:val="en-US"/>
                <w14:textFill>
                  <w14:solidFill>
                    <w14:schemeClr w14:val="accent1"/>
                  </w14:solidFill>
                </w14:textFill>
              </w:rPr>
              <w:t>Suggested value / tip</w:t>
            </w:r>
          </w:p>
        </w:tc>
      </w:tr>
      <w:tr w14:paraId="7F806D4B">
        <w:tblPrEx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411" w:hRule="atLeast"/>
          <w:jc w:val="center"/>
        </w:trPr>
        <w:tc>
          <w:tcPr>
            <w:tcW w:w="2273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B18379">
            <w:pPr>
              <w:snapToGrid w:val="0"/>
              <w:jc w:val="center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input_dir</w:t>
            </w:r>
          </w:p>
        </w:tc>
        <w:tc>
          <w:tcPr>
            <w:tcW w:w="2369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F979CC">
            <w:pPr>
              <w:snapToGrid w:val="0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Where your raw images live (the script scans all sub-folders).</w:t>
            </w:r>
          </w:p>
        </w:tc>
        <w:tc>
          <w:tcPr>
            <w:tcW w:w="2826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DF2E6B">
            <w:pPr>
              <w:snapToGrid w:val="0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D:\\</w:t>
            </w:r>
            <w:r>
              <w:rPr>
                <w:rFonts w:hint="default"/>
                <w:b w:val="0"/>
                <w:i w:val="0"/>
                <w:color w:val="08090C"/>
                <w:sz w:val="18"/>
                <w:szCs w:val="18"/>
                <w:lang w:val="en-US"/>
              </w:rPr>
              <w:t xml:space="preserve">images </w:t>
            </w:r>
            <w:r>
              <w:rPr>
                <w:b w:val="0"/>
                <w:i w:val="0"/>
                <w:color w:val="08090C"/>
                <w:sz w:val="18"/>
                <w:szCs w:val="18"/>
              </w:rPr>
              <w:t>(change to your path)</w:t>
            </w:r>
          </w:p>
        </w:tc>
      </w:tr>
      <w:tr w14:paraId="3E4C51C2">
        <w:tblPrEx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406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CFD80CF">
            <w:pPr>
              <w:snapToGrid w:val="0"/>
              <w:jc w:val="center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output_dir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BAD73D0">
            <w:pPr>
              <w:snapToGrid w:val="0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Where processed images (.png) and CSVs will be written.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6DDCD7CB">
            <w:pPr>
              <w:snapToGrid w:val="0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D:\\</w:t>
            </w:r>
            <w:r>
              <w:rPr>
                <w:rFonts w:hint="default"/>
                <w:b w:val="0"/>
                <w:i w:val="0"/>
                <w:color w:val="08090C"/>
                <w:sz w:val="18"/>
                <w:szCs w:val="18"/>
                <w:lang w:val="en-US"/>
              </w:rPr>
              <w:t>preprocessing</w:t>
            </w:r>
            <w:r>
              <w:rPr>
                <w:b w:val="0"/>
                <w:i w:val="0"/>
                <w:color w:val="08090C"/>
                <w:sz w:val="18"/>
                <w:szCs w:val="18"/>
              </w:rPr>
              <w:t xml:space="preserve">  </w:t>
            </w:r>
          </w:p>
        </w:tc>
      </w:tr>
      <w:tr w14:paraId="20040AEF">
        <w:tblPrEx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313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9BDD0E">
            <w:pPr>
              <w:snapToGrid w:val="0"/>
              <w:jc w:val="center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IMAGE_SIZE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269131">
            <w:pPr>
              <w:snapToGrid w:val="0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Final width × height used for all images.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317D26">
            <w:pPr>
              <w:snapToGrid w:val="0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e.g., (2480, 1748). Use same size you plan to train on.</w:t>
            </w:r>
          </w:p>
        </w:tc>
      </w:tr>
      <w:tr w14:paraId="48F7B959">
        <w:tblPrEx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251" w:hRule="atLeast"/>
          <w:jc w:val="center"/>
        </w:trPr>
        <w:tc>
          <w:tcPr>
            <w:tcW w:w="2273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2F2F2"/>
            <w:vAlign w:val="center"/>
          </w:tcPr>
          <w:p w14:paraId="7C2F9710">
            <w:pPr>
              <w:snapToGrid w:val="0"/>
              <w:jc w:val="center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SUPPORTED_FORMATS</w:t>
            </w:r>
          </w:p>
        </w:tc>
        <w:tc>
          <w:tcPr>
            <w:tcW w:w="2369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2F2F2"/>
            <w:vAlign w:val="center"/>
          </w:tcPr>
          <w:p w14:paraId="20843B11">
            <w:pPr>
              <w:snapToGrid w:val="0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File types accepted.</w:t>
            </w:r>
          </w:p>
        </w:tc>
        <w:tc>
          <w:tcPr>
            <w:tcW w:w="2826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2F2F2"/>
            <w:vAlign w:val="center"/>
          </w:tcPr>
          <w:p w14:paraId="64214DC3">
            <w:pPr>
              <w:snapToGrid w:val="0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.png, .jpg, .jpeg, .bmp, .tif (default ok)</w:t>
            </w:r>
          </w:p>
        </w:tc>
      </w:tr>
    </w:tbl>
    <w:p w14:paraId="55843C16">
      <w:pPr>
        <w:ind w:leftChars="100"/>
        <w:jc w:val="both"/>
      </w:pPr>
    </w:p>
    <w:p w14:paraId="25B528B9">
      <w:pPr>
        <w:ind w:leftChars="100"/>
        <w:jc w:val="both"/>
      </w:pPr>
      <w:r>
        <w:t>Output file name format: “&lt;subfolder&gt;-&lt;originalname&gt;.png”. The subfolder prefix acts as a simple label (family/species).</w:t>
      </w:r>
    </w:p>
    <w:p w14:paraId="580E3808">
      <w:pPr>
        <w:pStyle w:val="5"/>
        <w:bidi w:val="0"/>
        <w:rPr>
          <w:rFonts w:hint="default"/>
          <w:lang w:val="en-US"/>
        </w:rPr>
      </w:pPr>
      <w:bookmarkStart w:id="7" w:name="_Toc26746"/>
      <w:r>
        <w:rPr>
          <w:rFonts w:hint="default"/>
          <w:lang w:val="en-US"/>
        </w:rPr>
        <w:t>Running</w:t>
      </w:r>
      <w:bookmarkEnd w:id="7"/>
    </w:p>
    <w:p w14:paraId="332D3860">
      <w:pPr>
        <w:rPr>
          <w:rFonts w:hint="default"/>
          <w:lang w:val="en-US"/>
        </w:rPr>
      </w:pPr>
    </w:p>
    <w:p w14:paraId="25290EAC">
      <w:pPr>
        <w:ind w:leftChars="100"/>
        <w:jc w:val="both"/>
      </w:pPr>
      <w:r>
        <w:t>Run:  python preprocess.py</w:t>
      </w:r>
    </w:p>
    <w:p w14:paraId="3F019B06">
      <w:pPr>
        <w:ind w:leftChars="100"/>
        <w:jc w:val="both"/>
      </w:pPr>
      <w:r>
        <w:t>Outputs in output_dir: resized PNGs; errors.log; statistics.csv; family_counts.csv; species_counts.csv; unique_families.txt; unique_species.txt; unique_names.txt.</w:t>
      </w:r>
    </w:p>
    <w:p w14:paraId="26524E64">
      <w:pPr>
        <w:ind w:leftChars="100"/>
        <w:jc w:val="both"/>
      </w:pPr>
    </w:p>
    <w:p w14:paraId="322809F3">
      <w:pPr>
        <w:pStyle w:val="4"/>
        <w:jc w:val="both"/>
      </w:pPr>
      <w:bookmarkStart w:id="8" w:name="_Toc5881"/>
      <w:r>
        <w:t>Part 2 — Autoencoder + Clustering (</w:t>
      </w:r>
      <w:r>
        <w:rPr>
          <w:rFonts w:hint="eastAsia" w:eastAsia="SimSun"/>
          <w:lang w:val="en-US" w:eastAsia="zh-CN"/>
        </w:rPr>
        <w:t>main</w:t>
      </w:r>
      <w:r>
        <w:t>.py)</w:t>
      </w:r>
      <w:bookmarkEnd w:id="8"/>
    </w:p>
    <w:p w14:paraId="5DBC820E">
      <w:pPr>
        <w:pStyle w:val="5"/>
        <w:bidi w:val="0"/>
        <w:rPr>
          <w:rFonts w:hint="default"/>
          <w:lang w:val="en-US"/>
        </w:rPr>
      </w:pPr>
      <w:bookmarkStart w:id="9" w:name="_Toc26916"/>
      <w:r>
        <w:rPr>
          <w:rFonts w:hint="default"/>
          <w:lang w:val="en-US"/>
        </w:rPr>
        <w:t>Model Structure:</w:t>
      </w:r>
      <w:bookmarkEnd w:id="9"/>
    </w:p>
    <w:p w14:paraId="4AA786CF">
      <w:pPr>
        <w:jc w:val="center"/>
      </w:pPr>
      <w:r>
        <w:rPr>
          <w:rFonts w:hint="eastAsia" w:eastAsia="SimSun"/>
          <w:lang w:val="en-US" w:eastAsia="zh-CN"/>
        </w:rPr>
        <w:drawing>
          <wp:inline distT="0" distB="0" distL="114300" distR="114300">
            <wp:extent cx="4565015" cy="2145030"/>
            <wp:effectExtent l="0" t="0" r="0" b="0"/>
            <wp:docPr id="9" name="图片 9" descr="model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model_01"/>
                    <pic:cNvPicPr>
                      <a:picLocks noChangeAspect="1"/>
                    </pic:cNvPicPr>
                  </pic:nvPicPr>
                  <pic:blipFill>
                    <a:blip r:embed="rId8"/>
                    <a:srcRect t="11573" b="4896"/>
                    <a:stretch>
                      <a:fillRect/>
                    </a:stretch>
                  </pic:blipFill>
                  <pic:spPr>
                    <a:xfrm>
                      <a:off x="0" y="0"/>
                      <a:ext cx="4565015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FF68">
      <w:pPr>
        <w:ind w:leftChars="100"/>
        <w:jc w:val="both"/>
      </w:pPr>
      <w:r>
        <w:t>Goal: Train an autoencoder to compress each image into a vector (latent features). Then cluster these features to discover groups. The script also saves visualizations and quality metrics.</w:t>
      </w:r>
    </w:p>
    <w:p w14:paraId="249E89E3">
      <w:pPr>
        <w:pStyle w:val="5"/>
        <w:bidi w:val="0"/>
        <w:rPr>
          <w:rFonts w:hint="default"/>
          <w:lang w:val="en-US"/>
        </w:rPr>
      </w:pPr>
      <w:bookmarkStart w:id="10" w:name="_Toc17115"/>
      <w:r>
        <w:rPr>
          <w:rFonts w:hint="default"/>
          <w:lang w:val="en-US"/>
        </w:rPr>
        <w:t>Hyperparameter table</w:t>
      </w:r>
      <w:bookmarkEnd w:id="10"/>
    </w:p>
    <w:p w14:paraId="54883E15">
      <w:pPr>
        <w:rPr>
          <w:rFonts w:hint="eastAsia" w:eastAsia="SimSun"/>
          <w:lang w:val="en-US" w:eastAsia="zh-CN"/>
        </w:rPr>
      </w:pPr>
    </w:p>
    <w:tbl>
      <w:tblPr>
        <w:tblStyle w:val="35"/>
        <w:tblW w:w="8218" w:type="dxa"/>
        <w:jc w:val="center"/>
        <w:tblLayout w:type="fixed"/>
        <w:tblCellMar>
          <w:top w:w="56" w:type="dxa"/>
          <w:left w:w="96" w:type="dxa"/>
          <w:bottom w:w="56" w:type="dxa"/>
          <w:right w:w="96" w:type="dxa"/>
        </w:tblCellMar>
      </w:tblPr>
      <w:tblGrid>
        <w:gridCol w:w="2231"/>
        <w:gridCol w:w="1167"/>
        <w:gridCol w:w="2381"/>
        <w:gridCol w:w="2439"/>
      </w:tblGrid>
      <w:tr w14:paraId="4384980C">
        <w:tblPrEx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915" w:hRule="atLeast"/>
          <w:tblHeader/>
          <w:jc w:val="center"/>
        </w:trPr>
        <w:tc>
          <w:tcPr>
            <w:tcW w:w="2231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256997FC">
            <w:pPr>
              <w:snapToGrid w:val="0"/>
              <w:jc w:val="center"/>
              <w:rPr>
                <w:rFonts w:hint="default"/>
                <w:b/>
                <w:i w:val="0"/>
                <w:color w:val="4F81BD" w:themeColor="accent1"/>
                <w:sz w:val="18"/>
                <w:szCs w:val="18"/>
                <w:lang w:val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i w:val="0"/>
                <w:color w:val="4F81BD" w:themeColor="accent1"/>
                <w:sz w:val="18"/>
                <w:szCs w:val="18"/>
                <w:lang w:val="en-US"/>
                <w14:textFill>
                  <w14:solidFill>
                    <w14:schemeClr w14:val="accent1"/>
                  </w14:solidFill>
                </w14:textFill>
              </w:rPr>
              <w:t>Hyperparameter / path</w:t>
            </w:r>
          </w:p>
        </w:tc>
        <w:tc>
          <w:tcPr>
            <w:tcW w:w="1167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22C23E59">
            <w:pPr>
              <w:snapToGrid w:val="0"/>
              <w:jc w:val="center"/>
              <w:rPr>
                <w:rFonts w:hint="default"/>
                <w:b/>
                <w:i w:val="0"/>
                <w:color w:val="4F81BD" w:themeColor="accent1"/>
                <w:sz w:val="18"/>
                <w:szCs w:val="18"/>
                <w:lang w:val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i w:val="0"/>
                <w:color w:val="4F81BD" w:themeColor="accent1"/>
                <w:sz w:val="18"/>
                <w:szCs w:val="18"/>
                <w:lang w:val="en-US"/>
                <w14:textFill>
                  <w14:solidFill>
                    <w14:schemeClr w14:val="accent1"/>
                  </w14:solidFill>
                </w14:textFill>
              </w:rPr>
              <w:t>Where it is</w:t>
            </w:r>
          </w:p>
        </w:tc>
        <w:tc>
          <w:tcPr>
            <w:tcW w:w="2381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4F8504D0">
            <w:pPr>
              <w:snapToGrid w:val="0"/>
              <w:jc w:val="center"/>
              <w:rPr>
                <w:rFonts w:hint="default"/>
                <w:b/>
                <w:i w:val="0"/>
                <w:color w:val="4F81BD" w:themeColor="accent1"/>
                <w:sz w:val="18"/>
                <w:szCs w:val="18"/>
                <w:lang w:val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i w:val="0"/>
                <w:color w:val="4F81BD" w:themeColor="accent1"/>
                <w:sz w:val="18"/>
                <w:szCs w:val="18"/>
                <w:lang w:val="en-US"/>
                <w14:textFill>
                  <w14:solidFill>
                    <w14:schemeClr w14:val="accent1"/>
                  </w14:solidFill>
                </w14:textFill>
              </w:rPr>
              <w:t>What it controls</w:t>
            </w:r>
          </w:p>
        </w:tc>
        <w:tc>
          <w:tcPr>
            <w:tcW w:w="2439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7645CDF7">
            <w:pPr>
              <w:snapToGrid w:val="0"/>
              <w:jc w:val="center"/>
              <w:rPr>
                <w:rFonts w:hint="default"/>
                <w:b/>
                <w:i w:val="0"/>
                <w:color w:val="4F81BD" w:themeColor="accent1"/>
                <w:sz w:val="18"/>
                <w:szCs w:val="18"/>
                <w:lang w:val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i w:val="0"/>
                <w:color w:val="4F81BD" w:themeColor="accent1"/>
                <w:sz w:val="18"/>
                <w:szCs w:val="18"/>
                <w:lang w:val="en-US"/>
                <w14:textFill>
                  <w14:solidFill>
                    <w14:schemeClr w14:val="accent1"/>
                  </w14:solidFill>
                </w14:textFill>
              </w:rPr>
              <w:t>How to tune</w:t>
            </w:r>
          </w:p>
        </w:tc>
      </w:tr>
      <w:tr w14:paraId="37A910F5">
        <w:tblPrEx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879" w:hRule="atLeast"/>
          <w:jc w:val="center"/>
        </w:trPr>
        <w:tc>
          <w:tcPr>
            <w:tcW w:w="2231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568DD2">
            <w:pPr>
              <w:snapToGrid w:val="0"/>
              <w:jc w:val="center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data_folder</w:t>
            </w:r>
          </w:p>
        </w:tc>
        <w:tc>
          <w:tcPr>
            <w:tcW w:w="1167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783084">
            <w:pPr>
              <w:snapToGrid w:val="0"/>
              <w:jc w:val="center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in main()</w:t>
            </w:r>
          </w:p>
        </w:tc>
        <w:tc>
          <w:tcPr>
            <w:tcW w:w="2381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6D4A46">
            <w:pPr>
              <w:snapToGrid w:val="0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Folder of preprocessed PNGs to train on.</w:t>
            </w:r>
          </w:p>
        </w:tc>
        <w:tc>
          <w:tcPr>
            <w:tcW w:w="2439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D82F19">
            <w:pPr>
              <w:snapToGrid w:val="0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Set to processed image folder (e.g., D:\</w:t>
            </w:r>
            <w:r>
              <w:rPr>
                <w:rFonts w:hint="default"/>
                <w:b w:val="0"/>
                <w:i w:val="0"/>
                <w:color w:val="08090C"/>
                <w:sz w:val="18"/>
                <w:szCs w:val="18"/>
                <w:lang w:val="en-US"/>
              </w:rPr>
              <w:t>image</w:t>
            </w:r>
            <w:r>
              <w:rPr>
                <w:b w:val="0"/>
                <w:i w:val="0"/>
                <w:color w:val="08090C"/>
                <w:sz w:val="18"/>
                <w:szCs w:val="18"/>
              </w:rPr>
              <w:t>).</w:t>
            </w:r>
          </w:p>
        </w:tc>
      </w:tr>
      <w:tr w14:paraId="0D769133">
        <w:tblPrEx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1058" w:hRule="atLeast"/>
          <w:jc w:val="center"/>
        </w:trPr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62B6D70">
            <w:pPr>
              <w:snapToGrid w:val="0"/>
              <w:jc w:val="center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OUTPUT_DIR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90F0E67">
            <w:pPr>
              <w:snapToGrid w:val="0"/>
              <w:jc w:val="center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top of file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66EBC4AA">
            <w:pPr>
              <w:snapToGrid w:val="0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Where all results/figures/models are saved.</w:t>
            </w:r>
          </w:p>
        </w:tc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EEBD754">
            <w:pPr>
              <w:snapToGrid w:val="0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Point to a new/empty folder for each experiment.</w:t>
            </w:r>
          </w:p>
        </w:tc>
      </w:tr>
      <w:tr w14:paraId="567BB2D7">
        <w:tblPrEx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1058" w:hRule="atLeast"/>
          <w:jc w:val="center"/>
        </w:trPr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185324">
            <w:pPr>
              <w:snapToGrid w:val="0"/>
              <w:jc w:val="center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IMG_SIZE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6995AF">
            <w:pPr>
              <w:snapToGrid w:val="0"/>
              <w:jc w:val="center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top of file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9F9035">
            <w:pPr>
              <w:snapToGrid w:val="0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Training image size.</w:t>
            </w:r>
          </w:p>
        </w:tc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C3E5E4">
            <w:pPr>
              <w:snapToGrid w:val="0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Smaller = faster; larger can improve detail (e.g., 128×128 → 224×224).</w:t>
            </w:r>
          </w:p>
        </w:tc>
      </w:tr>
      <w:tr w14:paraId="29B7D109">
        <w:tblPrEx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1058" w:hRule="atLeast"/>
          <w:jc w:val="center"/>
        </w:trPr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C048DB9">
            <w:pPr>
              <w:snapToGrid w:val="0"/>
              <w:jc w:val="center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LATENT_DIM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120AFE8">
            <w:pPr>
              <w:snapToGrid w:val="0"/>
              <w:jc w:val="center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top of file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E04BB74">
            <w:pPr>
              <w:snapToGrid w:val="0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Length of the learned feature vector.</w:t>
            </w:r>
          </w:p>
        </w:tc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62F2D87A">
            <w:pPr>
              <w:snapToGrid w:val="0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Start 32–128. Larger captures more detail but may overfit.</w:t>
            </w:r>
          </w:p>
        </w:tc>
      </w:tr>
      <w:tr w14:paraId="6888F95F">
        <w:tblPrEx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844" w:hRule="atLeast"/>
          <w:jc w:val="center"/>
        </w:trPr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422C00">
            <w:pPr>
              <w:snapToGrid w:val="0"/>
              <w:jc w:val="center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BATCH_SIZE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8E9E7D">
            <w:pPr>
              <w:snapToGrid w:val="0"/>
              <w:jc w:val="center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top of file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D3E60A">
            <w:pPr>
              <w:snapToGrid w:val="0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Images per training step.</w:t>
            </w:r>
          </w:p>
        </w:tc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E50728">
            <w:pPr>
              <w:snapToGrid w:val="0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Use 8–32 depending on memory.</w:t>
            </w:r>
          </w:p>
        </w:tc>
      </w:tr>
      <w:tr w14:paraId="3BBFDF64">
        <w:tblPrEx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1058" w:hRule="atLeast"/>
          <w:jc w:val="center"/>
        </w:trPr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CD84503">
            <w:pPr>
              <w:snapToGrid w:val="0"/>
              <w:jc w:val="center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EPOCHS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CB099FC">
            <w:pPr>
              <w:snapToGrid w:val="0"/>
              <w:jc w:val="center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top of file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D700FCE">
            <w:pPr>
              <w:snapToGrid w:val="0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Max number of passes over the data.</w:t>
            </w:r>
          </w:p>
        </w:tc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3AD0AE9">
            <w:pPr>
              <w:snapToGrid w:val="0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Try 40–100; EarlyStopping ends training when it plateaus.</w:t>
            </w:r>
          </w:p>
        </w:tc>
      </w:tr>
      <w:tr w14:paraId="15D57135">
        <w:tblPrEx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1221" w:hRule="atLeast"/>
          <w:jc w:val="center"/>
        </w:trPr>
        <w:tc>
          <w:tcPr>
            <w:tcW w:w="2231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vAlign w:val="center"/>
          </w:tcPr>
          <w:p w14:paraId="3A53E749">
            <w:pPr>
              <w:snapToGrid w:val="0"/>
              <w:jc w:val="center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REG_FACTOR</w:t>
            </w:r>
          </w:p>
        </w:tc>
        <w:tc>
          <w:tcPr>
            <w:tcW w:w="1167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vAlign w:val="center"/>
          </w:tcPr>
          <w:p w14:paraId="34272A41">
            <w:pPr>
              <w:snapToGrid w:val="0"/>
              <w:jc w:val="center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top of file</w:t>
            </w:r>
          </w:p>
        </w:tc>
        <w:tc>
          <w:tcPr>
            <w:tcW w:w="2381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vAlign w:val="center"/>
          </w:tcPr>
          <w:p w14:paraId="567337A9">
            <w:pPr>
              <w:snapToGrid w:val="0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Weight decay (regularization).</w:t>
            </w:r>
          </w:p>
        </w:tc>
        <w:tc>
          <w:tcPr>
            <w:tcW w:w="2439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vAlign w:val="center"/>
          </w:tcPr>
          <w:p w14:paraId="62907430">
            <w:pPr>
              <w:snapToGrid w:val="0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Increase slightly if reconstructions overfit/noisy (e.g., 1e-5 → 5e-5).</w:t>
            </w:r>
          </w:p>
        </w:tc>
      </w:tr>
    </w:tbl>
    <w:p w14:paraId="7A838104">
      <w:pPr>
        <w:ind w:leftChars="100"/>
        <w:jc w:val="both"/>
      </w:pPr>
    </w:p>
    <w:p w14:paraId="79F2907F">
      <w:pPr>
        <w:pStyle w:val="5"/>
        <w:bidi w:val="0"/>
        <w:rPr>
          <w:rFonts w:hint="eastAsia"/>
          <w:lang w:val="en-US" w:eastAsia="zh-CN"/>
        </w:rPr>
      </w:pPr>
      <w:bookmarkStart w:id="11" w:name="_Toc18819"/>
      <w:r>
        <w:rPr>
          <w:rFonts w:hint="eastAsia"/>
          <w:lang w:val="en-US" w:eastAsia="zh-CN"/>
        </w:rPr>
        <w:t>Running</w:t>
      </w:r>
      <w:bookmarkEnd w:id="11"/>
    </w:p>
    <w:p w14:paraId="08074314">
      <w:pPr>
        <w:rPr>
          <w:rFonts w:hint="eastAsia"/>
          <w:lang w:val="en-US" w:eastAsia="zh-CN"/>
        </w:rPr>
      </w:pPr>
    </w:p>
    <w:p w14:paraId="758F06EC">
      <w:pPr>
        <w:ind w:leftChars="100"/>
        <w:jc w:val="both"/>
      </w:pPr>
      <w:r>
        <w:t xml:space="preserve">Run:  python </w:t>
      </w:r>
      <w:r>
        <w:rPr>
          <w:rFonts w:hint="default"/>
          <w:lang w:val="en-US"/>
        </w:rPr>
        <w:t>main</w:t>
      </w:r>
      <w:r>
        <w:t>.py</w:t>
      </w:r>
    </w:p>
    <w:p w14:paraId="1C72484F">
      <w:pPr>
        <w:pStyle w:val="5"/>
        <w:bidi w:val="0"/>
      </w:pPr>
      <w:bookmarkStart w:id="12" w:name="_Toc11475"/>
      <w:r>
        <w:t>Where results are saved</w:t>
      </w:r>
      <w:bookmarkEnd w:id="12"/>
    </w:p>
    <w:p w14:paraId="19E14224">
      <w:pPr>
        <w:ind w:leftChars="100"/>
        <w:jc w:val="both"/>
      </w:pPr>
      <w:r>
        <w:t xml:space="preserve">All outputs are written under your configured </w:t>
      </w:r>
      <w:r>
        <w:rPr>
          <w:b/>
        </w:rPr>
        <w:t>OUTPUT_DIR</w:t>
      </w:r>
      <w:r>
        <w:t xml:space="preserve"> (set near the top of </w:t>
      </w:r>
      <w:r>
        <w:rPr>
          <w:rFonts w:hint="eastAsia" w:eastAsia="SimSun"/>
          <w:lang w:val="en-US" w:eastAsia="zh-CN"/>
        </w:rPr>
        <w:t>main</w:t>
      </w:r>
      <w:r>
        <w:t>.py). Use a fresh folder for each experiment to avoid mixing results.</w:t>
      </w:r>
    </w:p>
    <w:p w14:paraId="41462C2F">
      <w:pPr>
        <w:pStyle w:val="5"/>
        <w:bidi w:val="0"/>
      </w:pPr>
      <w:bookmarkStart w:id="13" w:name="_Toc17655"/>
      <w:r>
        <w:t>Main outputs (what they are &amp; how to use them)</w:t>
      </w:r>
      <w:bookmarkEnd w:id="13"/>
    </w:p>
    <w:tbl>
      <w:tblPr>
        <w:tblStyle w:val="36"/>
        <w:tblW w:w="95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1279"/>
        <w:gridCol w:w="1604"/>
        <w:gridCol w:w="1974"/>
        <w:gridCol w:w="2613"/>
        <w:gridCol w:w="2087"/>
      </w:tblGrid>
      <w:tr w14:paraId="2B310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650" w:hRule="atLeast"/>
          <w:tblHeader/>
          <w:jc w:val="center"/>
        </w:trPr>
        <w:tc>
          <w:tcPr>
            <w:tcW w:w="1279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41923E1D">
            <w:pPr>
              <w:snapToGrid w:val="0"/>
              <w:spacing w:after="0" w:line="240" w:lineRule="auto"/>
              <w:jc w:val="center"/>
              <w:rPr>
                <w:rFonts w:hint="default"/>
                <w:b/>
                <w:i w:val="0"/>
                <w:color w:val="4F81BD" w:themeColor="accent1"/>
                <w:sz w:val="18"/>
                <w:szCs w:val="18"/>
                <w:lang w:val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i w:val="0"/>
                <w:color w:val="4F81BD" w:themeColor="accent1"/>
                <w:sz w:val="18"/>
                <w:szCs w:val="18"/>
                <w:lang w:val="en-US"/>
                <w14:textFill>
                  <w14:solidFill>
                    <w14:schemeClr w14:val="accent1"/>
                  </w14:solidFill>
                </w14:textFill>
              </w:rPr>
              <w:t>File / Folder</w:t>
            </w:r>
          </w:p>
        </w:tc>
        <w:tc>
          <w:tcPr>
            <w:tcW w:w="1604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674EEBAE">
            <w:pPr>
              <w:snapToGrid w:val="0"/>
              <w:spacing w:after="0" w:line="240" w:lineRule="auto"/>
              <w:jc w:val="center"/>
              <w:rPr>
                <w:rFonts w:hint="default"/>
                <w:b/>
                <w:i w:val="0"/>
                <w:color w:val="4F81BD" w:themeColor="accent1"/>
                <w:sz w:val="18"/>
                <w:szCs w:val="18"/>
                <w:lang w:val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i w:val="0"/>
                <w:color w:val="4F81BD" w:themeColor="accent1"/>
                <w:sz w:val="18"/>
                <w:szCs w:val="18"/>
                <w:lang w:val="en-US"/>
                <w14:textFill>
                  <w14:solidFill>
                    <w14:schemeClr w14:val="accent1"/>
                  </w14:solidFill>
                </w14:textFill>
              </w:rPr>
              <w:t>What it is</w:t>
            </w:r>
          </w:p>
        </w:tc>
        <w:tc>
          <w:tcPr>
            <w:tcW w:w="1974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11D62FF5">
            <w:pPr>
              <w:snapToGrid w:val="0"/>
              <w:spacing w:after="0" w:line="240" w:lineRule="auto"/>
              <w:jc w:val="center"/>
              <w:rPr>
                <w:rFonts w:hint="default"/>
                <w:b/>
                <w:i w:val="0"/>
                <w:color w:val="4F81BD" w:themeColor="accent1"/>
                <w:sz w:val="18"/>
                <w:szCs w:val="18"/>
                <w:lang w:val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i w:val="0"/>
                <w:color w:val="4F81BD" w:themeColor="accent1"/>
                <w:sz w:val="18"/>
                <w:szCs w:val="18"/>
                <w:lang w:val="en-US"/>
                <w14:textFill>
                  <w14:solidFill>
                    <w14:schemeClr w14:val="accent1"/>
                  </w14:solidFill>
                </w14:textFill>
              </w:rPr>
              <w:t>Why it matters</w:t>
            </w:r>
          </w:p>
        </w:tc>
        <w:tc>
          <w:tcPr>
            <w:tcW w:w="2613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072ABDAD">
            <w:pPr>
              <w:snapToGrid w:val="0"/>
              <w:spacing w:after="0" w:line="240" w:lineRule="auto"/>
              <w:jc w:val="center"/>
              <w:rPr>
                <w:rFonts w:hint="default"/>
                <w:b/>
                <w:i w:val="0"/>
                <w:color w:val="4F81BD" w:themeColor="accent1"/>
                <w:sz w:val="18"/>
                <w:szCs w:val="18"/>
                <w:lang w:val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i w:val="0"/>
                <w:color w:val="4F81BD" w:themeColor="accent1"/>
                <w:sz w:val="18"/>
                <w:szCs w:val="18"/>
                <w:lang w:val="en-US"/>
                <w14:textFill>
                  <w14:solidFill>
                    <w14:schemeClr w14:val="accent1"/>
                  </w14:solidFill>
                </w14:textFill>
              </w:rPr>
              <w:t>How to use</w:t>
            </w:r>
          </w:p>
        </w:tc>
        <w:tc>
          <w:tcPr>
            <w:tcW w:w="2087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vAlign w:val="center"/>
          </w:tcPr>
          <w:p w14:paraId="23288EA0">
            <w:pPr>
              <w:snapToGrid w:val="0"/>
              <w:spacing w:after="0" w:line="240" w:lineRule="auto"/>
              <w:jc w:val="center"/>
              <w:rPr>
                <w:rFonts w:hint="default"/>
                <w:b/>
                <w:i w:val="0"/>
                <w:color w:val="4F81BD" w:themeColor="accent1"/>
                <w:sz w:val="18"/>
                <w:szCs w:val="18"/>
                <w:lang w:val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b/>
                <w:i w:val="0"/>
                <w:color w:val="4F81BD" w:themeColor="accent1"/>
                <w:sz w:val="18"/>
                <w:szCs w:val="18"/>
                <w:lang w:val="en-US"/>
                <w14:textFill>
                  <w14:solidFill>
                    <w14:schemeClr w14:val="accent1"/>
                  </w14:solidFill>
                </w14:textFill>
              </w:rPr>
              <w:t>Format / Notes</w:t>
            </w:r>
          </w:p>
        </w:tc>
      </w:tr>
      <w:tr w14:paraId="68FA3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1484" w:hRule="atLeast"/>
          <w:jc w:val="center"/>
        </w:trPr>
        <w:tc>
          <w:tcPr>
            <w:tcW w:w="1279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F880EE">
            <w:pPr>
              <w:snapToGrid w:val="0"/>
              <w:spacing w:after="0" w:line="240" w:lineRule="auto"/>
              <w:jc w:val="center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autoencoder.h5</w:t>
            </w:r>
          </w:p>
        </w:tc>
        <w:tc>
          <w:tcPr>
            <w:tcW w:w="1604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543DD1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Full trained autoencoder (encoder + decoder).</w:t>
            </w:r>
          </w:p>
        </w:tc>
        <w:tc>
          <w:tcPr>
            <w:tcW w:w="1974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9B9294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Allows you to reconstruct images and continue training/finetuning.</w:t>
            </w:r>
          </w:p>
        </w:tc>
        <w:tc>
          <w:tcPr>
            <w:tcW w:w="2613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1164C0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Load in Keras: tf.keras.models.load_model('autoencoder.h5'); model.predict(imgs) to reconstruct.</w:t>
            </w:r>
          </w:p>
        </w:tc>
        <w:tc>
          <w:tcPr>
            <w:tcW w:w="2087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31A540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Keras HDF5 model.</w:t>
            </w:r>
          </w:p>
        </w:tc>
      </w:tr>
      <w:tr w14:paraId="78FE4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1656" w:hRule="atLeast"/>
          <w:jc w:val="center"/>
        </w:trPr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4BEE38E">
            <w:pPr>
              <w:snapToGrid w:val="0"/>
              <w:spacing w:after="0" w:line="240" w:lineRule="auto"/>
              <w:jc w:val="center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encoder.h5</w:t>
            </w:r>
          </w:p>
        </w:tc>
        <w:tc>
          <w:tcPr>
            <w:tcW w:w="160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F39FB71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Encoder-only model that maps an image to its feature vector (latent code).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62B7F9BB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Use to extract compact descriptors for new images; faster than the full autoencoder.</w:t>
            </w:r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D92498D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Load and call encoder.predict(img_batch) to get embeddings for clustering/search.</w:t>
            </w:r>
          </w:p>
        </w:tc>
        <w:tc>
          <w:tcPr>
            <w:tcW w:w="208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54C8A11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Keras HDF5 model.</w:t>
            </w:r>
          </w:p>
        </w:tc>
      </w:tr>
      <w:tr w14:paraId="5DA22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1443" w:hRule="atLeast"/>
          <w:jc w:val="center"/>
        </w:trPr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E3BDD3">
            <w:pPr>
              <w:snapToGrid w:val="0"/>
              <w:spacing w:after="0" w:line="240" w:lineRule="auto"/>
              <w:jc w:val="center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image_embeddings.txt</w:t>
            </w:r>
          </w:p>
        </w:tc>
        <w:tc>
          <w:tcPr>
            <w:tcW w:w="16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A3ECC8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Per-image embeddings (one line per image: filename + vector).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95E8C2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Portable features for clustering without re-running the model.</w:t>
            </w:r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B0C9E3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Parse with Python to get a matrix (n_images × latent_dim); feed into scikit-learn.</w:t>
            </w:r>
          </w:p>
        </w:tc>
        <w:tc>
          <w:tcPr>
            <w:tcW w:w="20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4AA872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Plain text (CSV-like). Each line: name, v1, v2, ...</w:t>
            </w:r>
          </w:p>
        </w:tc>
      </w:tr>
      <w:tr w14:paraId="59D3A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1656" w:hRule="atLeast"/>
          <w:jc w:val="center"/>
        </w:trPr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2B147D8">
            <w:pPr>
              <w:snapToGrid w:val="0"/>
              <w:spacing w:after="0" w:line="240" w:lineRule="auto"/>
              <w:jc w:val="center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activations/</w:t>
            </w:r>
          </w:p>
        </w:tc>
        <w:tc>
          <w:tcPr>
            <w:tcW w:w="160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44A9206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Snapshot images of intermediate feature activations for representative layers.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B3CA134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Gives intuition about what the network attends to internally.</w:t>
            </w:r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A2B7C9F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Open images to inspect which filters respond to structures.</w:t>
            </w:r>
          </w:p>
        </w:tc>
        <w:tc>
          <w:tcPr>
            <w:tcW w:w="208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1ED8195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PNG/JPEG images.</w:t>
            </w:r>
          </w:p>
        </w:tc>
      </w:tr>
      <w:tr w14:paraId="54F63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1443" w:hRule="atLeast"/>
          <w:jc w:val="center"/>
        </w:trPr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633E9D">
            <w:pPr>
              <w:snapToGrid w:val="0"/>
              <w:spacing w:after="0" w:line="240" w:lineRule="auto"/>
              <w:jc w:val="center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heatmaps/</w:t>
            </w:r>
          </w:p>
        </w:tc>
        <w:tc>
          <w:tcPr>
            <w:tcW w:w="16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A9398C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Per-image attention/importance overlays on the original image (final model).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58D77C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Explains which regions influence reconstruction/features the most.</w:t>
            </w:r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924134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Use in reports to justify focus on relevant anatomy/texture.</w:t>
            </w:r>
          </w:p>
        </w:tc>
        <w:tc>
          <w:tcPr>
            <w:tcW w:w="20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A0A2D7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PNG overlays; bright regions = higher importance.</w:t>
            </w:r>
          </w:p>
        </w:tc>
      </w:tr>
      <w:tr w14:paraId="02EE8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1656" w:hRule="atLeast"/>
          <w:jc w:val="center"/>
        </w:trPr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6F399A6">
            <w:pPr>
              <w:snapToGrid w:val="0"/>
              <w:spacing w:after="0" w:line="240" w:lineRule="auto"/>
              <w:jc w:val="center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heatmaps_epoch/</w:t>
            </w:r>
          </w:p>
        </w:tc>
        <w:tc>
          <w:tcPr>
            <w:tcW w:w="160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649E944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Attention overlays saved across training epochs.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F24FEC7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Shows how attention evolves while training (helps diagnose under/over‑fitting).</w:t>
            </w:r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B13B649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Compare heatmaps across epochs for stabilization or drift.</w:t>
            </w:r>
          </w:p>
        </w:tc>
        <w:tc>
          <w:tcPr>
            <w:tcW w:w="208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82D237C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PNG sequence per image/epoch.</w:t>
            </w:r>
          </w:p>
        </w:tc>
      </w:tr>
      <w:tr w14:paraId="42C01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1443" w:hRule="atLeast"/>
          <w:jc w:val="center"/>
        </w:trPr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71CB3F">
            <w:pPr>
              <w:snapToGrid w:val="0"/>
              <w:spacing w:after="0" w:line="240" w:lineRule="auto"/>
              <w:jc w:val="center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tsne_plots/</w:t>
            </w:r>
          </w:p>
        </w:tc>
        <w:tc>
          <w:tcPr>
            <w:tcW w:w="16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1A2197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2‑D projections of embeddings using t‑SNE / PCA (colored by cluster labels).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49D028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Quick visual check for separations, overlaps, outliers, subgroups.</w:t>
            </w:r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F79601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Insert into slides/manuscripts; compare colorings by method.</w:t>
            </w:r>
          </w:p>
        </w:tc>
        <w:tc>
          <w:tcPr>
            <w:tcW w:w="20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FB52A8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PNG images (e.g., tsne_optics.png, pca_kmeans.png).</w:t>
            </w:r>
          </w:p>
        </w:tc>
      </w:tr>
      <w:tr w14:paraId="562F7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1867" w:hRule="atLeast"/>
          <w:jc w:val="center"/>
        </w:trPr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C1198A4">
            <w:pPr>
              <w:snapToGrid w:val="0"/>
              <w:spacing w:after="0" w:line="240" w:lineRule="auto"/>
              <w:jc w:val="center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clustering_results.xlsx</w:t>
            </w:r>
          </w:p>
        </w:tc>
        <w:tc>
          <w:tcPr>
            <w:tcW w:w="160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DE5AF50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Per-image table: filename, parsed labels, cluster IDs (OPTICS/KMeans/Agglo), and 2‑D coords for t‑SNE/PCA.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E5C6047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Central file to review assignments, filter/sort, and trace samples.</w:t>
            </w:r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C0B7E37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Open in Excel; filter by cluster; cross-check with domain labels.</w:t>
            </w:r>
          </w:p>
        </w:tc>
        <w:tc>
          <w:tcPr>
            <w:tcW w:w="208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1FC9658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Excel workbook; one row per image.</w:t>
            </w:r>
          </w:p>
        </w:tc>
      </w:tr>
      <w:tr w14:paraId="04E5D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1656" w:hRule="atLeast"/>
          <w:jc w:val="center"/>
        </w:trPr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65438D">
            <w:pPr>
              <w:snapToGrid w:val="0"/>
              <w:spacing w:after="0" w:line="240" w:lineRule="auto"/>
              <w:jc w:val="center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clustering_metrics.xlsx</w:t>
            </w:r>
          </w:p>
        </w:tc>
        <w:tc>
          <w:tcPr>
            <w:tcW w:w="16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9BD231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Quality metrics per method (Silhouette, Calinski‑Harabasz, Davies‑Bouldin).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93EE72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Objective comparison across OPTICS / KMeans / Agglomerative.</w:t>
            </w:r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0F3AD4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Prefer higher Silhouette &amp; Calinski–Harabasz, lower Davies–Bouldin.</w:t>
            </w:r>
          </w:p>
        </w:tc>
        <w:tc>
          <w:tcPr>
            <w:tcW w:w="20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497225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Excel workbook; one row per method.</w:t>
            </w:r>
          </w:p>
        </w:tc>
      </w:tr>
      <w:tr w14:paraId="105C2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1044" w:hRule="atLeast"/>
          <w:jc w:val="center"/>
        </w:trPr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B525004">
            <w:pPr>
              <w:snapToGrid w:val="0"/>
              <w:spacing w:after="0" w:line="240" w:lineRule="auto"/>
              <w:jc w:val="center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clustering_metrics.txt</w:t>
            </w:r>
          </w:p>
        </w:tc>
        <w:tc>
          <w:tcPr>
            <w:tcW w:w="160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021A640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Plain‑text version of the clustering metrics.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5D47B7E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Lightweight copy for quick diff across runs or email.</w:t>
            </w:r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AB12AC6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Open in any editor; good for version control.</w:t>
            </w:r>
          </w:p>
        </w:tc>
        <w:tc>
          <w:tcPr>
            <w:tcW w:w="208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DB53D80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UTF‑8 text.</w:t>
            </w:r>
          </w:p>
        </w:tc>
      </w:tr>
      <w:tr w14:paraId="3ED52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1500" w:hRule="atLeast"/>
          <w:jc w:val="center"/>
        </w:trPr>
        <w:tc>
          <w:tcPr>
            <w:tcW w:w="1279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vAlign w:val="center"/>
          </w:tcPr>
          <w:p w14:paraId="3D996581">
            <w:pPr>
              <w:snapToGrid w:val="0"/>
              <w:spacing w:after="0" w:line="240" w:lineRule="auto"/>
              <w:jc w:val="center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clustering_metrics.png</w:t>
            </w:r>
          </w:p>
        </w:tc>
        <w:tc>
          <w:tcPr>
            <w:tcW w:w="1604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vAlign w:val="center"/>
          </w:tcPr>
          <w:p w14:paraId="1EDCA147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Bar chart comparing clustering methods on key metrics.</w:t>
            </w:r>
          </w:p>
        </w:tc>
        <w:tc>
          <w:tcPr>
            <w:tcW w:w="1974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vAlign w:val="center"/>
          </w:tcPr>
          <w:p w14:paraId="1F911E37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Visual summary for reports/presentations without opening Excel.</w:t>
            </w:r>
          </w:p>
        </w:tc>
        <w:tc>
          <w:tcPr>
            <w:tcW w:w="2613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vAlign w:val="center"/>
          </w:tcPr>
          <w:p w14:paraId="526619FE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Embed directly in slides/manuscripts.</w:t>
            </w:r>
          </w:p>
        </w:tc>
        <w:tc>
          <w:tcPr>
            <w:tcW w:w="2087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vAlign w:val="center"/>
          </w:tcPr>
          <w:p w14:paraId="07376449">
            <w:pPr>
              <w:snapToGrid w:val="0"/>
              <w:spacing w:after="0" w:line="240" w:lineRule="auto"/>
              <w:jc w:val="left"/>
              <w:rPr>
                <w:b w:val="0"/>
                <w:i w:val="0"/>
                <w:color w:val="08090C"/>
                <w:sz w:val="18"/>
                <w:szCs w:val="18"/>
              </w:rPr>
            </w:pPr>
            <w:r>
              <w:rPr>
                <w:b w:val="0"/>
                <w:i w:val="0"/>
                <w:color w:val="08090C"/>
                <w:sz w:val="18"/>
                <w:szCs w:val="18"/>
              </w:rPr>
              <w:t>PNG bar chart.</w:t>
            </w:r>
          </w:p>
        </w:tc>
      </w:tr>
    </w:tbl>
    <w:p w14:paraId="5650FEA2">
      <w:pPr>
        <w:pStyle w:val="5"/>
        <w:bidi w:val="0"/>
      </w:pPr>
    </w:p>
    <w:p w14:paraId="23E43125">
      <w:pPr>
        <w:pStyle w:val="5"/>
        <w:bidi w:val="0"/>
      </w:pPr>
      <w:bookmarkStart w:id="14" w:name="_Toc32382"/>
      <w:r>
        <w:t>Reading the Excel outputs</w:t>
      </w:r>
      <w:bookmarkEnd w:id="14"/>
    </w:p>
    <w:p w14:paraId="4678AE3E">
      <w:pPr>
        <w:jc w:val="both"/>
      </w:pPr>
      <w:r>
        <w:t>clustering_results.xlsx — common columns:</w:t>
      </w:r>
    </w:p>
    <w:p w14:paraId="4A4012FD">
      <w:pPr>
        <w:numPr>
          <w:ilvl w:val="0"/>
          <w:numId w:val="3"/>
        </w:numPr>
        <w:spacing w:after="200" w:line="276" w:lineRule="auto"/>
        <w:ind w:leftChars="200"/>
        <w:contextualSpacing/>
        <w:jc w:val="both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filename — the saved PNG file name after preprocessing.</w:t>
      </w:r>
    </w:p>
    <w:p w14:paraId="7E972BEA">
      <w:pPr>
        <w:numPr>
          <w:ilvl w:val="0"/>
          <w:numId w:val="3"/>
        </w:numPr>
        <w:spacing w:after="200" w:line="276" w:lineRule="auto"/>
        <w:ind w:leftChars="200"/>
        <w:contextualSpacing/>
        <w:jc w:val="both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family / species / name — parsed from the filename prefix (if preprocessing used folder labels).</w:t>
      </w:r>
    </w:p>
    <w:p w14:paraId="3F7C31AB">
      <w:pPr>
        <w:numPr>
          <w:ilvl w:val="0"/>
          <w:numId w:val="3"/>
        </w:numPr>
        <w:spacing w:after="200" w:line="276" w:lineRule="auto"/>
        <w:ind w:leftChars="200"/>
        <w:contextualSpacing/>
        <w:jc w:val="both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cluster_optics — cluster label from OPTICS (−1 means noise/unassigned).</w:t>
      </w:r>
    </w:p>
    <w:p w14:paraId="392F9A92">
      <w:pPr>
        <w:numPr>
          <w:ilvl w:val="0"/>
          <w:numId w:val="3"/>
        </w:numPr>
        <w:spacing w:after="200" w:line="276" w:lineRule="auto"/>
        <w:ind w:leftChars="200"/>
        <w:contextualSpacing/>
        <w:jc w:val="both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cluster_kmeans — cluster label from KMeans (fixed number, e.g., 30).</w:t>
      </w:r>
    </w:p>
    <w:p w14:paraId="2D64FC07">
      <w:pPr>
        <w:numPr>
          <w:ilvl w:val="0"/>
          <w:numId w:val="3"/>
        </w:numPr>
        <w:spacing w:after="200" w:line="276" w:lineRule="auto"/>
        <w:ind w:leftChars="200"/>
        <w:contextualSpacing/>
        <w:jc w:val="both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cluster_agglom — cluster label from Agglomerative (same fixed number).</w:t>
      </w:r>
    </w:p>
    <w:p w14:paraId="0F85AAC8">
      <w:pPr>
        <w:numPr>
          <w:ilvl w:val="0"/>
          <w:numId w:val="3"/>
        </w:numPr>
        <w:spacing w:after="200" w:line="276" w:lineRule="auto"/>
        <w:ind w:leftChars="200"/>
        <w:contextualSpacing/>
        <w:jc w:val="both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tsne_x, tsne_y — 2‑D coordinates for plotting; PCA_x, PCA_y if available.</w:t>
      </w:r>
    </w:p>
    <w:p w14:paraId="52096D0F">
      <w:pPr>
        <w:ind w:leftChars="200"/>
        <w:jc w:val="both"/>
      </w:pPr>
      <w:r>
        <w:t>clustering_metrics.xlsx — columns:</w:t>
      </w:r>
    </w:p>
    <w:p w14:paraId="1638449D">
      <w:pPr>
        <w:numPr>
          <w:ilvl w:val="0"/>
          <w:numId w:val="3"/>
        </w:numPr>
        <w:spacing w:after="200" w:line="276" w:lineRule="auto"/>
        <w:ind w:leftChars="200"/>
        <w:contextualSpacing/>
        <w:jc w:val="both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method — optics / kmeans / agglomerative.</w:t>
      </w:r>
    </w:p>
    <w:p w14:paraId="099B19BA">
      <w:pPr>
        <w:numPr>
          <w:ilvl w:val="0"/>
          <w:numId w:val="3"/>
        </w:numPr>
        <w:spacing w:after="200" w:line="276" w:lineRule="auto"/>
        <w:ind w:leftChars="200"/>
        <w:contextualSpacing/>
        <w:jc w:val="both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silhouette — higher is better (−1 to 1; &gt;0.2 often indicates structure).</w:t>
      </w:r>
    </w:p>
    <w:p w14:paraId="0B97ABED">
      <w:pPr>
        <w:numPr>
          <w:ilvl w:val="0"/>
          <w:numId w:val="3"/>
        </w:numPr>
        <w:spacing w:after="200" w:line="276" w:lineRule="auto"/>
        <w:ind w:leftChars="200"/>
        <w:contextualSpacing/>
        <w:jc w:val="both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calinski_harabasz — higher is better (unbounded; higher = denser, well‑separated clusters).</w:t>
      </w:r>
    </w:p>
    <w:p w14:paraId="7781DF72">
      <w:pPr>
        <w:numPr>
          <w:ilvl w:val="0"/>
          <w:numId w:val="3"/>
        </w:numPr>
        <w:spacing w:after="200" w:line="276" w:lineRule="auto"/>
        <w:ind w:leftChars="200"/>
        <w:contextualSpacing/>
        <w:jc w:val="both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davies_bouldin — lower is better (≥0; lower = tighter, more separated clusters).</w:t>
      </w:r>
    </w:p>
    <w:p w14:paraId="2CE7EFE4">
      <w:pPr>
        <w:pStyle w:val="4"/>
        <w:jc w:val="both"/>
      </w:pPr>
    </w:p>
    <w:p w14:paraId="41FD8BA4">
      <w:pPr>
        <w:pStyle w:val="5"/>
        <w:bidi w:val="0"/>
      </w:pPr>
      <w:bookmarkStart w:id="15" w:name="_Toc13186"/>
      <w:r>
        <w:t>Clustering &amp; evaluation</w:t>
      </w:r>
      <w:bookmarkEnd w:id="15"/>
    </w:p>
    <w:p w14:paraId="46CD633F">
      <w:pPr>
        <w:ind w:leftChars="100"/>
        <w:jc w:val="both"/>
      </w:pPr>
      <w:r>
        <w:t>• OPTICS: variable‑density clustering without choosing the cluster count.</w:t>
      </w:r>
    </w:p>
    <w:p w14:paraId="2976A726">
      <w:pPr>
        <w:ind w:leftChars="100"/>
        <w:jc w:val="both"/>
      </w:pPr>
      <w:r>
        <w:t>• KMeans (30 clusters) and Agglomerative (30) are also computed for comparison.</w:t>
      </w:r>
    </w:p>
    <w:p w14:paraId="4CB9CCEE">
      <w:pPr>
        <w:ind w:leftChars="100"/>
        <w:jc w:val="both"/>
      </w:pPr>
      <w:r>
        <w:t>• Quality metrics: Silhouette (higher is better); Calinski–Harabasz (higher is better); Davies–Bouldin (lower is better).</w:t>
      </w:r>
    </w:p>
    <w:p w14:paraId="30A7E424">
      <w:pPr>
        <w:pStyle w:val="5"/>
        <w:bidi w:val="0"/>
      </w:pPr>
      <w:bookmarkStart w:id="16" w:name="_Toc31074"/>
      <w:r>
        <w:t>How to choose good hyperparameters</w:t>
      </w:r>
      <w:bookmarkEnd w:id="16"/>
    </w:p>
    <w:p w14:paraId="751F39B1">
      <w:pPr>
        <w:ind w:leftChars="100"/>
        <w:jc w:val="both"/>
      </w:pPr>
      <w:r>
        <w:t>1) Start small: IMG_SIZE=128×128, LATENT_DIM=64, BATCH_SIZE=16, EPOCHS=40. Confirm everything runs, then scale up.</w:t>
      </w:r>
    </w:p>
    <w:p w14:paraId="05066664">
      <w:pPr>
        <w:ind w:leftChars="100"/>
        <w:jc w:val="both"/>
      </w:pPr>
      <w:r>
        <w:t>2) If reconstructions look blurry: increase LATENT_DIM or EPOCHS. If they look sharp but heatmaps are very noisy: slightly increase REG_FACTOR.</w:t>
      </w:r>
    </w:p>
    <w:p w14:paraId="6D5B583F">
      <w:pPr>
        <w:ind w:leftChars="100"/>
        <w:jc w:val="both"/>
      </w:pPr>
      <w:r>
        <w:t>3) Compare clustering metrics across runs and pick settings that yield higher Silhouette/Calinski–Harabasz and lower Davies–Bouldin.</w:t>
      </w:r>
    </w:p>
    <w:p w14:paraId="68290B2C">
      <w:pPr>
        <w:ind w:leftChars="100"/>
        <w:jc w:val="both"/>
      </w:pPr>
      <w:r>
        <w:t>4) If you know the rough number of groups, adjust KMeans/Agglomerative n_clusters and compare results to OPTICS.</w:t>
      </w:r>
    </w:p>
    <w:p w14:paraId="1D261359">
      <w:pPr>
        <w:ind w:leftChars="100"/>
        <w:jc w:val="both"/>
      </w:pPr>
      <w:r>
        <w:t>5) Keep OUTPUT_DIR separate per experiment so you don’t mix figures/results.</w:t>
      </w:r>
    </w:p>
    <w:p w14:paraId="7A779306">
      <w:pPr>
        <w:pStyle w:val="5"/>
        <w:bidi w:val="0"/>
      </w:pPr>
      <w:bookmarkStart w:id="17" w:name="_Toc7149"/>
      <w:r>
        <w:t>Interpreting the visual outputs</w:t>
      </w:r>
      <w:bookmarkEnd w:id="17"/>
    </w:p>
    <w:p w14:paraId="265516F2">
      <w:pPr>
        <w:ind w:leftChars="100"/>
        <w:jc w:val="both"/>
      </w:pPr>
      <w:r>
        <w:t>• Activation maps: show which internal filters respond to the image.</w:t>
      </w:r>
    </w:p>
    <w:p w14:paraId="174D41F1">
      <w:pPr>
        <w:ind w:leftChars="100"/>
        <w:jc w:val="center"/>
        <w:rPr>
          <w:rFonts w:hint="eastAsia" w:eastAsia="SimSun"/>
          <w:lang w:eastAsia="zh-CN"/>
        </w:rPr>
      </w:pPr>
      <w:r>
        <w:rPr>
          <w:rFonts w:hint="eastAsia" w:eastAsia="SimSun"/>
          <w:lang w:eastAsia="zh-CN"/>
        </w:rPr>
        <w:drawing>
          <wp:inline distT="0" distB="0" distL="114300" distR="114300">
            <wp:extent cx="2826385" cy="762000"/>
            <wp:effectExtent l="0" t="0" r="0" b="0"/>
            <wp:docPr id="6" name="图片 6" descr="Condylognatha-Achilidae_01_activ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ondylognatha-Achilidae_01_activations"/>
                    <pic:cNvPicPr>
                      <a:picLocks noChangeAspect="1"/>
                    </pic:cNvPicPr>
                  </pic:nvPicPr>
                  <pic:blipFill>
                    <a:blip r:embed="rId9"/>
                    <a:srcRect t="15086" r="40054" b="20259"/>
                    <a:stretch>
                      <a:fillRect/>
                    </a:stretch>
                  </pic:blipFill>
                  <pic:spPr>
                    <a:xfrm>
                      <a:off x="0" y="0"/>
                      <a:ext cx="282638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A4596">
      <w:pPr>
        <w:ind w:leftChars="100"/>
        <w:jc w:val="both"/>
      </w:pPr>
      <w:r>
        <w:t>• Attention heatmaps: bright (red) areas most influence reconstruction.</w:t>
      </w:r>
    </w:p>
    <w:p w14:paraId="44A4EDE6">
      <w:pPr>
        <w:ind w:leftChars="100"/>
        <w:jc w:val="center"/>
      </w:pPr>
      <w:r>
        <w:drawing>
          <wp:inline distT="0" distB="0" distL="114300" distR="114300">
            <wp:extent cx="3799205" cy="1158240"/>
            <wp:effectExtent l="0" t="0" r="10795" b="381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rcRect r="9238" b="59682"/>
                    <a:stretch>
                      <a:fillRect/>
                    </a:stretch>
                  </pic:blipFill>
                  <pic:spPr>
                    <a:xfrm>
                      <a:off x="0" y="0"/>
                      <a:ext cx="3799205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C9B3D">
      <w:pPr>
        <w:ind w:leftChars="100"/>
        <w:jc w:val="both"/>
      </w:pPr>
      <w:r>
        <w:t>• t‑SNE &amp; PCA plots: each dot is an image; nearby dots are similar in the learned feature space.</w:t>
      </w:r>
    </w:p>
    <w:p w14:paraId="5D01F024">
      <w:pPr>
        <w:ind w:leftChars="100"/>
        <w:jc w:val="center"/>
        <w:rPr>
          <w:rFonts w:hint="eastAsia" w:eastAsia="SimSun"/>
          <w:lang w:eastAsia="zh-CN"/>
        </w:rPr>
      </w:pPr>
      <w:r>
        <w:rPr>
          <w:rFonts w:hint="eastAsia" w:eastAsia="SimSun"/>
          <w:lang w:eastAsia="zh-CN"/>
        </w:rPr>
        <w:drawing>
          <wp:inline distT="0" distB="0" distL="114300" distR="114300">
            <wp:extent cx="2555875" cy="1464945"/>
            <wp:effectExtent l="0" t="0" r="15875" b="1905"/>
            <wp:docPr id="7" name="图片 7" descr="pca_scatter_plot_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pca_scatter_plot_2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5875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SimSun"/>
          <w:lang w:eastAsia="zh-CN"/>
        </w:rPr>
        <w:drawing>
          <wp:inline distT="0" distB="0" distL="114300" distR="114300">
            <wp:extent cx="2508885" cy="1443355"/>
            <wp:effectExtent l="0" t="0" r="5715" b="4445"/>
            <wp:docPr id="8" name="图片 8" descr="tsne_scatter_plot_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sne_scatter_plot_2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888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2FCA">
      <w:pPr>
        <w:pStyle w:val="4"/>
        <w:jc w:val="both"/>
      </w:pPr>
      <w:bookmarkStart w:id="18" w:name="_Toc12022"/>
      <w:r>
        <w:t>Troubleshooting</w:t>
      </w:r>
      <w:bookmarkEnd w:id="18"/>
    </w:p>
    <w:p w14:paraId="6A9E12CC">
      <w:pPr>
        <w:ind w:leftChars="100"/>
        <w:jc w:val="both"/>
      </w:pPr>
      <w:r>
        <w:t>• No images found: check data_folder path and file extensions.</w:t>
      </w:r>
    </w:p>
    <w:p w14:paraId="34FC2737">
      <w:pPr>
        <w:ind w:leftChars="100"/>
        <w:jc w:val="both"/>
      </w:pPr>
      <w:r>
        <w:t>• Out of memory: lower IMG_SIZE or BATCH_SIZE, or run on CPU.</w:t>
      </w:r>
    </w:p>
    <w:p w14:paraId="4B5D8B47">
      <w:pPr>
        <w:ind w:leftChars="100"/>
        <w:jc w:val="both"/>
      </w:pPr>
      <w:r>
        <w:t>• Many OPTICS labels = −1: try cleaner images or use KMeans/Agglomerative and compare metrics.</w:t>
      </w:r>
    </w:p>
    <w:p w14:paraId="149A3C31">
      <w:pPr>
        <w:ind w:leftChars="100"/>
        <w:jc w:val="both"/>
      </w:pPr>
      <w:r>
        <w:t>• Windows paths: use double backslashes (e.g., D:\\data\\images).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374E54"/>
    <w:rsid w:val="048E06CF"/>
    <w:rsid w:val="0D621ACA"/>
    <w:rsid w:val="1A5B175B"/>
    <w:rsid w:val="21867BF6"/>
    <w:rsid w:val="222B4109"/>
    <w:rsid w:val="227710FC"/>
    <w:rsid w:val="3454129D"/>
    <w:rsid w:val="3D665422"/>
    <w:rsid w:val="490042BB"/>
    <w:rsid w:val="56E60E19"/>
    <w:rsid w:val="65675057"/>
    <w:rsid w:val="75001604"/>
    <w:rsid w:val="77BA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qFormat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qFormat/>
    <w:uiPriority w:val="99"/>
  </w:style>
  <w:style w:type="character" w:customStyle="1" w:styleId="148">
    <w:name w:val="Body Text 2 Char"/>
    <w:basedOn w:val="135"/>
    <w:link w:val="31"/>
    <w:qFormat/>
    <w:uiPriority w:val="99"/>
  </w:style>
  <w:style w:type="character" w:customStyle="1" w:styleId="149">
    <w:name w:val="Body Text 3 Char"/>
    <w:basedOn w:val="135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573</Words>
  <Characters>3275</Characters>
  <Lines>0</Lines>
  <Paragraphs>0</Paragraphs>
  <TotalTime>0</TotalTime>
  <ScaleCrop>false</ScaleCrop>
  <LinksUpToDate>false</LinksUpToDate>
  <CharactersWithSpaces>3797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Luca_guan</cp:lastModifiedBy>
  <dcterms:modified xsi:type="dcterms:W3CDTF">2025-11-10T13:59:59Z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eyJoZGlkIjoiZjc3OWQ3NjNlZGM3NjcwNWU0NjIzOTZkYzgyNWYxZDQiLCJ1c2VySWQiOiIxMDg5NTc5NDM5In0=</vt:lpwstr>
  </property>
  <property fmtid="{D5CDD505-2E9C-101B-9397-08002B2CF9AE}" pid="3" name="KSOProductBuildVer">
    <vt:lpwstr>2052-12.1.0.23542</vt:lpwstr>
  </property>
  <property fmtid="{D5CDD505-2E9C-101B-9397-08002B2CF9AE}" pid="4" name="ICV">
    <vt:lpwstr>E2976E6D4ECF4C9391A3F5A064C50637_13</vt:lpwstr>
  </property>
</Properties>
</file>