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jc w:val="center"/>
      </w:pPr>
      <w:r>
        <w:rPr>
          <w:rFonts w:ascii="Arial" w:cs="Arial" w:eastAsia="Arial" w:hAnsi="Arial"/>
          <w:b/>
          <w:bCs/>
          <w:color w:val="1E40AF"/>
          <w:sz w:val="56"/>
          <w:szCs w:val="56"/>
        </w:rPr>
        <w:t xml:space="preserve">SYNTHETIC INDIA</w:t>
      </w:r>
    </w:p>
    <w:p>
      <w:pPr>
        <w:spacing w:before="80"/>
      </w:pPr>
    </w:p>
    <w:p>
      <w:pPr>
        <w:jc w:val="center"/>
      </w:pPr>
      <w:r>
        <w:rPr>
          <w:rFonts w:ascii="Arial" w:cs="Arial" w:eastAsia="Arial" w:hAnsi="Arial"/>
          <w:color w:val="6B7280"/>
          <w:sz w:val="28"/>
          <w:szCs w:val="28"/>
        </w:rPr>
        <w:t xml:space="preserve">AI-Powered Consumer Behavior Simulation Engine</w:t>
      </w:r>
    </w:p>
    <w:p>
      <w:pPr>
        <w:spacing w:before="200"/>
      </w:pPr>
    </w:p>
    <w:p>
      <w:pPr>
        <w:pBdr>
          <w:top w:val="single" w:color="2563EB" w:sz="2" w:space="1"/>
        </w:pBdr>
        <w:spacing w:after="200"/>
        <w:jc w:val="center"/>
      </w:pPr>
    </w:p>
    <w:p>
      <w:pPr>
        <w:spacing w:before="80"/>
      </w:pPr>
    </w:p>
    <w:p>
      <w:pPr>
        <w:jc w:val="center"/>
      </w:pPr>
      <w:r>
        <w:rPr>
          <w:rFonts w:ascii="Arial" w:cs="Arial" w:eastAsia="Arial" w:hAnsi="Arial"/>
          <w:color w:val="2D2D2D"/>
          <w:sz w:val="24"/>
          <w:szCs w:val="24"/>
        </w:rPr>
        <w:t xml:space="preserve">Comprehensive Product Specification v2.0</w:t>
      </w:r>
    </w:p>
    <w:p>
      <w:pPr>
        <w:spacing w:before="80"/>
        <w:jc w:val="center"/>
      </w:pPr>
      <w:r>
        <w:rPr>
          <w:rFonts w:ascii="Arial" w:cs="Arial" w:eastAsia="Arial" w:hAnsi="Arial"/>
          <w:color w:val="6B7280"/>
          <w:sz w:val="20"/>
          <w:szCs w:val="20"/>
        </w:rPr>
        <w:t xml:space="preserve">Architecture • India Use Cases • Modern Agent Capabilities • Build Roadmap</w:t>
      </w:r>
    </w:p>
    <w:p>
      <w:pPr>
        <w:spacing w:before="400"/>
      </w:pPr>
    </w:p>
    <w:p>
      <w:pPr>
        <w:jc w:val="center"/>
      </w:pPr>
      <w:r>
        <w:rPr>
          <w:rFonts w:ascii="Arial" w:cs="Arial" w:eastAsia="Arial" w:hAnsi="Arial"/>
          <w:color w:val="6B7280"/>
          <w:sz w:val="20"/>
          <w:szCs w:val="20"/>
        </w:rPr>
        <w:t xml:space="preserve">March 2026 — Internal: Founding Team Only</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E40AF"/>
          <w:sz w:val="28"/>
          <w:szCs w:val="28"/>
        </w:rPr>
        <w:t xml:space="preserve">Part 1: The Vision</w:t>
      </w:r>
    </w:p>
    <w:p>
      <w:pPr>
        <w:spacing w:after="80" w:before="80"/>
        <w:jc w:val="left"/>
      </w:pPr>
      <w:r>
        <w:rPr>
          <w:rFonts w:ascii="Arial" w:cs="Arial" w:eastAsia="Arial" w:hAnsi="Arial"/>
          <w:color w:val="2D2D2D"/>
          <w:sz w:val="21"/>
          <w:szCs w:val="21"/>
        </w:rPr>
        <w:t xml:space="preserve">Synthetic India is a simulated Indian market — a persistent, living digital population of AI consumers who react to products, ads, and experiences the way real Indian consumers would. Companies inject their product or creative into this simulated world and observe how consumers discover it, react to it, share it, compare it, buy it, or ignore it — before spending a single rupee on real-world testing.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1D5DB" w:sz="1"/>
              <w:left w:val="single" w:color="D1D5DB" w:sz="1"/>
              <w:bottom w:val="single" w:color="D1D5DB" w:sz="1"/>
              <w:right w:val="none"/>
            </w:tcBorders>
            <w:shd w:fill="2563EB" w:val="clear"/>
          </w:tcPr>
          <w:p/>
        </w:tc>
        <w:tc>
          <w:tcPr>
            <w:tcW w:type="dxa" w:w="9160"/>
            <w:tcBorders>
              <w:top w:val="single" w:color="D1D5DB" w:sz="1"/>
              <w:left w:val="single" w:color="D1D5DB" w:sz="1"/>
              <w:bottom w:val="single" w:color="D1D5DB" w:sz="1"/>
              <w:right w:val="single" w:color="D1D5DB" w:sz="1"/>
            </w:tcBorders>
            <w:shd w:fill="F0F4FF" w:val="clear"/>
            <w:tcMar>
              <w:top w:type="dxa" w:w="120"/>
              <w:left w:type="dxa" w:w="200"/>
              <w:bottom w:type="dxa" w:w="120"/>
              <w:right w:type="dxa" w:w="200"/>
            </w:tcMar>
          </w:tcPr>
          <w:p>
            <w:pPr>
              <w:spacing w:after="60"/>
            </w:pPr>
            <w:r>
              <w:rPr>
                <w:rFonts w:ascii="Arial" w:cs="Arial" w:eastAsia="Arial" w:hAnsi="Arial"/>
                <w:b/>
                <w:bCs/>
                <w:color w:val="1E40AF"/>
                <w:sz w:val="21"/>
                <w:szCs w:val="21"/>
              </w:rPr>
              <w:t xml:space="preserve">The Westworld Analogy</w:t>
            </w:r>
          </w:p>
          <w:p>
            <w:pPr>
              <w:spacing w:after="30" w:before="30"/>
            </w:pPr>
            <w:r>
              <w:rPr>
                <w:rFonts w:ascii="Arial" w:cs="Arial" w:eastAsia="Arial" w:hAnsi="Arial"/>
                <w:color w:val="2D2D2D"/>
                <w:sz w:val="20"/>
                <w:szCs w:val="20"/>
              </w:rPr>
              <w:t xml:space="preserve">Imagine a digital India populated by thousands of AI agents. Each one has a life: a job, preferences, moods, financial pressures, social media habits, brand loyalties, and cultural context shaped by their city, language, and family dynamics.</w:t>
            </w:r>
          </w:p>
          <w:p>
            <w:pPr>
              <w:spacing w:after="30" w:before="30"/>
            </w:pPr>
            <w:r>
              <w:rPr>
                <w:rFonts w:ascii="Arial" w:cs="Arial" w:eastAsia="Arial" w:hAnsi="Arial"/>
                <w:color w:val="2D2D2D"/>
                <w:sz w:val="20"/>
                <w:szCs w:val="20"/>
              </w:rPr>
              <w:t xml:space="preserve"/>
            </w:r>
          </w:p>
          <w:p>
            <w:pPr>
              <w:spacing w:after="30" w:before="30"/>
            </w:pPr>
            <w:r>
              <w:rPr>
                <w:rFonts w:ascii="Arial" w:cs="Arial" w:eastAsia="Arial" w:hAnsi="Arial"/>
                <w:color w:val="2D2D2D"/>
                <w:sz w:val="20"/>
                <w:szCs w:val="20"/>
              </w:rPr>
              <w:t xml:space="preserve">When a D2C brand drops a new product into this world, they don’t get a survey response. They get a market simulation: who discovered it, who ignored it, who bought it, who told their friends, who left a negative review, and why.</w:t>
            </w:r>
          </w:p>
        </w:tc>
      </w:tr>
    </w:tbl>
    <w:p>
      <w:pPr>
        <w:spacing w:before="100"/>
      </w:pPr>
    </w:p>
    <w:p>
      <w:pPr>
        <w:pStyle w:val="Heading2"/>
        <w:spacing w:after="150" w:before="300"/>
      </w:pPr>
      <w:r>
        <w:rPr>
          <w:rFonts w:ascii="Arial" w:cs="Arial" w:eastAsia="Arial" w:hAnsi="Arial"/>
          <w:b/>
          <w:bCs/>
          <w:color w:val="2D2D2D"/>
          <w:sz w:val="24"/>
          <w:szCs w:val="24"/>
        </w:rPr>
        <w:t xml:space="preserve">Why This Is Not a Wrapper</w:t>
      </w:r>
    </w:p>
    <w:p>
      <w:pPr>
        <w:spacing w:after="80" w:before="80"/>
        <w:jc w:val="left"/>
      </w:pPr>
      <w:r>
        <w:rPr>
          <w:rFonts w:ascii="Arial" w:cs="Arial" w:eastAsia="Arial" w:hAnsi="Arial"/>
          <w:color w:val="2D2D2D"/>
          <w:sz w:val="21"/>
          <w:szCs w:val="21"/>
        </w:rPr>
        <w:t xml:space="preserve">A wrapper is: prompt an LLM to pretend to be a persona and react to an ad. That’s a single stateless API call. What we are building is fundamentally different across six dimensions: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Wrapper (ChatGPT + Persona Prompt)</w:t>
            </w:r>
          </w:p>
        </w:tc>
        <w:tc>
          <w:tcPr>
            <w:tcW w:type="dxa" w:w="4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Synthetic India</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Stateless — no memory between sessions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Persistent memory — agents remember past ads, past purchases, past brand experiences</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Generic personas — demographics only</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Behavioral archetypes calibrated to Indian consumer psychology with cultural context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Single response — one opinion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Population simulation — segment-level distributions and emergent patterns</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No learning — same response every time</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Reflection — agents form beliefs from accumulated experience that shape future responses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social dynamics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Agent-to-agent influence — word-of-mouth, social proof, trend adoption (Phase 2+)</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No environmental context</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Festival seasons, economic mood, competitive landscape injected into simulation</w:t>
            </w:r>
          </w:p>
        </w:tc>
      </w:tr>
    </w:tbl>
    <w:p>
      <w:pPr>
        <w:pBdr>
          <w:bottom w:val="single" w:color="2563EB" w:sz="2" w:space="1"/>
        </w:pBdr>
        <w:spacing w:after="200" w:before="200"/>
      </w:pPr>
    </w:p>
    <w:p>
      <w:pPr>
        <w:pStyle w:val="Heading1"/>
        <w:spacing w:after="200" w:before="400"/>
      </w:pPr>
      <w:r>
        <w:rPr>
          <w:rFonts w:ascii="Arial" w:cs="Arial" w:eastAsia="Arial" w:hAnsi="Arial"/>
          <w:b/>
          <w:bCs/>
          <w:color w:val="1E40AF"/>
          <w:sz w:val="28"/>
          <w:szCs w:val="28"/>
        </w:rPr>
        <w:t xml:space="preserve">Part 2: What 2026 Technology Makes Possible</w:t>
      </w:r>
    </w:p>
    <w:p>
      <w:pPr>
        <w:spacing w:after="80" w:before="80"/>
        <w:jc w:val="left"/>
      </w:pPr>
      <w:r>
        <w:rPr>
          <w:rFonts w:ascii="Arial" w:cs="Arial" w:eastAsia="Arial" w:hAnsi="Arial"/>
          <w:color w:val="2D2D2D"/>
          <w:sz w:val="21"/>
          <w:szCs w:val="21"/>
        </w:rPr>
        <w:t xml:space="preserve">The Stanford Generative Agents paper (Park et al., 2023) was built on GPT-3.5 with tiny context windows and 25 agents. Three years later, the available technology has dramatically expanded what’s achievable. Here are the specific advances that shape our architecture:</w:t>
      </w:r>
    </w:p>
    <w:p>
      <w:pPr>
        <w:spacing w:before="80"/>
      </w:pPr>
    </w:p>
    <w:p>
      <w:pPr>
        <w:pStyle w:val="Heading2"/>
        <w:spacing w:after="150" w:before="300"/>
      </w:pPr>
      <w:r>
        <w:rPr>
          <w:rFonts w:ascii="Arial" w:cs="Arial" w:eastAsia="Arial" w:hAnsi="Arial"/>
          <w:b/>
          <w:bCs/>
          <w:color w:val="2D2D2D"/>
          <w:sz w:val="24"/>
          <w:szCs w:val="24"/>
        </w:rPr>
        <w:t xml:space="preserve">2.1 Vision-Native Agents</w:t>
      </w:r>
    </w:p>
    <w:p>
      <w:pPr>
        <w:spacing w:after="80" w:before="80"/>
        <w:jc w:val="left"/>
      </w:pPr>
      <w:r>
        <w:rPr>
          <w:rFonts w:ascii="Arial" w:cs="Arial" w:eastAsia="Arial" w:hAnsi="Arial"/>
          <w:color w:val="2D2D2D"/>
          <w:sz w:val="21"/>
          <w:szCs w:val="21"/>
        </w:rPr>
        <w:t xml:space="preserve">In 2023, agents could only process text. Now Claude and GPT can see images natively. Our agents can literally “look at” an ad the way a real consumer does — noticing colors, reading Hinglish copy, seeing the price tag, registering the influencer’s face, absorbing the lifestyle setting.</w:t>
      </w:r>
    </w:p>
    <w:p>
      <w:pPr>
        <w:spacing w:before="40"/>
      </w:pPr>
    </w:p>
    <w:p>
      <w:pPr>
        <w:spacing w:after="80" w:before="80"/>
      </w:pPr>
      <w:r>
        <w:rPr>
          <w:rFonts w:ascii="Arial" w:cs="Arial" w:eastAsia="Arial" w:hAnsi="Arial"/>
          <w:b/>
          <w:bCs/>
          <w:color w:val="2D2D2D"/>
          <w:sz w:val="21"/>
          <w:szCs w:val="21"/>
        </w:rPr>
        <w:t xml:space="preserve">What this means: </w:t>
      </w:r>
      <w:r>
        <w:rPr>
          <w:rFonts w:ascii="Arial" w:cs="Arial" w:eastAsia="Arial" w:hAnsi="Arial"/>
          <w:color w:val="2D2D2D"/>
          <w:sz w:val="21"/>
          <w:szCs w:val="21"/>
        </w:rPr>
        <w:t xml:space="preserve">Instead of relying solely on a CreativeCard JSON extraction (which is lossy), we can send the raw ad image directly to each persona alongside the structured data. The persona sees what a real consumer sees. The CreativeCard becomes supplementary metadata, not the only input.</w:t>
      </w:r>
    </w:p>
    <w:p>
      <w:pPr>
        <w:spacing w:before="40"/>
      </w:pPr>
    </w:p>
    <w:p>
      <w:pPr>
        <w:spacing w:after="80" w:before="80"/>
      </w:pPr>
      <w:r>
        <w:rPr>
          <w:rFonts w:ascii="Arial" w:cs="Arial" w:eastAsia="Arial" w:hAnsi="Arial"/>
          <w:b/>
          <w:bCs/>
          <w:color w:val="2D2D2D"/>
          <w:sz w:val="21"/>
          <w:szCs w:val="21"/>
        </w:rPr>
        <w:t xml:space="preserve">Architecture impact: </w:t>
      </w:r>
      <w:r>
        <w:rPr>
          <w:rFonts w:ascii="Arial" w:cs="Arial" w:eastAsia="Arial" w:hAnsi="Arial"/>
          <w:color w:val="2D2D2D"/>
          <w:sz w:val="21"/>
          <w:szCs w:val="21"/>
        </w:rPr>
        <w:t xml:space="preserve">The evaluation prompt includes both the raw image and the extracted CreativeCard. If the vision model in extraction missed something (e.g., small print disclaimer, background cultural cue), the persona’s direct image perception can still catch it.</w:t>
      </w:r>
    </w:p>
    <w:p>
      <w:pPr>
        <w:spacing w:before="100"/>
      </w:pPr>
    </w:p>
    <w:p>
      <w:pPr>
        <w:pStyle w:val="Heading2"/>
        <w:spacing w:after="150" w:before="300"/>
      </w:pPr>
      <w:r>
        <w:rPr>
          <w:rFonts w:ascii="Arial" w:cs="Arial" w:eastAsia="Arial" w:hAnsi="Arial"/>
          <w:b/>
          <w:bCs/>
          <w:color w:val="2D2D2D"/>
          <w:sz w:val="24"/>
          <w:szCs w:val="24"/>
        </w:rPr>
        <w:t xml:space="preserve">2.2 Massive Context Windows (200K+ Tokens)</w:t>
      </w:r>
    </w:p>
    <w:p>
      <w:pPr>
        <w:spacing w:after="80" w:before="80"/>
        <w:jc w:val="left"/>
      </w:pPr>
      <w:r>
        <w:rPr>
          <w:rFonts w:ascii="Arial" w:cs="Arial" w:eastAsia="Arial" w:hAnsi="Arial"/>
          <w:color w:val="2D2D2D"/>
          <w:sz w:val="21"/>
          <w:szCs w:val="21"/>
        </w:rPr>
        <w:t xml:space="preserve">The Stanford paper built elaborate retrieval systems because nothing fit in the prompt. With 200K token context windows, we can fit an agent’s entire life history — every ad they’ve seen, every reaction, every reflection — directly into the prompt for the first 50-100 simulations per persona.</w:t>
      </w:r>
    </w:p>
    <w:p>
      <w:pPr>
        <w:spacing w:before="40"/>
      </w:pPr>
    </w:p>
    <w:p>
      <w:pPr>
        <w:spacing w:after="80" w:before="80"/>
      </w:pPr>
      <w:r>
        <w:rPr>
          <w:rFonts w:ascii="Arial" w:cs="Arial" w:eastAsia="Arial" w:hAnsi="Arial"/>
          <w:b/>
          <w:bCs/>
          <w:color w:val="2D2D2D"/>
          <w:sz w:val="21"/>
          <w:szCs w:val="21"/>
        </w:rPr>
        <w:t xml:space="preserve">What this means: </w:t>
      </w:r>
      <w:r>
        <w:rPr>
          <w:rFonts w:ascii="Arial" w:cs="Arial" w:eastAsia="Arial" w:hAnsi="Arial"/>
          <w:color w:val="2D2D2D"/>
          <w:sz w:val="21"/>
          <w:szCs w:val="21"/>
        </w:rPr>
        <w:t xml:space="preserve">For Phase 1-2, we can skip complex vector retrieval and simply include the full memory stream in context. This eliminates retrieval errors, which the Stanford paper identified as one of the most common failure modes. We only need retrieval infrastructure when memory exceeds the context window (Phase 3+, after hundreds of simulation runs per persona).</w:t>
      </w:r>
    </w:p>
    <w:p>
      <w:pPr>
        <w:spacing w:before="40"/>
      </w:pPr>
    </w:p>
    <w:p>
      <w:pPr>
        <w:spacing w:after="80" w:before="80"/>
      </w:pPr>
      <w:r>
        <w:rPr>
          <w:rFonts w:ascii="Arial" w:cs="Arial" w:eastAsia="Arial" w:hAnsi="Arial"/>
          <w:b/>
          <w:bCs/>
          <w:color w:val="2D2D2D"/>
          <w:sz w:val="21"/>
          <w:szCs w:val="21"/>
        </w:rPr>
        <w:t xml:space="preserve">Architecture impact: </w:t>
      </w:r>
      <w:r>
        <w:rPr>
          <w:rFonts w:ascii="Arial" w:cs="Arial" w:eastAsia="Arial" w:hAnsi="Arial"/>
          <w:color w:val="2D2D2D"/>
          <w:sz w:val="21"/>
          <w:szCs w:val="21"/>
        </w:rPr>
        <w:t xml:space="preserve">Your brother’s memory retrieval system (recency + relevance + importance) is the correct long-term architecture. But for early simulations, implement a “full dump” mode that injects all memories directly. Add retrieval as an optimization later, not a requirement now.</w:t>
      </w:r>
    </w:p>
    <w:p>
      <w:pPr>
        <w:spacing w:before="100"/>
      </w:pPr>
    </w:p>
    <w:p>
      <w:pPr>
        <w:pStyle w:val="Heading2"/>
        <w:spacing w:after="150" w:before="300"/>
      </w:pPr>
      <w:r>
        <w:rPr>
          <w:rFonts w:ascii="Arial" w:cs="Arial" w:eastAsia="Arial" w:hAnsi="Arial"/>
          <w:b/>
          <w:bCs/>
          <w:color w:val="2D2D2D"/>
          <w:sz w:val="24"/>
          <w:szCs w:val="24"/>
        </w:rPr>
        <w:t xml:space="preserve">2.3 Structured Output and Tool Use</w:t>
      </w:r>
    </w:p>
    <w:p>
      <w:pPr>
        <w:spacing w:after="80" w:before="80"/>
        <w:jc w:val="left"/>
      </w:pPr>
      <w:r>
        <w:rPr>
          <w:rFonts w:ascii="Arial" w:cs="Arial" w:eastAsia="Arial" w:hAnsi="Arial"/>
          <w:color w:val="2D2D2D"/>
          <w:sz w:val="21"/>
          <w:szCs w:val="21"/>
        </w:rPr>
        <w:t xml:space="preserve">Getting LLMs to output consistent JSON was unreliable in 2023. Now structured output is native — Claude and GPT can enforce exact schemas at the API level. Your Pydantic models (PersonaEvaluation, CreativeCard, AgentRecommendation) can be enforced directly.</w:t>
      </w:r>
    </w:p>
    <w:p>
      <w:pPr>
        <w:spacing w:before="40"/>
      </w:pPr>
    </w:p>
    <w:p>
      <w:pPr>
        <w:spacing w:after="80" w:before="80"/>
      </w:pPr>
      <w:r>
        <w:rPr>
          <w:rFonts w:ascii="Arial" w:cs="Arial" w:eastAsia="Arial" w:hAnsi="Arial"/>
          <w:b/>
          <w:bCs/>
          <w:color w:val="2D2D2D"/>
          <w:sz w:val="21"/>
          <w:szCs w:val="21"/>
        </w:rPr>
        <w:t xml:space="preserve">Architecture impact: </w:t>
      </w:r>
      <w:r>
        <w:rPr>
          <w:rFonts w:ascii="Arial" w:cs="Arial" w:eastAsia="Arial" w:hAnsi="Arial"/>
          <w:color w:val="2D2D2D"/>
          <w:sz w:val="21"/>
          <w:szCs w:val="21"/>
        </w:rPr>
        <w:t xml:space="preserve">No more parsing errors or “the agent returned a weird format.” The Pydantic schemas in the current codebase are correct. Enforce them at the API call level for guaranteed structured output on every evaluation.</w:t>
      </w:r>
    </w:p>
    <w:p>
      <w:pPr>
        <w:spacing w:before="100"/>
      </w:pPr>
    </w:p>
    <w:p>
      <w:pPr>
        <w:pStyle w:val="Heading2"/>
        <w:spacing w:after="150" w:before="300"/>
      </w:pPr>
      <w:r>
        <w:rPr>
          <w:rFonts w:ascii="Arial" w:cs="Arial" w:eastAsia="Arial" w:hAnsi="Arial"/>
          <w:b/>
          <w:bCs/>
          <w:color w:val="2D2D2D"/>
          <w:sz w:val="24"/>
          <w:szCs w:val="24"/>
        </w:rPr>
        <w:t xml:space="preserve">2.4 Multi-Agent Orchestration Frameworks</w:t>
      </w:r>
    </w:p>
    <w:p>
      <w:pPr>
        <w:spacing w:after="80" w:before="80"/>
        <w:jc w:val="left"/>
      </w:pPr>
      <w:r>
        <w:rPr>
          <w:rFonts w:ascii="Arial" w:cs="Arial" w:eastAsia="Arial" w:hAnsi="Arial"/>
          <w:color w:val="2D2D2D"/>
          <w:sz w:val="21"/>
          <w:szCs w:val="21"/>
        </w:rPr>
        <w:t xml:space="preserve">In 2023, multi-agent systems were hand-coded loops. Now frameworks like CrewAI, AutoGen, and LangGraph handle agent-to-agent communication, shared memory, and orchestration natively. This makes the Phase 2 social influence layer much easier to build.</w:t>
      </w:r>
    </w:p>
    <w:p>
      <w:pPr>
        <w:spacing w:before="40"/>
      </w:pPr>
    </w:p>
    <w:p>
      <w:pPr>
        <w:spacing w:after="80" w:before="80"/>
      </w:pPr>
      <w:r>
        <w:rPr>
          <w:rFonts w:ascii="Arial" w:cs="Arial" w:eastAsia="Arial" w:hAnsi="Arial"/>
          <w:b/>
          <w:bCs/>
          <w:color w:val="2D2D2D"/>
          <w:sz w:val="21"/>
          <w:szCs w:val="21"/>
        </w:rPr>
        <w:t xml:space="preserve">Architecture impact: </w:t>
      </w:r>
      <w:r>
        <w:rPr>
          <w:rFonts w:ascii="Arial" w:cs="Arial" w:eastAsia="Arial" w:hAnsi="Arial"/>
          <w:color w:val="2D2D2D"/>
          <w:sz w:val="21"/>
          <w:szCs w:val="21"/>
        </w:rPr>
        <w:t xml:space="preserve">When we add agent-to-agent influence (personas discussing an ad and changing each other’s minds), we don’t need to build communication infrastructure from scratch. The hard part is designing the social dynamics — who talks to whom, how influence works, what triggers word-of-mouth — not the plumbing.</w:t>
      </w:r>
    </w:p>
    <w:p>
      <w:pPr>
        <w:spacing w:before="100"/>
      </w:pPr>
    </w:p>
    <w:p>
      <w:pPr>
        <w:pStyle w:val="Heading2"/>
        <w:spacing w:after="150" w:before="300"/>
      </w:pPr>
      <w:r>
        <w:rPr>
          <w:rFonts w:ascii="Arial" w:cs="Arial" w:eastAsia="Arial" w:hAnsi="Arial"/>
          <w:b/>
          <w:bCs/>
          <w:color w:val="2D2D2D"/>
          <w:sz w:val="24"/>
          <w:szCs w:val="24"/>
        </w:rPr>
        <w:t xml:space="preserve">2.5 Dramatically Cheaper Inference</w:t>
      </w:r>
    </w:p>
    <w:p>
      <w:pPr>
        <w:spacing w:after="80" w:before="80"/>
        <w:jc w:val="left"/>
      </w:pPr>
      <w:r>
        <w:rPr>
          <w:rFonts w:ascii="Arial" w:cs="Arial" w:eastAsia="Arial" w:hAnsi="Arial"/>
          <w:color w:val="2D2D2D"/>
          <w:sz w:val="21"/>
          <w:szCs w:val="21"/>
        </w:rPr>
        <w:t xml:space="preserve">The Stanford study cost thousands of dollars for 25 agents over 2 days. With Claude Haiku, GPT-4o-mini, and similar models, the same volume costs 5-10% as much. A single creative evaluation with 20 agents costs under ₹100 in API fees.</w:t>
      </w:r>
    </w:p>
    <w:p>
      <w:pPr>
        <w:spacing w:before="40"/>
      </w:pPr>
    </w:p>
    <w:p>
      <w:pPr>
        <w:spacing w:after="80" w:before="80"/>
      </w:pPr>
      <w:r>
        <w:rPr>
          <w:rFonts w:ascii="Arial" w:cs="Arial" w:eastAsia="Arial" w:hAnsi="Arial"/>
          <w:b/>
          <w:bCs/>
          <w:color w:val="2D2D2D"/>
          <w:sz w:val="21"/>
          <w:szCs w:val="21"/>
        </w:rPr>
        <w:t xml:space="preserve">Architecture impact: </w:t>
      </w:r>
      <w:r>
        <w:rPr>
          <w:rFonts w:ascii="Arial" w:cs="Arial" w:eastAsia="Arial" w:hAnsi="Arial"/>
          <w:color w:val="2D2D2D"/>
          <w:sz w:val="21"/>
          <w:szCs w:val="21"/>
        </w:rPr>
        <w:t xml:space="preserve">We can afford 50 personas instead of 5. We can afford re-runs for prompt tuning. We can afford the Phase 2 agent-to-agent conversations. Use cheaper models (Haiku/4o-mini) for high-volume evaluation runs. Use premium models (Sonnet/GPT-4o) for the Critic agent and report generation where quality matters most.</w:t>
      </w:r>
    </w:p>
    <w:p>
      <w:pPr>
        <w:spacing w:before="100"/>
      </w:pPr>
    </w:p>
    <w:p>
      <w:pPr>
        <w:pStyle w:val="Heading2"/>
        <w:spacing w:after="150" w:before="300"/>
      </w:pPr>
      <w:r>
        <w:rPr>
          <w:rFonts w:ascii="Arial" w:cs="Arial" w:eastAsia="Arial" w:hAnsi="Arial"/>
          <w:b/>
          <w:bCs/>
          <w:color w:val="2D2D2D"/>
          <w:sz w:val="24"/>
          <w:szCs w:val="24"/>
        </w:rPr>
        <w:t xml:space="preserve">2.6 Embedding Models for Memory Retrieval</w:t>
      </w:r>
    </w:p>
    <w:p>
      <w:pPr>
        <w:spacing w:after="80" w:before="80"/>
        <w:jc w:val="left"/>
      </w:pPr>
      <w:r>
        <w:rPr>
          <w:rFonts w:ascii="Arial" w:cs="Arial" w:eastAsia="Arial" w:hAnsi="Arial"/>
          <w:color w:val="2D2D2D"/>
          <w:sz w:val="21"/>
          <w:szCs w:val="21"/>
        </w:rPr>
        <w:t xml:space="preserve">Embedding models are now cheap, fast, and available via API (OpenAI text-embedding-3-small, Cohere embed-v3). When memory streams grow beyond context window limits, cosine similarity over embeddings provides the relevance scoring the Stanford paper describes — without expensive LLM calls for every retrieval.</w:t>
      </w:r>
    </w:p>
    <w:p>
      <w:pPr>
        <w:spacing w:before="40"/>
      </w:pPr>
    </w:p>
    <w:p>
      <w:pPr>
        <w:spacing w:after="80" w:before="80"/>
      </w:pPr>
      <w:r>
        <w:rPr>
          <w:rFonts w:ascii="Arial" w:cs="Arial" w:eastAsia="Arial" w:hAnsi="Arial"/>
          <w:b/>
          <w:bCs/>
          <w:color w:val="2D2D2D"/>
          <w:sz w:val="21"/>
          <w:szCs w:val="21"/>
        </w:rPr>
        <w:t xml:space="preserve">Architecture impact: </w:t>
      </w:r>
      <w:r>
        <w:rPr>
          <w:rFonts w:ascii="Arial" w:cs="Arial" w:eastAsia="Arial" w:hAnsi="Arial"/>
          <w:color w:val="2D2D2D"/>
          <w:sz w:val="21"/>
          <w:szCs w:val="21"/>
        </w:rPr>
        <w:t xml:space="preserve">The memory retrieval formula (score = α·recency + β·relevance + γ·importance) can use embeddings for the relevance component. This is already noted in the thoughts.md roadmap as a future addition. Implement when memory exceeds ~50 entries per persona.</w:t>
      </w:r>
    </w:p>
    <w:p>
      <w:pPr>
        <w:pBdr>
          <w:bottom w:val="single" w:color="2563EB" w:sz="2" w:space="1"/>
        </w:pBdr>
        <w:spacing w:after="200" w:before="200"/>
      </w:pPr>
    </w:p>
    <w:p>
      <w:pPr>
        <w:pStyle w:val="Heading1"/>
        <w:spacing w:after="200" w:before="400"/>
      </w:pPr>
      <w:r>
        <w:rPr>
          <w:rFonts w:ascii="Arial" w:cs="Arial" w:eastAsia="Arial" w:hAnsi="Arial"/>
          <w:b/>
          <w:bCs/>
          <w:color w:val="1E40AF"/>
          <w:sz w:val="28"/>
          <w:szCs w:val="28"/>
        </w:rPr>
        <w:t xml:space="preserve">Part 3: Core Architecture</w:t>
      </w:r>
    </w:p>
    <w:p>
      <w:pPr>
        <w:spacing w:after="80" w:before="80"/>
        <w:jc w:val="left"/>
      </w:pPr>
      <w:r>
        <w:rPr>
          <w:rFonts w:ascii="Arial" w:cs="Arial" w:eastAsia="Arial" w:hAnsi="Arial"/>
          <w:color w:val="2D2D2D"/>
          <w:sz w:val="21"/>
          <w:szCs w:val="21"/>
        </w:rPr>
        <w:t xml:space="preserve">This section describes the system architecture as designed in thoughts.md, with annotations on where the new tech capabilities apply.</w:t>
      </w:r>
    </w:p>
    <w:p>
      <w:pPr>
        <w:spacing w:before="80"/>
      </w:pPr>
    </w:p>
    <w:p>
      <w:pPr>
        <w:pStyle w:val="Heading2"/>
        <w:spacing w:after="150" w:before="300"/>
      </w:pPr>
      <w:r>
        <w:rPr>
          <w:rFonts w:ascii="Arial" w:cs="Arial" w:eastAsia="Arial" w:hAnsi="Arial"/>
          <w:b/>
          <w:bCs/>
          <w:color w:val="2D2D2D"/>
          <w:sz w:val="24"/>
          <w:szCs w:val="24"/>
        </w:rPr>
        <w:t xml:space="preserve">3.1 Data Flow Overview</w:t>
      </w:r>
    </w:p>
    <w:p>
      <w:pPr>
        <w:spacing w:after="80" w:before="80"/>
        <w:jc w:val="left"/>
      </w:pPr>
      <w:r>
        <w:rPr>
          <w:rFonts w:ascii="Arial" w:cs="Arial" w:eastAsia="Arial" w:hAnsi="Arial"/>
          <w:color w:val="2D2D2D"/>
          <w:sz w:val="21"/>
          <w:szCs w:val="21"/>
        </w:rPr>
        <w:t xml:space="preserve">The pipeline flows through six stages: Creative Analysis → Cohort Selection → Persona Evaluation → Memory Update → Aggregation → Recommendation. This matches the current thoughts.md architecture exactly.</w:t>
      </w:r>
    </w:p>
    <w:p>
      <w:pPr>
        <w:spacing w:before="100"/>
      </w:pPr>
    </w:p>
    <w:p>
      <w:pPr>
        <w:pStyle w:val="Heading2"/>
        <w:spacing w:after="150" w:before="300"/>
      </w:pPr>
      <w:r>
        <w:rPr>
          <w:rFonts w:ascii="Arial" w:cs="Arial" w:eastAsia="Arial" w:hAnsi="Arial"/>
          <w:b/>
          <w:bCs/>
          <w:color w:val="2D2D2D"/>
          <w:sz w:val="24"/>
          <w:szCs w:val="24"/>
        </w:rPr>
        <w:t xml:space="preserve">3.2 The Three-Layer Agent Model</w:t>
      </w:r>
    </w:p>
    <w:p>
      <w:pPr>
        <w:spacing w:before="40"/>
      </w:pPr>
    </w:p>
    <w:p>
      <w:pPr>
        <w:spacing w:after="100" w:before="200"/>
      </w:pPr>
      <w:r>
        <w:rPr>
          <w:rFonts w:ascii="Arial" w:cs="Arial" w:eastAsia="Arial" w:hAnsi="Arial"/>
          <w:b/>
          <w:bCs/>
          <w:color w:val="2563EB"/>
          <w:sz w:val="22"/>
          <w:szCs w:val="22"/>
        </w:rPr>
        <w:t xml:space="preserve">Layer 1: The Soul (Persona Profile)</w:t>
      </w:r>
    </w:p>
    <w:p>
      <w:pPr>
        <w:spacing w:after="80" w:before="80"/>
        <w:jc w:val="left"/>
      </w:pPr>
      <w:r>
        <w:rPr>
          <w:rFonts w:ascii="Arial" w:cs="Arial" w:eastAsia="Arial" w:hAnsi="Arial"/>
          <w:color w:val="2D2D2D"/>
          <w:sz w:val="21"/>
          <w:szCs w:val="21"/>
        </w:rPr>
        <w:t xml:space="preserve">A detailed behavioral profile governing how the agent thinks and decides. Not just demographics — purchase psychology, price sensitivity, brand relationship patterns, media behavior, emotional triggers, and cultural context.</w:t>
      </w:r>
    </w:p>
    <w:p>
      <w:pPr>
        <w:spacing w:before="40"/>
      </w:pPr>
    </w:p>
    <w:p>
      <w:pPr>
        <w:spacing w:after="80" w:before="80"/>
        <w:jc w:val="left"/>
      </w:pPr>
      <w:r>
        <w:rPr>
          <w:rFonts w:ascii="Arial" w:cs="Arial" w:eastAsia="Arial" w:hAnsi="Arial"/>
          <w:color w:val="2D2D2D"/>
          <w:sz w:val="21"/>
          <w:szCs w:val="21"/>
        </w:rPr>
        <w:t xml:space="preserve">Key persona attributes for Indian consumer simulation:</w:t>
      </w:r>
    </w:p>
    <w:p>
      <w:pPr>
        <w:pStyle w:val="ListParagraph"/>
        <w:numPr>
          <w:ilvl w:val="0"/>
          <w:numId w:val="2"/>
        </w:numPr>
        <w:spacing w:after="40" w:before="40"/>
      </w:pPr>
      <w:r>
        <w:rPr>
          <w:rFonts w:ascii="Arial" w:cs="Arial" w:eastAsia="Arial" w:hAnsi="Arial"/>
          <w:b/>
          <w:bCs/>
          <w:color w:val="2D2D2D"/>
          <w:sz w:val="21"/>
          <w:szCs w:val="21"/>
        </w:rPr>
        <w:t xml:space="preserve">Purchase psychology: </w:t>
      </w:r>
      <w:r>
        <w:rPr>
          <w:rFonts w:ascii="Arial" w:cs="Arial" w:eastAsia="Arial" w:hAnsi="Arial"/>
          <w:color w:val="2D2D2D"/>
          <w:sz w:val="21"/>
          <w:szCs w:val="21"/>
        </w:rPr>
        <w:t xml:space="preserve">How they evaluate, compare, and decide. Research depth, impulse tendency, decision speed.</w:t>
      </w:r>
    </w:p>
    <w:p>
      <w:pPr>
        <w:pStyle w:val="ListParagraph"/>
        <w:numPr>
          <w:ilvl w:val="0"/>
          <w:numId w:val="2"/>
        </w:numPr>
        <w:spacing w:after="40" w:before="40"/>
      </w:pPr>
      <w:r>
        <w:rPr>
          <w:rFonts w:ascii="Arial" w:cs="Arial" w:eastAsia="Arial" w:hAnsi="Arial"/>
          <w:b/>
          <w:bCs/>
          <w:color w:val="2D2D2D"/>
          <w:sz w:val="21"/>
          <w:szCs w:val="21"/>
        </w:rPr>
        <w:t xml:space="preserve">Price sensitivity: </w:t>
      </w:r>
      <w:r>
        <w:rPr>
          <w:rFonts w:ascii="Arial" w:cs="Arial" w:eastAsia="Arial" w:hAnsi="Arial"/>
          <w:color w:val="2D2D2D"/>
          <w:sz w:val="21"/>
          <w:szCs w:val="21"/>
        </w:rPr>
        <w:t xml:space="preserve">Reference prices per category, discount responsiveness, value-for-money calculation habits.</w:t>
      </w:r>
    </w:p>
    <w:p>
      <w:pPr>
        <w:pStyle w:val="ListParagraph"/>
        <w:numPr>
          <w:ilvl w:val="0"/>
          <w:numId w:val="2"/>
        </w:numPr>
        <w:spacing w:after="40" w:before="40"/>
      </w:pPr>
      <w:r>
        <w:rPr>
          <w:rFonts w:ascii="Arial" w:cs="Arial" w:eastAsia="Arial" w:hAnsi="Arial"/>
          <w:b/>
          <w:bCs/>
          <w:color w:val="2D2D2D"/>
          <w:sz w:val="21"/>
          <w:szCs w:val="21"/>
        </w:rPr>
        <w:t xml:space="preserve">Brand trust formation: </w:t>
      </w:r>
      <w:r>
        <w:rPr>
          <w:rFonts w:ascii="Arial" w:cs="Arial" w:eastAsia="Arial" w:hAnsi="Arial"/>
          <w:color w:val="2D2D2D"/>
          <w:sz w:val="21"/>
          <w:szCs w:val="21"/>
        </w:rPr>
        <w:t xml:space="preserve">How many touchpoints before trying a new brand. Role of reviews, influencer endorsements, friend recommendations.</w:t>
      </w:r>
    </w:p>
    <w:p>
      <w:pPr>
        <w:pStyle w:val="ListParagraph"/>
        <w:numPr>
          <w:ilvl w:val="0"/>
          <w:numId w:val="2"/>
        </w:numPr>
        <w:spacing w:after="40" w:before="40"/>
      </w:pPr>
      <w:r>
        <w:rPr>
          <w:rFonts w:ascii="Arial" w:cs="Arial" w:eastAsia="Arial" w:hAnsi="Arial"/>
          <w:b/>
          <w:bCs/>
          <w:color w:val="2D2D2D"/>
          <w:sz w:val="21"/>
          <w:szCs w:val="21"/>
        </w:rPr>
        <w:t xml:space="preserve">Social proof dependency: </w:t>
      </w:r>
      <w:r>
        <w:rPr>
          <w:rFonts w:ascii="Arial" w:cs="Arial" w:eastAsia="Arial" w:hAnsi="Arial"/>
          <w:color w:val="2D2D2D"/>
          <w:sz w:val="21"/>
          <w:szCs w:val="21"/>
        </w:rPr>
        <w:t xml:space="preserve">Instagram influence, YouTube review reliance, family/friend recommendation weight.</w:t>
      </w:r>
    </w:p>
    <w:p>
      <w:pPr>
        <w:pStyle w:val="ListParagraph"/>
        <w:numPr>
          <w:ilvl w:val="0"/>
          <w:numId w:val="2"/>
        </w:numPr>
        <w:spacing w:after="40" w:before="40"/>
      </w:pPr>
      <w:r>
        <w:rPr>
          <w:rFonts w:ascii="Arial" w:cs="Arial" w:eastAsia="Arial" w:hAnsi="Arial"/>
          <w:b/>
          <w:bCs/>
          <w:color w:val="2D2D2D"/>
          <w:sz w:val="21"/>
          <w:szCs w:val="21"/>
        </w:rPr>
        <w:t xml:space="preserve">Cultural context: </w:t>
      </w:r>
      <w:r>
        <w:rPr>
          <w:rFonts w:ascii="Arial" w:cs="Arial" w:eastAsia="Arial" w:hAnsi="Arial"/>
          <w:color w:val="2D2D2D"/>
          <w:sz w:val="21"/>
          <w:szCs w:val="21"/>
        </w:rPr>
        <w:t xml:space="preserve">Language preference (English/Hinglish/regional), festival buying patterns, family influence on purchases, city tier behavior.</w:t>
      </w:r>
    </w:p>
    <w:p>
      <w:pPr>
        <w:pStyle w:val="ListParagraph"/>
        <w:numPr>
          <w:ilvl w:val="0"/>
          <w:numId w:val="2"/>
        </w:numPr>
        <w:spacing w:after="40" w:before="40"/>
      </w:pPr>
      <w:r>
        <w:rPr>
          <w:rFonts w:ascii="Arial" w:cs="Arial" w:eastAsia="Arial" w:hAnsi="Arial"/>
          <w:b/>
          <w:bCs/>
          <w:color w:val="2D2D2D"/>
          <w:sz w:val="21"/>
          <w:szCs w:val="21"/>
        </w:rPr>
        <w:t xml:space="preserve">Category involvement: </w:t>
      </w:r>
      <w:r>
        <w:rPr>
          <w:rFonts w:ascii="Arial" w:cs="Arial" w:eastAsia="Arial" w:hAnsi="Arial"/>
          <w:color w:val="2D2D2D"/>
          <w:sz w:val="21"/>
          <w:szCs w:val="21"/>
        </w:rPr>
        <w:t xml:space="preserve">Is this a high-consideration or impulse category for this persona? Skincare = high research for some, impulse for others.</w:t>
      </w:r>
    </w:p>
    <w:p>
      <w:pPr>
        <w:spacing w:before="100"/>
      </w:pPr>
    </w:p>
    <w:p>
      <w:pPr>
        <w:spacing w:after="100" w:before="200"/>
      </w:pPr>
      <w:r>
        <w:rPr>
          <w:rFonts w:ascii="Arial" w:cs="Arial" w:eastAsia="Arial" w:hAnsi="Arial"/>
          <w:b/>
          <w:bCs/>
          <w:color w:val="2563EB"/>
          <w:sz w:val="22"/>
          <w:szCs w:val="22"/>
        </w:rPr>
        <w:t xml:space="preserve">Layer 2: The Memory (Stream + Retrieval + Reflection)</w:t>
      </w:r>
    </w:p>
    <w:p>
      <w:pPr>
        <w:spacing w:after="80" w:before="80"/>
        <w:jc w:val="left"/>
      </w:pPr>
      <w:r>
        <w:rPr>
          <w:rFonts w:ascii="Arial" w:cs="Arial" w:eastAsia="Arial" w:hAnsi="Arial"/>
          <w:color w:val="2D2D2D"/>
          <w:sz w:val="21"/>
          <w:szCs w:val="21"/>
        </w:rPr>
        <w:t xml:space="preserve">Directly adapted from the Stanford Generative Agents paper. Each persona maintains a memory stream — an append-only log of:</w:t>
      </w:r>
    </w:p>
    <w:p>
      <w:pPr>
        <w:pStyle w:val="ListParagraph"/>
        <w:numPr>
          <w:ilvl w:val="0"/>
          <w:numId w:val="2"/>
        </w:numPr>
        <w:spacing w:after="40" w:before="40"/>
      </w:pPr>
      <w:r>
        <w:rPr>
          <w:rFonts w:ascii="Arial" w:cs="Arial" w:eastAsia="Arial" w:hAnsi="Arial"/>
          <w:color w:val="2D2D2D"/>
          <w:sz w:val="21"/>
          <w:szCs w:val="21"/>
        </w:rPr>
        <w:t xml:space="preserve">Observations: Ads seen, products evaluated, creative reactions</w:t>
      </w:r>
    </w:p>
    <w:p>
      <w:pPr>
        <w:pStyle w:val="ListParagraph"/>
        <w:numPr>
          <w:ilvl w:val="0"/>
          <w:numId w:val="2"/>
        </w:numPr>
        <w:spacing w:after="40" w:before="40"/>
      </w:pPr>
      <w:r>
        <w:rPr>
          <w:rFonts w:ascii="Arial" w:cs="Arial" w:eastAsia="Arial" w:hAnsi="Arial"/>
          <w:color w:val="2D2D2D"/>
          <w:sz w:val="21"/>
          <w:szCs w:val="21"/>
        </w:rPr>
        <w:t xml:space="preserve">Reflections: Higher-level beliefs formed from accumulated observations</w:t>
      </w:r>
    </w:p>
    <w:p>
      <w:pPr>
        <w:pStyle w:val="ListParagraph"/>
        <w:numPr>
          <w:ilvl w:val="0"/>
          <w:numId w:val="2"/>
        </w:numPr>
        <w:spacing w:after="40" w:before="40"/>
      </w:pPr>
      <w:r>
        <w:rPr>
          <w:rFonts w:ascii="Arial" w:cs="Arial" w:eastAsia="Arial" w:hAnsi="Arial"/>
          <w:color w:val="2D2D2D"/>
          <w:sz w:val="21"/>
          <w:szCs w:val="21"/>
        </w:rPr>
        <w:t xml:space="preserve">Plans: Future purchase intentions, brand consideration sets</w:t>
      </w:r>
    </w:p>
    <w:p>
      <w:pPr>
        <w:spacing w:before="40"/>
      </w:pPr>
    </w:p>
    <w:p>
      <w:pPr>
        <w:spacing w:after="80" w:before="80"/>
        <w:jc w:val="left"/>
      </w:pPr>
      <w:r>
        <w:rPr>
          <w:rFonts w:ascii="Arial" w:cs="Arial" w:eastAsia="Arial" w:hAnsi="Arial"/>
          <w:color w:val="2D2D2D"/>
          <w:sz w:val="21"/>
          <w:szCs w:val="21"/>
        </w:rPr>
        <w:t xml:space="preserve">Memory retrieval scores each memory on three dimensions:</w:t>
      </w:r>
    </w:p>
    <w:p>
      <w:pPr>
        <w:pStyle w:val="ListParagraph"/>
        <w:numPr>
          <w:ilvl w:val="0"/>
          <w:numId w:val="2"/>
        </w:numPr>
        <w:spacing w:after="40" w:before="40"/>
      </w:pPr>
      <w:r>
        <w:rPr>
          <w:rFonts w:ascii="Arial" w:cs="Arial" w:eastAsia="Arial" w:hAnsi="Arial"/>
          <w:color w:val="2D2D2D"/>
          <w:sz w:val="21"/>
          <w:szCs w:val="21"/>
        </w:rPr>
        <w:t xml:space="preserve">Recency: Exponential decay — recent memories surface more readily (decay factor 0.995 per simulated hour)</w:t>
      </w:r>
    </w:p>
    <w:p>
      <w:pPr>
        <w:pStyle w:val="ListParagraph"/>
        <w:numPr>
          <w:ilvl w:val="0"/>
          <w:numId w:val="2"/>
        </w:numPr>
        <w:spacing w:after="40" w:before="40"/>
      </w:pPr>
      <w:r>
        <w:rPr>
          <w:rFonts w:ascii="Arial" w:cs="Arial" w:eastAsia="Arial" w:hAnsi="Arial"/>
          <w:color w:val="2D2D2D"/>
          <w:sz w:val="21"/>
          <w:szCs w:val="21"/>
        </w:rPr>
        <w:t xml:space="preserve">Relevance: Cosine similarity between the current creative/context and the memory (embedding-based or keyword fallback)</w:t>
      </w:r>
    </w:p>
    <w:p>
      <w:pPr>
        <w:pStyle w:val="ListParagraph"/>
        <w:numPr>
          <w:ilvl w:val="0"/>
          <w:numId w:val="2"/>
        </w:numPr>
        <w:spacing w:after="40" w:before="40"/>
      </w:pPr>
      <w:r>
        <w:rPr>
          <w:rFonts w:ascii="Arial" w:cs="Arial" w:eastAsia="Arial" w:hAnsi="Arial"/>
          <w:color w:val="2D2D2D"/>
          <w:sz w:val="21"/>
          <w:szCs w:val="21"/>
        </w:rPr>
        <w:t xml:space="preserve">Importance: LLM-scored poignancy (1-10) — a bad product experience scores higher than seeing a forgettable ad</w:t>
      </w:r>
    </w:p>
    <w:p>
      <w:pPr>
        <w:spacing w:before="40"/>
      </w:pPr>
    </w:p>
    <w:p>
      <w:pPr>
        <w:spacing w:after="80" w:before="80"/>
      </w:pPr>
      <w:r>
        <w:rPr>
          <w:rFonts w:ascii="Arial" w:cs="Arial" w:eastAsia="Arial" w:hAnsi="Arial"/>
          <w:b/>
          <w:bCs/>
          <w:color w:val="2D2D2D"/>
          <w:sz w:val="21"/>
          <w:szCs w:val="21"/>
        </w:rPr>
        <w:t xml:space="preserve">Reflection trigger: </w:t>
      </w:r>
      <w:r>
        <w:rPr>
          <w:rFonts w:ascii="Arial" w:cs="Arial" w:eastAsia="Arial" w:hAnsi="Arial"/>
          <w:color w:val="2D2D2D"/>
          <w:sz w:val="21"/>
          <w:szCs w:val="21"/>
        </w:rPr>
        <w:t xml:space="preserve">When cumulative importance of recent memories exceeds 150 points, the agent generates higher-order insights. Example: After seeing 5 skincare ads with “toxin-free” claims, the agent reflects: “I’m skeptical of brands that lead with ‘toxin-free’ — it feels like a marketing buzzword rather than a real differentiator.”</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1D5DB" w:sz="1"/>
              <w:left w:val="single" w:color="D1D5DB" w:sz="1"/>
              <w:bottom w:val="single" w:color="D1D5DB" w:sz="1"/>
              <w:right w:val="none"/>
            </w:tcBorders>
            <w:shd w:fill="2563EB" w:val="clear"/>
          </w:tcPr>
          <w:p/>
        </w:tc>
        <w:tc>
          <w:tcPr>
            <w:tcW w:type="dxa" w:w="9160"/>
            <w:tcBorders>
              <w:top w:val="single" w:color="D1D5DB" w:sz="1"/>
              <w:left w:val="single" w:color="D1D5DB" w:sz="1"/>
              <w:bottom w:val="single" w:color="D1D5DB" w:sz="1"/>
              <w:right w:val="single" w:color="D1D5DB" w:sz="1"/>
            </w:tcBorders>
            <w:shd w:fill="F0F4FF" w:val="clear"/>
            <w:tcMar>
              <w:top w:type="dxa" w:w="120"/>
              <w:left w:type="dxa" w:w="200"/>
              <w:bottom w:type="dxa" w:w="120"/>
              <w:right w:type="dxa" w:w="200"/>
            </w:tcMar>
          </w:tcPr>
          <w:p>
            <w:pPr>
              <w:spacing w:after="60"/>
            </w:pPr>
            <w:r>
              <w:rPr>
                <w:rFonts w:ascii="Arial" w:cs="Arial" w:eastAsia="Arial" w:hAnsi="Arial"/>
                <w:b/>
                <w:bCs/>
                <w:color w:val="1E40AF"/>
                <w:sz w:val="21"/>
                <w:szCs w:val="21"/>
              </w:rPr>
              <w:t xml:space="preserve">Why Memory Is What Makes This Not a Wrapper</w:t>
            </w:r>
          </w:p>
          <w:p>
            <w:pPr>
              <w:spacing w:after="30" w:before="30"/>
            </w:pPr>
            <w:r>
              <w:rPr>
                <w:rFonts w:ascii="Arial" w:cs="Arial" w:eastAsia="Arial" w:hAnsi="Arial"/>
                <w:color w:val="2D2D2D"/>
                <w:sz w:val="20"/>
                <w:szCs w:val="20"/>
              </w:rPr>
              <w:t xml:space="preserve">Without memory: Agent sees Mamaearth ad → reacts based only on persona profile. Same reaction every time.</w:t>
            </w:r>
          </w:p>
          <w:p>
            <w:pPr>
              <w:spacing w:after="30" w:before="30"/>
            </w:pPr>
            <w:r>
              <w:rPr>
                <w:rFonts w:ascii="Arial" w:cs="Arial" w:eastAsia="Arial" w:hAnsi="Arial"/>
                <w:color w:val="2D2D2D"/>
                <w:sz w:val="20"/>
                <w:szCs w:val="20"/>
              </w:rPr>
              <w:t xml:space="preserve"/>
            </w:r>
          </w:p>
          <w:p>
            <w:pPr>
              <w:spacing w:after="30" w:before="30"/>
            </w:pPr>
            <w:r>
              <w:rPr>
                <w:rFonts w:ascii="Arial" w:cs="Arial" w:eastAsia="Arial" w:hAnsi="Arial"/>
                <w:color w:val="2D2D2D"/>
                <w:sz w:val="20"/>
                <w:szCs w:val="20"/>
              </w:rPr>
              <w:t xml:space="preserve">With memory: Agent has seen 3 Mamaearth ads this month, 2 competitor ads, and read a negative review. Their reaction to the 4th Mamaearth ad is shaped by all of this accumulated experience. They might be fatigued, skeptical, or more loyal — depending on what they experienced.</w:t>
            </w:r>
          </w:p>
          <w:p>
            <w:pPr>
              <w:spacing w:after="30" w:before="30"/>
            </w:pPr>
            <w:r>
              <w:rPr>
                <w:rFonts w:ascii="Arial" w:cs="Arial" w:eastAsia="Arial" w:hAnsi="Arial"/>
                <w:color w:val="2D2D2D"/>
                <w:sz w:val="20"/>
                <w:szCs w:val="20"/>
              </w:rPr>
              <w:t xml:space="preserve"/>
            </w:r>
          </w:p>
          <w:p>
            <w:pPr>
              <w:spacing w:after="30" w:before="30"/>
            </w:pPr>
            <w:r>
              <w:rPr>
                <w:rFonts w:ascii="Arial" w:cs="Arial" w:eastAsia="Arial" w:hAnsi="Arial"/>
                <w:color w:val="2D2D2D"/>
                <w:sz w:val="20"/>
                <w:szCs w:val="20"/>
              </w:rPr>
              <w:t xml:space="preserve">This is behavioral simulation, not prompt engineering.</w:t>
            </w:r>
          </w:p>
        </w:tc>
      </w:tr>
    </w:tbl>
    <w:p>
      <w:pPr>
        <w:spacing w:before="100"/>
      </w:pPr>
    </w:p>
    <w:p>
      <w:pPr>
        <w:spacing w:after="100" w:before="200"/>
      </w:pPr>
      <w:r>
        <w:rPr>
          <w:rFonts w:ascii="Arial" w:cs="Arial" w:eastAsia="Arial" w:hAnsi="Arial"/>
          <w:b/>
          <w:bCs/>
          <w:color w:val="2563EB"/>
          <w:sz w:val="22"/>
          <w:szCs w:val="22"/>
        </w:rPr>
        <w:t xml:space="preserve">Layer 3: The Body (Action Space)</w:t>
      </w:r>
    </w:p>
    <w:p>
      <w:pPr>
        <w:spacing w:after="80" w:before="80"/>
        <w:jc w:val="left"/>
      </w:pPr>
      <w:r>
        <w:rPr>
          <w:rFonts w:ascii="Arial" w:cs="Arial" w:eastAsia="Arial" w:hAnsi="Arial"/>
          <w:color w:val="2D2D2D"/>
          <w:sz w:val="21"/>
          <w:szCs w:val="21"/>
        </w:rPr>
        <w:t xml:space="preserve">When an agent encounters a creative, their response is constrained to defined actions: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Maps To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SCROLL_PAST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Didn’t stop, didn’t register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 engagement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PAUSE</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Stopped scrolling, looked 1–2 seconds</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Impression registered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Read headline and/or body copy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Active attention</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ENGAGE</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Liked, saved, or would share</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High engagement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CLICK</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Would tap through to learn more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Click-through intent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PURCHASE_INTENT</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Would seriously consider buying</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Conversion potential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NEGATIVE_REACT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Would hide ad or feel annoyed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Brand risk signal</w:t>
            </w:r>
          </w:p>
        </w:tc>
      </w:tr>
    </w:tbl>
    <w:p>
      <w:pPr>
        <w:spacing w:before="60"/>
      </w:pPr>
    </w:p>
    <w:p>
      <w:pPr>
        <w:spacing w:after="80" w:before="80"/>
        <w:jc w:val="left"/>
      </w:pPr>
      <w:r>
        <w:rPr>
          <w:rFonts w:ascii="Arial" w:cs="Arial" w:eastAsia="Arial" w:hAnsi="Arial"/>
          <w:color w:val="2D2D2D"/>
          <w:sz w:val="21"/>
          <w:szCs w:val="21"/>
        </w:rPr>
        <w:t xml:space="preserve">Each agent selects one primary action, provides dimensional scores (relevance, emotion, trust, value), reasoning, and open-ended feedback in their voice.</w:t>
      </w:r>
    </w:p>
    <w:p>
      <w:pPr>
        <w:spacing w:before="100"/>
      </w:pPr>
    </w:p>
    <w:p>
      <w:pPr>
        <w:pStyle w:val="Heading2"/>
        <w:spacing w:after="150" w:before="300"/>
      </w:pPr>
      <w:r>
        <w:rPr>
          <w:rFonts w:ascii="Arial" w:cs="Arial" w:eastAsia="Arial" w:hAnsi="Arial"/>
          <w:b/>
          <w:bCs/>
          <w:color w:val="2D2D2D"/>
          <w:sz w:val="24"/>
          <w:szCs w:val="24"/>
        </w:rPr>
        <w:t xml:space="preserve">3.3 Medallion Data Pipeline</w:t>
      </w:r>
    </w:p>
    <w:p>
      <w:pPr>
        <w:spacing w:after="80" w:before="80"/>
        <w:jc w:val="left"/>
      </w:pPr>
      <w:r>
        <w:rPr>
          <w:rFonts w:ascii="Arial" w:cs="Arial" w:eastAsia="Arial" w:hAnsi="Arial"/>
          <w:color w:val="2D2D2D"/>
          <w:sz w:val="21"/>
          <w:szCs w:val="21"/>
        </w:rPr>
        <w:t xml:space="preserve">Data flows through three layers with quality enforcement at each stage:</w:t>
      </w:r>
    </w:p>
    <w:p>
      <w:pPr>
        <w:spacing w:before="40"/>
      </w:pPr>
    </w:p>
    <w:p>
      <w:pPr>
        <w:pStyle w:val="ListParagraph"/>
        <w:numPr>
          <w:ilvl w:val="0"/>
          <w:numId w:val="2"/>
        </w:numPr>
        <w:spacing w:after="40" w:before="40"/>
      </w:pPr>
      <w:r>
        <w:rPr>
          <w:rFonts w:ascii="Arial" w:cs="Arial" w:eastAsia="Arial" w:hAnsi="Arial"/>
          <w:b/>
          <w:bCs/>
          <w:color w:val="2D2D2D"/>
          <w:sz w:val="21"/>
          <w:szCs w:val="21"/>
        </w:rPr>
        <w:t xml:space="preserve">Bronze (raw, append-only): </w:t>
      </w:r>
      <w:r>
        <w:rPr>
          <w:rFonts w:ascii="Arial" w:cs="Arial" w:eastAsia="Arial" w:hAnsi="Arial"/>
          <w:color w:val="2D2D2D"/>
          <w:sz w:val="21"/>
          <w:szCs w:val="21"/>
        </w:rPr>
        <w:t xml:space="preserve">Raw creative uploads, raw LLM outputs per persona, raw memory nodes, run metadata with timestamps and costs. Nothing is filtered or transformed.</w:t>
      </w:r>
    </w:p>
    <w:p>
      <w:pPr>
        <w:pStyle w:val="ListParagraph"/>
        <w:numPr>
          <w:ilvl w:val="0"/>
          <w:numId w:val="2"/>
        </w:numPr>
        <w:spacing w:after="40" w:before="40"/>
      </w:pPr>
      <w:r>
        <w:rPr>
          <w:rFonts w:ascii="Arial" w:cs="Arial" w:eastAsia="Arial" w:hAnsi="Arial"/>
          <w:b/>
          <w:bCs/>
          <w:color w:val="2D2D2D"/>
          <w:sz w:val="21"/>
          <w:szCs w:val="21"/>
        </w:rPr>
        <w:t xml:space="preserve">Silver (validated, quarantined): </w:t>
      </w:r>
      <w:r>
        <w:rPr>
          <w:rFonts w:ascii="Arial" w:cs="Arial" w:eastAsia="Arial" w:hAnsi="Arial"/>
          <w:color w:val="2D2D2D"/>
          <w:sz w:val="21"/>
          <w:szCs w:val="21"/>
        </w:rPr>
        <w:t xml:space="preserve">Pydantic-validated persona profiles, schema-conforming evaluations, well-formed memory nodes. Rows that fail validation go to quarantine for inspection.</w:t>
      </w:r>
    </w:p>
    <w:p>
      <w:pPr>
        <w:pStyle w:val="ListParagraph"/>
        <w:numPr>
          <w:ilvl w:val="0"/>
          <w:numId w:val="2"/>
        </w:numPr>
        <w:spacing w:after="40" w:before="40"/>
      </w:pPr>
      <w:r>
        <w:rPr>
          <w:rFonts w:ascii="Arial" w:cs="Arial" w:eastAsia="Arial" w:hAnsi="Arial"/>
          <w:b/>
          <w:bCs/>
          <w:color w:val="2D2D2D"/>
          <w:sz w:val="21"/>
          <w:szCs w:val="21"/>
        </w:rPr>
        <w:t xml:space="preserve">Gold (aggregated, analytics-ready): </w:t>
      </w:r>
      <w:r>
        <w:rPr>
          <w:rFonts w:ascii="Arial" w:cs="Arial" w:eastAsia="Arial" w:hAnsi="Arial"/>
          <w:color w:val="2D2D2D"/>
          <w:sz w:val="21"/>
          <w:szCs w:val="21"/>
        </w:rPr>
        <w:t xml:space="preserve">Creative scorecards with aggregate metrics, segment summaries per archetype, memory analytics (retrieval stats, reflection rates), run cost summaries.</w:t>
      </w:r>
    </w:p>
    <w:p>
      <w:pPr>
        <w:spacing w:before="100"/>
      </w:pPr>
    </w:p>
    <w:p>
      <w:pPr>
        <w:pStyle w:val="Heading2"/>
        <w:spacing w:after="150" w:before="300"/>
      </w:pPr>
      <w:r>
        <w:rPr>
          <w:rFonts w:ascii="Arial" w:cs="Arial" w:eastAsia="Arial" w:hAnsi="Arial"/>
          <w:b/>
          <w:bCs/>
          <w:color w:val="2D2D2D"/>
          <w:sz w:val="24"/>
          <w:szCs w:val="24"/>
        </w:rPr>
        <w:t xml:space="preserve">3.4 Recommendation Agent</w:t>
      </w:r>
    </w:p>
    <w:p>
      <w:pPr>
        <w:spacing w:after="80" w:before="80"/>
        <w:jc w:val="left"/>
      </w:pPr>
      <w:r>
        <w:rPr>
          <w:rFonts w:ascii="Arial" w:cs="Arial" w:eastAsia="Arial" w:hAnsi="Arial"/>
          <w:color w:val="2D2D2D"/>
          <w:sz w:val="21"/>
          <w:szCs w:val="21"/>
        </w:rPr>
        <w:t xml:space="preserve">A separate LLM agent that takes Gold-layer metrics and produces actionable decisions: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When It Fires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SCALE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Creative is performing well, increase spend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Score &gt;70, positive sentiment &gt;60%, no major segment rejection</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ITERATE</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Promising but needs specific edits</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Score 50–70, clear strengths but fixable weaknesses identified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KILL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 resonating, stop spend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Score &lt;40 OR negative reactions from &gt;30% of personas</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SPLIT_TEST</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Unclear, needs real A/B testing</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Score 40–60 with high variance across segments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HOLD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Insufficient data to decide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Too few personas evaluated or high uncertainty</w:t>
            </w:r>
          </w:p>
        </w:tc>
      </w:tr>
    </w:tbl>
    <w:p>
      <w:pPr>
        <w:spacing w:before="60"/>
      </w:pPr>
    </w:p>
    <w:p>
      <w:pPr>
        <w:spacing w:after="80" w:before="80"/>
        <w:jc w:val="left"/>
      </w:pPr>
      <w:r>
        <w:rPr>
          <w:rFonts w:ascii="Arial" w:cs="Arial" w:eastAsia="Arial" w:hAnsi="Arial"/>
          <w:color w:val="2D2D2D"/>
          <w:sz w:val="21"/>
          <w:szCs w:val="21"/>
        </w:rPr>
        <w:t xml:space="preserve">Each recommendation includes specific reasoning and edit suggestions. Example: “ITERATE — Price-sensitive segments (45% of cohort) rejected the premium framing. Consider adding a value comparison or EMI option to the CTA. Aspirational segments responded positively to the lifestyle imagery — keep that.”</w:t>
      </w:r>
    </w:p>
    <w:p>
      <w:pPr>
        <w:spacing w:before="100"/>
      </w:pPr>
    </w:p>
    <w:p>
      <w:pPr>
        <w:pStyle w:val="Heading2"/>
        <w:spacing w:after="150" w:before="300"/>
      </w:pPr>
      <w:r>
        <w:rPr>
          <w:rFonts w:ascii="Arial" w:cs="Arial" w:eastAsia="Arial" w:hAnsi="Arial"/>
          <w:b/>
          <w:bCs/>
          <w:color w:val="2D2D2D"/>
          <w:sz w:val="24"/>
          <w:szCs w:val="24"/>
        </w:rPr>
        <w:t xml:space="preserve">3.5 Critic Agent</w:t>
      </w:r>
    </w:p>
    <w:p>
      <w:pPr>
        <w:spacing w:after="80" w:before="80"/>
        <w:jc w:val="left"/>
      </w:pPr>
      <w:r>
        <w:rPr>
          <w:rFonts w:ascii="Arial" w:cs="Arial" w:eastAsia="Arial" w:hAnsi="Arial"/>
          <w:color w:val="2D2D2D"/>
          <w:sz w:val="21"/>
          <w:szCs w:val="21"/>
        </w:rPr>
        <w:t xml:space="preserve">A quality control agent that reviews every persona evaluation before it enters the pipeline. Checks for:</w:t>
      </w:r>
    </w:p>
    <w:p>
      <w:pPr>
        <w:spacing w:before="40"/>
      </w:pPr>
    </w:p>
    <w:p>
      <w:pPr>
        <w:pStyle w:val="ListParagraph"/>
        <w:numPr>
          <w:ilvl w:val="0"/>
          <w:numId w:val="2"/>
        </w:numPr>
        <w:spacing w:after="40" w:before="40"/>
      </w:pPr>
      <w:r>
        <w:rPr>
          <w:rFonts w:ascii="Arial" w:cs="Arial" w:eastAsia="Arial" w:hAnsi="Arial"/>
          <w:b/>
          <w:bCs/>
          <w:color w:val="2D2D2D"/>
          <w:sz w:val="21"/>
          <w:szCs w:val="21"/>
        </w:rPr>
        <w:t xml:space="preserve">Persona consistency: </w:t>
      </w:r>
      <w:r>
        <w:rPr>
          <w:rFonts w:ascii="Arial" w:cs="Arial" w:eastAsia="Arial" w:hAnsi="Arial"/>
          <w:color w:val="2D2D2D"/>
          <w:sz w:val="21"/>
          <w:szCs w:val="21"/>
        </w:rPr>
        <w:t xml:space="preserve">Does the response contradict the persona’s behavioral profile? (e.g., a “price-sensitive skeptic” giving enthusiastic response to premium pricing without mentioning cost)</w:t>
      </w:r>
    </w:p>
    <w:p>
      <w:pPr>
        <w:pStyle w:val="ListParagraph"/>
        <w:numPr>
          <w:ilvl w:val="0"/>
          <w:numId w:val="2"/>
        </w:numPr>
        <w:spacing w:after="40" w:before="40"/>
      </w:pPr>
      <w:r>
        <w:rPr>
          <w:rFonts w:ascii="Arial" w:cs="Arial" w:eastAsia="Arial" w:hAnsi="Arial"/>
          <w:b/>
          <w:bCs/>
          <w:color w:val="2D2D2D"/>
          <w:sz w:val="21"/>
          <w:szCs w:val="21"/>
        </w:rPr>
        <w:t xml:space="preserve">Sycophancy detection: </w:t>
      </w:r>
      <w:r>
        <w:rPr>
          <w:rFonts w:ascii="Arial" w:cs="Arial" w:eastAsia="Arial" w:hAnsi="Arial"/>
          <w:color w:val="2D2D2D"/>
          <w:sz w:val="21"/>
          <w:szCs w:val="21"/>
        </w:rPr>
        <w:t xml:space="preserve">Is the agent being unrealistically positive? LLMs default to optimism — the Critic flags when agents are suspiciously enthusiastic about everything.</w:t>
      </w:r>
    </w:p>
    <w:p>
      <w:pPr>
        <w:pStyle w:val="ListParagraph"/>
        <w:numPr>
          <w:ilvl w:val="0"/>
          <w:numId w:val="2"/>
        </w:numPr>
        <w:spacing w:after="40" w:before="40"/>
      </w:pPr>
      <w:r>
        <w:rPr>
          <w:rFonts w:ascii="Arial" w:cs="Arial" w:eastAsia="Arial" w:hAnsi="Arial"/>
          <w:b/>
          <w:bCs/>
          <w:color w:val="2D2D2D"/>
          <w:sz w:val="21"/>
          <w:szCs w:val="21"/>
        </w:rPr>
        <w:t xml:space="preserve">Cultural authenticity: </w:t>
      </w:r>
      <w:r>
        <w:rPr>
          <w:rFonts w:ascii="Arial" w:cs="Arial" w:eastAsia="Arial" w:hAnsi="Arial"/>
          <w:color w:val="2D2D2D"/>
          <w:sz w:val="21"/>
          <w:szCs w:val="21"/>
        </w:rPr>
        <w:t xml:space="preserve">Does this sound like an actual Indian consumer from this demographic, or does it sound like an American LLM’s idea of an Indian person? This is the India-specific Critic layer that no global competitor has.</w:t>
      </w:r>
    </w:p>
    <w:p>
      <w:pPr>
        <w:pStyle w:val="ListParagraph"/>
        <w:numPr>
          <w:ilvl w:val="0"/>
          <w:numId w:val="2"/>
        </w:numPr>
        <w:spacing w:after="40" w:before="40"/>
      </w:pPr>
      <w:r>
        <w:rPr>
          <w:rFonts w:ascii="Arial" w:cs="Arial" w:eastAsia="Arial" w:hAnsi="Arial"/>
          <w:b/>
          <w:bCs/>
          <w:color w:val="2D2D2D"/>
          <w:sz w:val="21"/>
          <w:szCs w:val="21"/>
        </w:rPr>
        <w:t xml:space="preserve">Action-reasoning alignment: </w:t>
      </w:r>
      <w:r>
        <w:rPr>
          <w:rFonts w:ascii="Arial" w:cs="Arial" w:eastAsia="Arial" w:hAnsi="Arial"/>
          <w:color w:val="2D2D2D"/>
          <w:sz w:val="21"/>
          <w:szCs w:val="21"/>
        </w:rPr>
        <w:t xml:space="preserve">Is the chosen action consistent with the stated reasoning? (e.g., agent says “I don’t trust this brand” but chose CLICK instead of SCROLL_PAST)</w:t>
      </w:r>
    </w:p>
    <w:p>
      <w:pPr>
        <w:spacing w:before="40"/>
      </w:pPr>
    </w:p>
    <w:p>
      <w:pPr>
        <w:spacing w:after="80" w:before="80"/>
        <w:jc w:val="left"/>
      </w:pPr>
      <w:r>
        <w:rPr>
          <w:rFonts w:ascii="Arial" w:cs="Arial" w:eastAsia="Arial" w:hAnsi="Arial"/>
          <w:color w:val="2D2D2D"/>
          <w:sz w:val="21"/>
          <w:szCs w:val="21"/>
        </w:rPr>
        <w:t xml:space="preserve">Implementation: A single LLM call per evaluation that outputs PASS or FAIL with specific issues. Failed evaluations are either re-run or flagged in the quarantine layer.</w:t>
      </w:r>
    </w:p>
    <w:p>
      <w:pPr>
        <w:pBdr>
          <w:bottom w:val="single" w:color="2563EB" w:sz="2" w:space="1"/>
        </w:pBdr>
        <w:spacing w:after="200" w:before="200"/>
      </w:pPr>
    </w:p>
    <w:p>
      <w:pPr>
        <w:pStyle w:val="Heading1"/>
        <w:spacing w:after="200" w:before="400"/>
      </w:pPr>
      <w:r>
        <w:rPr>
          <w:rFonts w:ascii="Arial" w:cs="Arial" w:eastAsia="Arial" w:hAnsi="Arial"/>
          <w:b/>
          <w:bCs/>
          <w:color w:val="1E40AF"/>
          <w:sz w:val="28"/>
          <w:szCs w:val="28"/>
        </w:rPr>
        <w:t xml:space="preserve">Part 4: India-Specific Persona Library</w:t>
      </w:r>
    </w:p>
    <w:p>
      <w:pPr>
        <w:spacing w:after="80" w:before="80"/>
        <w:jc w:val="left"/>
      </w:pPr>
      <w:r>
        <w:rPr>
          <w:rFonts w:ascii="Arial" w:cs="Arial" w:eastAsia="Arial" w:hAnsi="Arial"/>
          <w:color w:val="2D2D2D"/>
          <w:sz w:val="21"/>
          <w:szCs w:val="21"/>
        </w:rPr>
        <w:t xml:space="preserve">8 behavioral archetypes, each with 3–5 specific personas varying by demographics, city tier, language, and category familiarity. Current build has 5 starter personas. Expand to 20+ after first real simulations validate output quality.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Archetype</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Behavioral Pattern</w:t>
            </w:r>
          </w:p>
        </w:tc>
        <w:tc>
          <w:tcPr>
            <w:tcW w:type="dxa" w:w="4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India-Specific Nuance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Researcher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Deep comparison shopper. Reads 5+ reviews before buying. Needs social proof. Slow to convert.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Checks both Amazon and Flipkart reviews. Reads Quora threads. Trusts YouTube long-form reviews over Instagram reels.</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The Impulse Buyer</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Scrolls fast, decides fast. Responds to visual appeal, urgency, FOMO. Low brand loyalty.</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Triggered by Instagram reel aesthetics. Responds to “70% off — today only” even when skeptical. Late-night shopping habit.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Price Anchor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Every decision runs through price filter. Compares value/quantity ratios.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Calculates per-ml and per-gram pricing. Compares to local market alternatives. Waits for Big Billion Days / Great Indian Festival.</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The Brand Loyalist</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Sticks to known brands. Skeptical of new entrants. Needs strong credibility.</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Trusts legacy brands (Tata, Godrej) over D2C newcomers. “My mother used this brand” is a real trust signal.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Trend Follower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Buys what influencers recommend. Wants to be early adopter.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Follows Indian beauty/tech YouTubers. Buys whatever is trending on Instagram Explore. FOMO about being “late” to trends.</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The Skeptic</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Distrusts advertising. Looks for catches. Responds to honesty.</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Assumes all influencer content is paid. Reads negative reviews first. Checks if “Made in India” claims are real.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Pragmatist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Buys what works. Ignores branding. Wants functional proof.</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Wants ingredient lists, lab test results, comparison charts. Doesn’t care about packaging aesthetics.</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The Aspirational Buyer</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Purchases for status. Responds to premium positioning.</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Buys for “what will people think” factor. Willing to stretch budget for visible status items (phone, watch, bag). Price-sensitive on invisible items.</w:t>
            </w:r>
          </w:p>
        </w:tc>
      </w:tr>
    </w:tbl>
    <w:p>
      <w:pPr>
        <w:spacing w:before="60"/>
      </w:pPr>
    </w:p>
    <w:p>
      <w:pPr>
        <w:spacing w:after="80" w:before="80"/>
        <w:jc w:val="left"/>
      </w:pPr>
      <w:r>
        <w:rPr>
          <w:rFonts w:ascii="Arial" w:cs="Arial" w:eastAsia="Arial" w:hAnsi="Arial"/>
          <w:color w:val="2D2D2D"/>
          <w:sz w:val="21"/>
          <w:szCs w:val="21"/>
        </w:rPr>
        <w:t xml:space="preserve">Within each archetype, vary: age (18–45), gender, city (Metro/Tier 1/Tier 2/Tier 3), income bracket (15K–150K/month), language preference (English/Hinglish/Hindi/regional), family structure (single/married/joint family), and product category familiarity.</w:t>
      </w:r>
    </w:p>
    <w:p>
      <w:pPr>
        <w:pBdr>
          <w:bottom w:val="single" w:color="2563EB" w:sz="2" w:space="1"/>
        </w:pBdr>
        <w:spacing w:after="200" w:before="200"/>
      </w:pPr>
    </w:p>
    <w:p>
      <w:pPr>
        <w:pStyle w:val="Heading1"/>
        <w:spacing w:after="200" w:before="400"/>
      </w:pPr>
      <w:r>
        <w:rPr>
          <w:rFonts w:ascii="Arial" w:cs="Arial" w:eastAsia="Arial" w:hAnsi="Arial"/>
          <w:b/>
          <w:bCs/>
          <w:color w:val="1E40AF"/>
          <w:sz w:val="28"/>
          <w:szCs w:val="28"/>
        </w:rPr>
        <w:t xml:space="preserve">Part 5: 10 India-Specific Simulation Use Cases</w:t>
      </w:r>
    </w:p>
    <w:p>
      <w:pPr>
        <w:spacing w:after="80" w:before="80"/>
        <w:jc w:val="left"/>
      </w:pPr>
      <w:r>
        <w:rPr>
          <w:rFonts w:ascii="Arial" w:cs="Arial" w:eastAsia="Arial" w:hAnsi="Arial"/>
          <w:color w:val="2D2D2D"/>
          <w:sz w:val="21"/>
          <w:szCs w:val="21"/>
        </w:rPr>
        <w:t xml:space="preserve">Each use case runs on the same core engine. What changes is the context injected into the simulation, the questions asked of agents, and how results are interpreted. These are ordered roughly by implementation complexity.</w:t>
      </w:r>
    </w:p>
    <w:p>
      <w:pPr>
        <w:spacing w:before="100"/>
      </w:pPr>
    </w:p>
    <w:p>
      <w:pPr>
        <w:pStyle w:val="Heading2"/>
        <w:spacing w:after="150" w:before="300"/>
      </w:pPr>
      <w:r>
        <w:rPr>
          <w:rFonts w:ascii="Arial" w:cs="Arial" w:eastAsia="Arial" w:hAnsi="Arial"/>
          <w:b/>
          <w:bCs/>
          <w:color w:val="2D2D2D"/>
          <w:sz w:val="24"/>
          <w:szCs w:val="24"/>
        </w:rPr>
        <w:t xml:space="preserve">Use Case 1: Festival Purchase Simulation</w:t>
      </w:r>
    </w:p>
    <w:p>
      <w:pPr>
        <w:spacing w:after="80" w:before="80"/>
        <w:jc w:val="left"/>
      </w:pPr>
      <w:r>
        <w:rPr>
          <w:rFonts w:ascii="Arial" w:cs="Arial" w:eastAsia="Arial" w:hAnsi="Arial"/>
          <w:color w:val="2D2D2D"/>
          <w:sz w:val="21"/>
          <w:szCs w:val="21"/>
        </w:rPr>
        <w:t xml:space="preserve">India runs on festivals. Diwali, Eid, Pongal, Onam, Raksha Bandhan — each triggers completely different buying psychology.</w:t>
      </w:r>
    </w:p>
    <w:p>
      <w:pPr>
        <w:spacing w:before="40"/>
      </w:pPr>
    </w:p>
    <w:p>
      <w:pPr>
        <w:spacing w:after="100" w:before="200"/>
      </w:pPr>
      <w:r>
        <w:rPr>
          <w:rFonts w:ascii="Arial" w:cs="Arial" w:eastAsia="Arial" w:hAnsi="Arial"/>
          <w:b/>
          <w:bCs/>
          <w:color w:val="2563EB"/>
          <w:sz w:val="22"/>
          <w:szCs w:val="22"/>
        </w:rPr>
        <w:t xml:space="preserve">How It Works</w:t>
      </w:r>
    </w:p>
    <w:p>
      <w:pPr>
        <w:spacing w:after="80" w:before="80"/>
        <w:jc w:val="left"/>
      </w:pPr>
      <w:r>
        <w:rPr>
          <w:rFonts w:ascii="Arial" w:cs="Arial" w:eastAsia="Arial" w:hAnsi="Arial"/>
          <w:color w:val="2D2D2D"/>
          <w:sz w:val="21"/>
          <w:szCs w:val="21"/>
        </w:rPr>
        <w:t xml:space="preserve">Agents receive a full festival context injection: “Salary bonus just came in, family is visiting, need gifts for 8 people, budget is stretched but social pressure to buy good brands, seeing sale ads everywhere, comparison shopping across Myntra/Amazon/Flipkart.”</w:t>
      </w:r>
    </w:p>
    <w:p>
      <w:pPr>
        <w:spacing w:before="40"/>
      </w:pPr>
    </w:p>
    <w:p>
      <w:pPr>
        <w:spacing w:after="80" w:before="80"/>
        <w:jc w:val="left"/>
      </w:pPr>
      <w:r>
        <w:rPr>
          <w:rFonts w:ascii="Arial" w:cs="Arial" w:eastAsia="Arial" w:hAnsi="Arial"/>
          <w:color w:val="2D2D2D"/>
          <w:sz w:val="21"/>
          <w:szCs w:val="21"/>
        </w:rPr>
        <w:t xml:space="preserve">Run the same ad through the same personas in a Diwali context vs a regular Tuesday. A premium skincare brand that scores 40/100 normally might score 75/100 during Diwali because gifting psychology overrides personal price sensitivity. A boAt earbuds ad that scores well normally might drop because “I already have earbuds, my gift budget is going to clothes.”</w:t>
      </w:r>
    </w:p>
    <w:p>
      <w:pPr>
        <w:spacing w:before="40"/>
      </w:pPr>
    </w:p>
    <w:p>
      <w:pPr>
        <w:spacing w:after="100" w:before="200"/>
      </w:pPr>
      <w:r>
        <w:rPr>
          <w:rFonts w:ascii="Arial" w:cs="Arial" w:eastAsia="Arial" w:hAnsi="Arial"/>
          <w:b/>
          <w:bCs/>
          <w:color w:val="2563EB"/>
          <w:sz w:val="22"/>
          <w:szCs w:val="22"/>
        </w:rPr>
        <w:t xml:space="preserve">Implementation</w:t>
      </w:r>
    </w:p>
    <w:p>
      <w:pPr>
        <w:pStyle w:val="ListParagraph"/>
        <w:numPr>
          <w:ilvl w:val="0"/>
          <w:numId w:val="2"/>
        </w:numPr>
        <w:spacing w:after="40" w:before="40"/>
      </w:pPr>
      <w:r>
        <w:rPr>
          <w:rFonts w:ascii="Arial" w:cs="Arial" w:eastAsia="Arial" w:hAnsi="Arial"/>
          <w:color w:val="2D2D2D"/>
          <w:sz w:val="21"/>
          <w:szCs w:val="21"/>
        </w:rPr>
        <w:t xml:space="preserve">Create a FestivalContext object that injects into the prompt alongside the persona and creative</w:t>
      </w:r>
    </w:p>
    <w:p>
      <w:pPr>
        <w:pStyle w:val="ListParagraph"/>
        <w:numPr>
          <w:ilvl w:val="0"/>
          <w:numId w:val="2"/>
        </w:numPr>
        <w:spacing w:after="40" w:before="40"/>
      </w:pPr>
      <w:r>
        <w:rPr>
          <w:rFonts w:ascii="Arial" w:cs="Arial" w:eastAsia="Arial" w:hAnsi="Arial"/>
          <w:color w:val="2D2D2D"/>
          <w:sz w:val="21"/>
          <w:szCs w:val="21"/>
        </w:rPr>
        <w:t xml:space="preserve">Include: festival name, typical spending behavior, gifting vs self-purchase ratio, category relevance, competitive intensity (sale season = more comparison shopping)</w:t>
      </w:r>
    </w:p>
    <w:p>
      <w:pPr>
        <w:pStyle w:val="ListParagraph"/>
        <w:numPr>
          <w:ilvl w:val="0"/>
          <w:numId w:val="2"/>
        </w:numPr>
        <w:spacing w:after="40" w:before="40"/>
      </w:pPr>
      <w:r>
        <w:rPr>
          <w:rFonts w:ascii="Arial" w:cs="Arial" w:eastAsia="Arial" w:hAnsi="Arial"/>
          <w:color w:val="2D2D2D"/>
          <w:sz w:val="21"/>
          <w:szCs w:val="21"/>
        </w:rPr>
        <w:t xml:space="preserve">Maintain a calendar of Indian festivals with pre-built context templates</w:t>
      </w:r>
    </w:p>
    <w:p>
      <w:pPr>
        <w:pStyle w:val="ListParagraph"/>
        <w:numPr>
          <w:ilvl w:val="0"/>
          <w:numId w:val="2"/>
        </w:numPr>
        <w:spacing w:after="40" w:before="40"/>
      </w:pPr>
      <w:r>
        <w:rPr>
          <w:rFonts w:ascii="Arial" w:cs="Arial" w:eastAsia="Arial" w:hAnsi="Arial"/>
          <w:color w:val="2D2D2D"/>
          <w:sz w:val="21"/>
          <w:szCs w:val="21"/>
        </w:rPr>
        <w:t xml:space="preserve">Client specifies launch timing → system auto-selects relevant festival context</w:t>
      </w:r>
    </w:p>
    <w:p>
      <w:pPr>
        <w:spacing w:before="40"/>
      </w:pPr>
    </w:p>
    <w:p>
      <w:pPr>
        <w:spacing w:after="100" w:before="200"/>
      </w:pPr>
      <w:r>
        <w:rPr>
          <w:rFonts w:ascii="Arial" w:cs="Arial" w:eastAsia="Arial" w:hAnsi="Arial"/>
          <w:b/>
          <w:bCs/>
          <w:color w:val="2563EB"/>
          <w:sz w:val="22"/>
          <w:szCs w:val="22"/>
        </w:rPr>
        <w:t xml:space="preserve">What Clients Get</w:t>
      </w:r>
    </w:p>
    <w:p>
      <w:pPr>
        <w:spacing w:after="80" w:before="80"/>
        <w:jc w:val="left"/>
      </w:pPr>
      <w:r>
        <w:rPr>
          <w:rFonts w:ascii="Arial" w:cs="Arial" w:eastAsia="Arial" w:hAnsi="Arial"/>
          <w:color w:val="2D2D2D"/>
          <w:sz w:val="21"/>
          <w:szCs w:val="21"/>
        </w:rPr>
        <w:t xml:space="preserve">“Your ad scores 72 during Diwali (gifting context) but only 38 during regular season. The premium positioning works when consumers are in ‘treat yourself’ mode but feels unjustified for everyday purchase. Recommendation: Run this creative during Oct–Nov only. For regular season, create a separate value-focused variant.”</w:t>
      </w:r>
    </w:p>
    <w:p>
      <w:pPr>
        <w:spacing w:before="100"/>
      </w:pPr>
    </w:p>
    <w:p>
      <w:pPr>
        <w:pStyle w:val="Heading2"/>
        <w:spacing w:after="150" w:before="300"/>
      </w:pPr>
      <w:r>
        <w:rPr>
          <w:rFonts w:ascii="Arial" w:cs="Arial" w:eastAsia="Arial" w:hAnsi="Arial"/>
          <w:b/>
          <w:bCs/>
          <w:color w:val="2D2D2D"/>
          <w:sz w:val="24"/>
          <w:szCs w:val="24"/>
        </w:rPr>
        <w:t xml:space="preserve">Use Case 2: Influencer Trust Decay Simulator</w:t>
      </w:r>
    </w:p>
    <w:p>
      <w:pPr>
        <w:spacing w:after="80" w:before="80"/>
        <w:jc w:val="left"/>
      </w:pPr>
      <w:r>
        <w:rPr>
          <w:rFonts w:ascii="Arial" w:cs="Arial" w:eastAsia="Arial" w:hAnsi="Arial"/>
          <w:color w:val="2D2D2D"/>
          <w:sz w:val="21"/>
          <w:szCs w:val="21"/>
        </w:rPr>
        <w:t xml:space="preserve">Indian D2C is built on influencer marketing. But consumers are getting wise to it. This simulation models the lifecycle of influencer trust fatigue.</w:t>
      </w:r>
    </w:p>
    <w:p>
      <w:pPr>
        <w:spacing w:before="40"/>
      </w:pPr>
    </w:p>
    <w:p>
      <w:pPr>
        <w:spacing w:after="100" w:before="200"/>
      </w:pPr>
      <w:r>
        <w:rPr>
          <w:rFonts w:ascii="Arial" w:cs="Arial" w:eastAsia="Arial" w:hAnsi="Arial"/>
          <w:b/>
          <w:bCs/>
          <w:color w:val="2563EB"/>
          <w:sz w:val="22"/>
          <w:szCs w:val="22"/>
        </w:rPr>
        <w:t xml:space="preserve">How It Works</w:t>
      </w:r>
    </w:p>
    <w:p>
      <w:pPr>
        <w:spacing w:after="80" w:before="80"/>
        <w:jc w:val="left"/>
      </w:pPr>
      <w:r>
        <w:rPr>
          <w:rFonts w:ascii="Arial" w:cs="Arial" w:eastAsia="Arial" w:hAnsi="Arial"/>
          <w:color w:val="2D2D2D"/>
          <w:sz w:val="21"/>
          <w:szCs w:val="21"/>
        </w:rPr>
        <w:t xml:space="preserve">Show Agent A an organic-looking influencer reel for a skincare brand. They react positively. Now show a second influencer pushing the same brand. Third. Fourth. Fifth. At some point, the agent’s accumulated memory triggers a reflection: “Every influencer I follow is promoting this brand. This feels paid, not genuine.”</w:t>
      </w:r>
    </w:p>
    <w:p>
      <w:pPr>
        <w:spacing w:before="40"/>
      </w:pPr>
    </w:p>
    <w:p>
      <w:pPr>
        <w:spacing w:after="100" w:before="200"/>
      </w:pPr>
      <w:r>
        <w:rPr>
          <w:rFonts w:ascii="Arial" w:cs="Arial" w:eastAsia="Arial" w:hAnsi="Arial"/>
          <w:b/>
          <w:bCs/>
          <w:color w:val="2563EB"/>
          <w:sz w:val="22"/>
          <w:szCs w:val="22"/>
        </w:rPr>
        <w:t xml:space="preserve">Implementation</w:t>
      </w:r>
    </w:p>
    <w:p>
      <w:pPr>
        <w:pStyle w:val="ListParagraph"/>
        <w:numPr>
          <w:ilvl w:val="0"/>
          <w:numId w:val="2"/>
        </w:numPr>
        <w:spacing w:after="40" w:before="40"/>
      </w:pPr>
      <w:r>
        <w:rPr>
          <w:rFonts w:ascii="Arial" w:cs="Arial" w:eastAsia="Arial" w:hAnsi="Arial"/>
          <w:color w:val="2D2D2D"/>
          <w:sz w:val="21"/>
          <w:szCs w:val="21"/>
        </w:rPr>
        <w:t xml:space="preserve">Run sequential simulations (not parallel) — each influencer creative is a separate run, with memory persisting between runs</w:t>
      </w:r>
    </w:p>
    <w:p>
      <w:pPr>
        <w:pStyle w:val="ListParagraph"/>
        <w:numPr>
          <w:ilvl w:val="0"/>
          <w:numId w:val="2"/>
        </w:numPr>
        <w:spacing w:after="40" w:before="40"/>
      </w:pPr>
      <w:r>
        <w:rPr>
          <w:rFonts w:ascii="Arial" w:cs="Arial" w:eastAsia="Arial" w:hAnsi="Arial"/>
          <w:color w:val="2D2D2D"/>
          <w:sz w:val="21"/>
          <w:szCs w:val="21"/>
        </w:rPr>
        <w:t xml:space="preserve">Track trust scores across runs to identify the “saturation point” — the number of influencer touchpoints before trust declines</w:t>
      </w:r>
    </w:p>
    <w:p>
      <w:pPr>
        <w:pStyle w:val="ListParagraph"/>
        <w:numPr>
          <w:ilvl w:val="0"/>
          <w:numId w:val="2"/>
        </w:numPr>
        <w:spacing w:after="40" w:before="40"/>
      </w:pPr>
      <w:r>
        <w:rPr>
          <w:rFonts w:ascii="Arial" w:cs="Arial" w:eastAsia="Arial" w:hAnsi="Arial"/>
          <w:color w:val="2D2D2D"/>
          <w:sz w:val="21"/>
          <w:szCs w:val="21"/>
        </w:rPr>
        <w:t xml:space="preserve">Vary influencer content format: “day in my life” vs direct review vs unboxing vs tutorial</w:t>
      </w:r>
    </w:p>
    <w:p>
      <w:pPr>
        <w:pStyle w:val="ListParagraph"/>
        <w:numPr>
          <w:ilvl w:val="0"/>
          <w:numId w:val="2"/>
        </w:numPr>
        <w:spacing w:after="40" w:before="40"/>
      </w:pPr>
      <w:r>
        <w:rPr>
          <w:rFonts w:ascii="Arial" w:cs="Arial" w:eastAsia="Arial" w:hAnsi="Arial"/>
          <w:color w:val="2D2D2D"/>
          <w:sz w:val="21"/>
          <w:szCs w:val="21"/>
        </w:rPr>
        <w:t xml:space="preserve">The memory + reflection system is what makes this possible — no stateless wrapper can simulate trust decay over time</w:t>
      </w:r>
    </w:p>
    <w:p>
      <w:pPr>
        <w:spacing w:before="40"/>
      </w:pPr>
    </w:p>
    <w:p>
      <w:pPr>
        <w:spacing w:after="100" w:before="200"/>
      </w:pPr>
      <w:r>
        <w:rPr>
          <w:rFonts w:ascii="Arial" w:cs="Arial" w:eastAsia="Arial" w:hAnsi="Arial"/>
          <w:b/>
          <w:bCs/>
          <w:color w:val="2563EB"/>
          <w:sz w:val="22"/>
          <w:szCs w:val="22"/>
        </w:rPr>
        <w:t xml:space="preserve">What Clients Get</w:t>
      </w:r>
    </w:p>
    <w:p>
      <w:pPr>
        <w:spacing w:after="80" w:before="80"/>
        <w:jc w:val="left"/>
      </w:pPr>
      <w:r>
        <w:rPr>
          <w:rFonts w:ascii="Arial" w:cs="Arial" w:eastAsia="Arial" w:hAnsi="Arial"/>
          <w:color w:val="2D2D2D"/>
          <w:sz w:val="21"/>
          <w:szCs w:val="21"/>
        </w:rPr>
        <w:t xml:space="preserve">“Your influencer saturation point is 3–4 touchpoints for Researchers and Skeptics, 6–7 for Trend Followers. ‘Day in my life’ format lasts 2 more touchpoints before fatigue than direct product reviews. Recommendation: Cap influencer campaigns at 4 creators per month. Rotate formats.”</w:t>
      </w:r>
    </w:p>
    <w:p>
      <w:pPr>
        <w:spacing w:before="100"/>
      </w:pPr>
    </w:p>
    <w:p>
      <w:pPr>
        <w:pStyle w:val="Heading2"/>
        <w:spacing w:after="150" w:before="300"/>
      </w:pPr>
      <w:r>
        <w:rPr>
          <w:rFonts w:ascii="Arial" w:cs="Arial" w:eastAsia="Arial" w:hAnsi="Arial"/>
          <w:b/>
          <w:bCs/>
          <w:color w:val="2D2D2D"/>
          <w:sz w:val="24"/>
          <w:szCs w:val="24"/>
        </w:rPr>
        <w:t xml:space="preserve">Use Case 3: Price Shock Testing</w:t>
      </w:r>
    </w:p>
    <w:p>
      <w:pPr>
        <w:spacing w:after="80" w:before="80"/>
        <w:jc w:val="left"/>
      </w:pPr>
      <w:r>
        <w:rPr>
          <w:rFonts w:ascii="Arial" w:cs="Arial" w:eastAsia="Arial" w:hAnsi="Arial"/>
          <w:color w:val="2D2D2D"/>
          <w:sz w:val="21"/>
          <w:szCs w:val="21"/>
        </w:rPr>
        <w:t xml:space="preserve">Indian consumers have precise mental price anchors per category. When a new brand launches outside these ranges, the reaction is category-specific and segment-specific.</w:t>
      </w:r>
    </w:p>
    <w:p>
      <w:pPr>
        <w:spacing w:before="40"/>
      </w:pPr>
    </w:p>
    <w:p>
      <w:pPr>
        <w:spacing w:after="100" w:before="200"/>
      </w:pPr>
      <w:r>
        <w:rPr>
          <w:rFonts w:ascii="Arial" w:cs="Arial" w:eastAsia="Arial" w:hAnsi="Arial"/>
          <w:b/>
          <w:bCs/>
          <w:color w:val="2563EB"/>
          <w:sz w:val="22"/>
          <w:szCs w:val="22"/>
        </w:rPr>
        <w:t xml:space="preserve">How It Works</w:t>
      </w:r>
    </w:p>
    <w:p>
      <w:pPr>
        <w:spacing w:after="80" w:before="80"/>
        <w:jc w:val="left"/>
      </w:pPr>
      <w:r>
        <w:rPr>
          <w:rFonts w:ascii="Arial" w:cs="Arial" w:eastAsia="Arial" w:hAnsi="Arial"/>
          <w:color w:val="2D2D2D"/>
          <w:sz w:val="21"/>
          <w:szCs w:val="21"/>
        </w:rPr>
        <w:t xml:space="preserve">Simulate a new protein bar brand launching at ₹150/bar vs ₹80 vs ₹50. Each persona reacts differently: the Price Anchor compares to Yoga Bar (₹40), the Aspirational Buyer might prefer ₹150 (“if it’s expensive it must be good”), the Pragmatist calculates protein-per-rupee.</w:t>
      </w:r>
    </w:p>
    <w:p>
      <w:pPr>
        <w:spacing w:before="40"/>
      </w:pPr>
    </w:p>
    <w:p>
      <w:pPr>
        <w:spacing w:after="100" w:before="200"/>
      </w:pPr>
      <w:r>
        <w:rPr>
          <w:rFonts w:ascii="Arial" w:cs="Arial" w:eastAsia="Arial" w:hAnsi="Arial"/>
          <w:b/>
          <w:bCs/>
          <w:color w:val="2563EB"/>
          <w:sz w:val="22"/>
          <w:szCs w:val="22"/>
        </w:rPr>
        <w:t xml:space="preserve">Implementation</w:t>
      </w:r>
    </w:p>
    <w:p>
      <w:pPr>
        <w:pStyle w:val="ListParagraph"/>
        <w:numPr>
          <w:ilvl w:val="0"/>
          <w:numId w:val="2"/>
        </w:numPr>
        <w:spacing w:after="40" w:before="40"/>
      </w:pPr>
      <w:r>
        <w:rPr>
          <w:rFonts w:ascii="Arial" w:cs="Arial" w:eastAsia="Arial" w:hAnsi="Arial"/>
          <w:color w:val="2D2D2D"/>
          <w:sz w:val="21"/>
          <w:szCs w:val="21"/>
        </w:rPr>
        <w:t xml:space="preserve">Run the same creative with different price points as variants</w:t>
      </w:r>
    </w:p>
    <w:p>
      <w:pPr>
        <w:pStyle w:val="ListParagraph"/>
        <w:numPr>
          <w:ilvl w:val="0"/>
          <w:numId w:val="2"/>
        </w:numPr>
        <w:spacing w:after="40" w:before="40"/>
      </w:pPr>
      <w:r>
        <w:rPr>
          <w:rFonts w:ascii="Arial" w:cs="Arial" w:eastAsia="Arial" w:hAnsi="Arial"/>
          <w:color w:val="2D2D2D"/>
          <w:sz w:val="21"/>
          <w:szCs w:val="21"/>
        </w:rPr>
        <w:t xml:space="preserve">Inject category price context: “Protein bars in India typically range from ₹30–100. Market leaders are Yoga Bar (₹40), RiteBite (₹60), and Misfits (₹80).”</w:t>
      </w:r>
    </w:p>
    <w:p>
      <w:pPr>
        <w:pStyle w:val="ListParagraph"/>
        <w:numPr>
          <w:ilvl w:val="0"/>
          <w:numId w:val="2"/>
        </w:numPr>
        <w:spacing w:after="40" w:before="40"/>
      </w:pPr>
      <w:r>
        <w:rPr>
          <w:rFonts w:ascii="Arial" w:cs="Arial" w:eastAsia="Arial" w:hAnsi="Arial"/>
          <w:color w:val="2D2D2D"/>
          <w:sz w:val="21"/>
          <w:szCs w:val="21"/>
        </w:rPr>
        <w:t xml:space="preserve">Track price elasticity per persona segment: at what price does each archetype reject the product?</w:t>
      </w:r>
    </w:p>
    <w:p>
      <w:pPr>
        <w:pStyle w:val="ListParagraph"/>
        <w:numPr>
          <w:ilvl w:val="0"/>
          <w:numId w:val="2"/>
        </w:numPr>
        <w:spacing w:after="40" w:before="40"/>
      </w:pPr>
      <w:r>
        <w:rPr>
          <w:rFonts w:ascii="Arial" w:cs="Arial" w:eastAsia="Arial" w:hAnsi="Arial"/>
          <w:color w:val="2D2D2D"/>
          <w:sz w:val="21"/>
          <w:szCs w:val="21"/>
        </w:rPr>
        <w:t xml:space="preserve">Output: optimal price point by segment, maximum acceptable price, price anchoring strategies that work</w:t>
      </w:r>
    </w:p>
    <w:p>
      <w:pPr>
        <w:spacing w:before="40"/>
      </w:pPr>
    </w:p>
    <w:p>
      <w:pPr>
        <w:spacing w:after="100" w:before="200"/>
      </w:pPr>
      <w:r>
        <w:rPr>
          <w:rFonts w:ascii="Arial" w:cs="Arial" w:eastAsia="Arial" w:hAnsi="Arial"/>
          <w:b/>
          <w:bCs/>
          <w:color w:val="2563EB"/>
          <w:sz w:val="22"/>
          <w:szCs w:val="22"/>
        </w:rPr>
        <w:t xml:space="preserve">What Clients Get</w:t>
      </w:r>
    </w:p>
    <w:p>
      <w:pPr>
        <w:spacing w:after="80" w:before="80"/>
        <w:jc w:val="left"/>
      </w:pPr>
      <w:r>
        <w:rPr>
          <w:rFonts w:ascii="Arial" w:cs="Arial" w:eastAsia="Arial" w:hAnsi="Arial"/>
          <w:color w:val="2D2D2D"/>
          <w:sz w:val="21"/>
          <w:szCs w:val="21"/>
        </w:rPr>
        <w:t xml:space="preserve">“At ₹150, only Aspirational Buyers (18% of target) accept the price. At ₹80, you capture Aspirational + Trend Followers (42%). At ₹50, you get mass market but the Aspirational segment perceives it as low quality. Recommended launch price: ₹85 with a ‘premium ingredients’ justification story.”</w:t>
      </w:r>
    </w:p>
    <w:p>
      <w:pPr>
        <w:spacing w:before="100"/>
      </w:pPr>
    </w:p>
    <w:p>
      <w:pPr>
        <w:pStyle w:val="Heading2"/>
        <w:spacing w:after="150" w:before="300"/>
      </w:pPr>
      <w:r>
        <w:rPr>
          <w:rFonts w:ascii="Arial" w:cs="Arial" w:eastAsia="Arial" w:hAnsi="Arial"/>
          <w:b/>
          <w:bCs/>
          <w:color w:val="2D2D2D"/>
          <w:sz w:val="24"/>
          <w:szCs w:val="24"/>
        </w:rPr>
        <w:t xml:space="preserve">Use Case 4: Hinglish vs English vs Regional Language Testing</w:t>
      </w:r>
    </w:p>
    <w:p>
      <w:pPr>
        <w:spacing w:after="80" w:before="80"/>
        <w:jc w:val="left"/>
      </w:pPr>
      <w:r>
        <w:rPr>
          <w:rFonts w:ascii="Arial" w:cs="Arial" w:eastAsia="Arial" w:hAnsi="Arial"/>
          <w:color w:val="2D2D2D"/>
          <w:sz w:val="21"/>
          <w:szCs w:val="21"/>
        </w:rPr>
        <w:t xml:space="preserve">Uniquely Indian and untouchable by global tools. The same ad in English, Hinglish, Hindi, and Tamil lands completely differently with different segments.</w:t>
      </w:r>
    </w:p>
    <w:p>
      <w:pPr>
        <w:spacing w:before="40"/>
      </w:pPr>
    </w:p>
    <w:p>
      <w:pPr>
        <w:spacing w:after="100" w:before="200"/>
      </w:pPr>
      <w:r>
        <w:rPr>
          <w:rFonts w:ascii="Arial" w:cs="Arial" w:eastAsia="Arial" w:hAnsi="Arial"/>
          <w:b/>
          <w:bCs/>
          <w:color w:val="2563EB"/>
          <w:sz w:val="22"/>
          <w:szCs w:val="22"/>
        </w:rPr>
        <w:t xml:space="preserve">How It Works</w:t>
      </w:r>
    </w:p>
    <w:p>
      <w:pPr>
        <w:spacing w:after="80" w:before="80"/>
        <w:jc w:val="left"/>
      </w:pPr>
      <w:r>
        <w:rPr>
          <w:rFonts w:ascii="Arial" w:cs="Arial" w:eastAsia="Arial" w:hAnsi="Arial"/>
          <w:color w:val="2D2D2D"/>
          <w:sz w:val="21"/>
          <w:szCs w:val="21"/>
        </w:rPr>
        <w:t xml:space="preserve">A Zepto ad: “Groceries in 10 minutes” vs “10 minute mein groceries, bro” vs “10 मिनट में सब कुछ.” These aren’t translations — they’re different emotional signals. English = premium. Hinglish = relatable. Pure Hindi = mass market.</w:t>
      </w:r>
    </w:p>
    <w:p>
      <w:pPr>
        <w:spacing w:before="40"/>
      </w:pPr>
    </w:p>
    <w:p>
      <w:pPr>
        <w:spacing w:after="100" w:before="200"/>
      </w:pPr>
      <w:r>
        <w:rPr>
          <w:rFonts w:ascii="Arial" w:cs="Arial" w:eastAsia="Arial" w:hAnsi="Arial"/>
          <w:b/>
          <w:bCs/>
          <w:color w:val="2563EB"/>
          <w:sz w:val="22"/>
          <w:szCs w:val="22"/>
        </w:rPr>
        <w:t xml:space="preserve">Implementation</w:t>
      </w:r>
    </w:p>
    <w:p>
      <w:pPr>
        <w:pStyle w:val="ListParagraph"/>
        <w:numPr>
          <w:ilvl w:val="0"/>
          <w:numId w:val="2"/>
        </w:numPr>
        <w:spacing w:after="40" w:before="40"/>
      </w:pPr>
      <w:r>
        <w:rPr>
          <w:rFonts w:ascii="Arial" w:cs="Arial" w:eastAsia="Arial" w:hAnsi="Arial"/>
          <w:color w:val="2D2D2D"/>
          <w:sz w:val="21"/>
          <w:szCs w:val="21"/>
        </w:rPr>
        <w:t xml:space="preserve">Agents have language_preference and language_comfort in their persona profile</w:t>
      </w:r>
    </w:p>
    <w:p>
      <w:pPr>
        <w:pStyle w:val="ListParagraph"/>
        <w:numPr>
          <w:ilvl w:val="0"/>
          <w:numId w:val="2"/>
        </w:numPr>
        <w:spacing w:after="40" w:before="40"/>
      </w:pPr>
      <w:r>
        <w:rPr>
          <w:rFonts w:ascii="Arial" w:cs="Arial" w:eastAsia="Arial" w:hAnsi="Arial"/>
          <w:color w:val="2D2D2D"/>
          <w:sz w:val="21"/>
          <w:szCs w:val="21"/>
        </w:rPr>
        <w:t xml:space="preserve">Run the same ad in multiple language variants across the full persona panel</w:t>
      </w:r>
    </w:p>
    <w:p>
      <w:pPr>
        <w:pStyle w:val="ListParagraph"/>
        <w:numPr>
          <w:ilvl w:val="0"/>
          <w:numId w:val="2"/>
        </w:numPr>
        <w:spacing w:after="40" w:before="40"/>
      </w:pPr>
      <w:r>
        <w:rPr>
          <w:rFonts w:ascii="Arial" w:cs="Arial" w:eastAsia="Arial" w:hAnsi="Arial"/>
          <w:color w:val="2D2D2D"/>
          <w:sz w:val="21"/>
          <w:szCs w:val="21"/>
        </w:rPr>
        <w:t xml:space="preserve">Track: which language variant scores highest per segment, which language triggers the most engagement, which causes confusion</w:t>
      </w:r>
    </w:p>
    <w:p>
      <w:pPr>
        <w:pStyle w:val="ListParagraph"/>
        <w:numPr>
          <w:ilvl w:val="0"/>
          <w:numId w:val="2"/>
        </w:numPr>
        <w:spacing w:after="40" w:before="40"/>
      </w:pPr>
      <w:r>
        <w:rPr>
          <w:rFonts w:ascii="Arial" w:cs="Arial" w:eastAsia="Arial" w:hAnsi="Arial"/>
          <w:color w:val="2D2D2D"/>
          <w:sz w:val="21"/>
          <w:szCs w:val="21"/>
        </w:rPr>
        <w:t xml:space="preserve">This tests both comprehension AND emotional resonance — a persona might understand English but emotionally respond more to Hinglish</w:t>
      </w:r>
    </w:p>
    <w:p>
      <w:pPr>
        <w:spacing w:before="40"/>
      </w:pPr>
    </w:p>
    <w:p>
      <w:pPr>
        <w:spacing w:after="100" w:before="200"/>
      </w:pPr>
      <w:r>
        <w:rPr>
          <w:rFonts w:ascii="Arial" w:cs="Arial" w:eastAsia="Arial" w:hAnsi="Arial"/>
          <w:b/>
          <w:bCs/>
          <w:color w:val="2563EB"/>
          <w:sz w:val="22"/>
          <w:szCs w:val="22"/>
        </w:rPr>
        <w:t xml:space="preserve">What Clients Get</w:t>
      </w:r>
    </w:p>
    <w:p>
      <w:pPr>
        <w:spacing w:after="80" w:before="80"/>
        <w:jc w:val="left"/>
      </w:pPr>
      <w:r>
        <w:rPr>
          <w:rFonts w:ascii="Arial" w:cs="Arial" w:eastAsia="Arial" w:hAnsi="Arial"/>
          <w:color w:val="2D2D2D"/>
          <w:sz w:val="21"/>
          <w:szCs w:val="21"/>
        </w:rPr>
        <w:t xml:space="preserve">“Your Hinglish variant outperforms English by 34% among Tier 1 consumers aged 22–30 — it feels authentic rather than corporate. But Hinglish underperforms with 35+ professionals who perceive it as ‘trying too hard.’ Recommendation: Hinglish for Instagram/YouTube, English for LinkedIn/email.”</w:t>
      </w:r>
    </w:p>
    <w:p>
      <w:pPr>
        <w:spacing w:before="100"/>
      </w:pPr>
    </w:p>
    <w:p>
      <w:pPr>
        <w:pStyle w:val="Heading2"/>
        <w:spacing w:after="150" w:before="300"/>
      </w:pPr>
      <w:r>
        <w:rPr>
          <w:rFonts w:ascii="Arial" w:cs="Arial" w:eastAsia="Arial" w:hAnsi="Arial"/>
          <w:b/>
          <w:bCs/>
          <w:color w:val="2D2D2D"/>
          <w:sz w:val="24"/>
          <w:szCs w:val="24"/>
        </w:rPr>
        <w:t xml:space="preserve">Use Case 5: Tier 2 City Reality Check</w:t>
      </w:r>
    </w:p>
    <w:p>
      <w:pPr>
        <w:spacing w:after="80" w:before="80"/>
        <w:jc w:val="left"/>
      </w:pPr>
      <w:r>
        <w:rPr>
          <w:rFonts w:ascii="Arial" w:cs="Arial" w:eastAsia="Arial" w:hAnsi="Arial"/>
          <w:color w:val="2D2D2D"/>
          <w:sz w:val="21"/>
          <w:szCs w:val="21"/>
        </w:rPr>
        <w:t xml:space="preserve">Every Indian D2C brand wants to expand to Tier 2 cities. Almost all fail because Tier 2 isn’t “Tier 1 with less money” — the psychology is fundamentally different.</w:t>
      </w:r>
    </w:p>
    <w:p>
      <w:pPr>
        <w:spacing w:before="40"/>
      </w:pPr>
    </w:p>
    <w:p>
      <w:pPr>
        <w:spacing w:after="100" w:before="200"/>
      </w:pPr>
      <w:r>
        <w:rPr>
          <w:rFonts w:ascii="Arial" w:cs="Arial" w:eastAsia="Arial" w:hAnsi="Arial"/>
          <w:b/>
          <w:bCs/>
          <w:color w:val="2563EB"/>
          <w:sz w:val="22"/>
          <w:szCs w:val="22"/>
        </w:rPr>
        <w:t xml:space="preserve">How It Works</w:t>
      </w:r>
    </w:p>
    <w:p>
      <w:pPr>
        <w:spacing w:after="80" w:before="80"/>
        <w:jc w:val="left"/>
      </w:pPr>
      <w:r>
        <w:rPr>
          <w:rFonts w:ascii="Arial" w:cs="Arial" w:eastAsia="Arial" w:hAnsi="Arial"/>
          <w:color w:val="2D2D2D"/>
          <w:sz w:val="21"/>
          <w:szCs w:val="21"/>
        </w:rPr>
        <w:t xml:space="preserve">Build dedicated Tier 2 persona sets with distinct behavioral patterns: stronger family influence on purchases, different trust signals (local shop &gt; Instagram), different aspirational references, higher importance of “local availability” (“can I get this at my local store or only online?”).</w:t>
      </w:r>
    </w:p>
    <w:p>
      <w:pPr>
        <w:spacing w:before="40"/>
      </w:pPr>
    </w:p>
    <w:p>
      <w:pPr>
        <w:spacing w:after="100" w:before="200"/>
      </w:pPr>
      <w:r>
        <w:rPr>
          <w:rFonts w:ascii="Arial" w:cs="Arial" w:eastAsia="Arial" w:hAnsi="Arial"/>
          <w:b/>
          <w:bCs/>
          <w:color w:val="2563EB"/>
          <w:sz w:val="22"/>
          <w:szCs w:val="22"/>
        </w:rPr>
        <w:t xml:space="preserve">Implementation</w:t>
      </w:r>
    </w:p>
    <w:p>
      <w:pPr>
        <w:pStyle w:val="ListParagraph"/>
        <w:numPr>
          <w:ilvl w:val="0"/>
          <w:numId w:val="2"/>
        </w:numPr>
        <w:spacing w:after="40" w:before="40"/>
      </w:pPr>
      <w:r>
        <w:rPr>
          <w:rFonts w:ascii="Arial" w:cs="Arial" w:eastAsia="Arial" w:hAnsi="Arial"/>
          <w:color w:val="2D2D2D"/>
          <w:sz w:val="21"/>
          <w:szCs w:val="21"/>
        </w:rPr>
        <w:t xml:space="preserve">Create Tier 2-specific persona variants for each archetype — a Researcher in Jaipur behaves differently from a Researcher in Mumbai</w:t>
      </w:r>
    </w:p>
    <w:p>
      <w:pPr>
        <w:pStyle w:val="ListParagraph"/>
        <w:numPr>
          <w:ilvl w:val="0"/>
          <w:numId w:val="2"/>
        </w:numPr>
        <w:spacing w:after="40" w:before="40"/>
      </w:pPr>
      <w:r>
        <w:rPr>
          <w:rFonts w:ascii="Arial" w:cs="Arial" w:eastAsia="Arial" w:hAnsi="Arial"/>
          <w:color w:val="2D2D2D"/>
          <w:sz w:val="21"/>
          <w:szCs w:val="21"/>
        </w:rPr>
        <w:t xml:space="preserve">Inject Tier 2 context: local brand awareness, delivery infrastructure assumptions, retail availability expectations</w:t>
      </w:r>
    </w:p>
    <w:p>
      <w:pPr>
        <w:pStyle w:val="ListParagraph"/>
        <w:numPr>
          <w:ilvl w:val="0"/>
          <w:numId w:val="2"/>
        </w:numPr>
        <w:spacing w:after="40" w:before="40"/>
      </w:pPr>
      <w:r>
        <w:rPr>
          <w:rFonts w:ascii="Arial" w:cs="Arial" w:eastAsia="Arial" w:hAnsi="Arial"/>
          <w:color w:val="2D2D2D"/>
          <w:sz w:val="21"/>
          <w:szCs w:val="21"/>
        </w:rPr>
        <w:t xml:space="preserve">Run both Tier 1 and Tier 2 panels on the same creative to produce a comparison report</w:t>
      </w:r>
    </w:p>
    <w:p>
      <w:pPr>
        <w:pStyle w:val="ListParagraph"/>
        <w:numPr>
          <w:ilvl w:val="0"/>
          <w:numId w:val="2"/>
        </w:numPr>
        <w:spacing w:after="40" w:before="40"/>
      </w:pPr>
      <w:r>
        <w:rPr>
          <w:rFonts w:ascii="Arial" w:cs="Arial" w:eastAsia="Arial" w:hAnsi="Arial"/>
          <w:color w:val="2D2D2D"/>
          <w:sz w:val="21"/>
          <w:szCs w:val="21"/>
        </w:rPr>
        <w:t xml:space="preserve">Track specific Tier 2 failure modes: “doesn’t understand the English tagline,” “assumes it’s not available locally,” “perceives it as overpriced for this city”</w:t>
      </w:r>
    </w:p>
    <w:p>
      <w:pPr>
        <w:spacing w:before="40"/>
      </w:pPr>
    </w:p>
    <w:p>
      <w:pPr>
        <w:spacing w:after="100" w:before="200"/>
      </w:pPr>
      <w:r>
        <w:rPr>
          <w:rFonts w:ascii="Arial" w:cs="Arial" w:eastAsia="Arial" w:hAnsi="Arial"/>
          <w:b/>
          <w:bCs/>
          <w:color w:val="2563EB"/>
          <w:sz w:val="22"/>
          <w:szCs w:val="22"/>
        </w:rPr>
        <w:t xml:space="preserve">What Clients Get</w:t>
      </w:r>
    </w:p>
    <w:p>
      <w:pPr>
        <w:spacing w:after="80" w:before="80"/>
        <w:jc w:val="left"/>
      </w:pPr>
      <w:r>
        <w:rPr>
          <w:rFonts w:ascii="Arial" w:cs="Arial" w:eastAsia="Arial" w:hAnsi="Arial"/>
          <w:color w:val="2D2D2D"/>
          <w:sz w:val="21"/>
          <w:szCs w:val="21"/>
        </w:rPr>
        <w:t xml:space="preserve">“Your creative scores 68 in Tier 1 but 31 in Tier 2. Key failure: Tier 2 personas don’t understand ‘toxin-free’ and don’t care. They want to know: is it available at my local medical store? Is it better than what I already use? Recommendation: Create a Tier 2 variant that leads with availability and word-of-mouth proof rather than ingredient science.”</w:t>
      </w:r>
    </w:p>
    <w:p>
      <w:pPr>
        <w:spacing w:before="100"/>
      </w:pPr>
    </w:p>
    <w:p>
      <w:pPr>
        <w:pStyle w:val="Heading2"/>
        <w:spacing w:after="150" w:before="300"/>
      </w:pPr>
      <w:r>
        <w:rPr>
          <w:rFonts w:ascii="Arial" w:cs="Arial" w:eastAsia="Arial" w:hAnsi="Arial"/>
          <w:b/>
          <w:bCs/>
          <w:color w:val="2D2D2D"/>
          <w:sz w:val="24"/>
          <w:szCs w:val="24"/>
        </w:rPr>
        <w:t xml:space="preserve">Use Case 6: WhatsApp Commerce Simulation</w:t>
      </w:r>
    </w:p>
    <w:p>
      <w:pPr>
        <w:spacing w:after="80" w:before="80"/>
        <w:jc w:val="left"/>
      </w:pPr>
      <w:r>
        <w:rPr>
          <w:rFonts w:ascii="Arial" w:cs="Arial" w:eastAsia="Arial" w:hAnsi="Arial"/>
          <w:color w:val="2D2D2D"/>
          <w:sz w:val="21"/>
          <w:szCs w:val="21"/>
        </w:rPr>
        <w:t xml:space="preserve">India’s real commerce happens on WhatsApp. Meesho, GlowRoad, and thousands of resellers operate through WhatsApp catalogues. This is a completely different buying context than Instagram ads.</w:t>
      </w:r>
    </w:p>
    <w:p>
      <w:pPr>
        <w:spacing w:before="40"/>
      </w:pPr>
    </w:p>
    <w:p>
      <w:pPr>
        <w:spacing w:after="100" w:before="200"/>
      </w:pPr>
      <w:r>
        <w:rPr>
          <w:rFonts w:ascii="Arial" w:cs="Arial" w:eastAsia="Arial" w:hAnsi="Arial"/>
          <w:b/>
          <w:bCs/>
          <w:color w:val="2563EB"/>
          <w:sz w:val="22"/>
          <w:szCs w:val="22"/>
        </w:rPr>
        <w:t xml:space="preserve">How It Works</w:t>
      </w:r>
    </w:p>
    <w:p>
      <w:pPr>
        <w:spacing w:after="80" w:before="80"/>
        <w:jc w:val="left"/>
      </w:pPr>
      <w:r>
        <w:rPr>
          <w:rFonts w:ascii="Arial" w:cs="Arial" w:eastAsia="Arial" w:hAnsi="Arial"/>
          <w:color w:val="2D2D2D"/>
          <w:sz w:val="21"/>
          <w:szCs w:val="21"/>
        </w:rPr>
        <w:t xml:space="preserve">Simulate how agents react to product messages from different WhatsApp sources: a friend who resells products, a brand’s official WhatsApp Business message, a forwarded deal in a family group, a broadcast list message from an unknown number.</w:t>
      </w:r>
    </w:p>
    <w:p>
      <w:pPr>
        <w:spacing w:before="40"/>
      </w:pPr>
    </w:p>
    <w:p>
      <w:pPr>
        <w:spacing w:after="100" w:before="200"/>
      </w:pPr>
      <w:r>
        <w:rPr>
          <w:rFonts w:ascii="Arial" w:cs="Arial" w:eastAsia="Arial" w:hAnsi="Arial"/>
          <w:b/>
          <w:bCs/>
          <w:color w:val="2563EB"/>
          <w:sz w:val="22"/>
          <w:szCs w:val="22"/>
        </w:rPr>
        <w:t xml:space="preserve">Implementation</w:t>
      </w:r>
    </w:p>
    <w:p>
      <w:pPr>
        <w:pStyle w:val="ListParagraph"/>
        <w:numPr>
          <w:ilvl w:val="0"/>
          <w:numId w:val="2"/>
        </w:numPr>
        <w:spacing w:after="40" w:before="40"/>
      </w:pPr>
      <w:r>
        <w:rPr>
          <w:rFonts w:ascii="Arial" w:cs="Arial" w:eastAsia="Arial" w:hAnsi="Arial"/>
          <w:color w:val="2D2D2D"/>
          <w:sz w:val="21"/>
          <w:szCs w:val="21"/>
        </w:rPr>
        <w:t xml:space="preserve">Add a message_source field to the creative context: “friend_reseller,” “official_brand,” “family_group_forward,” “unknown_broadcast”</w:t>
      </w:r>
    </w:p>
    <w:p>
      <w:pPr>
        <w:pStyle w:val="ListParagraph"/>
        <w:numPr>
          <w:ilvl w:val="0"/>
          <w:numId w:val="2"/>
        </w:numPr>
        <w:spacing w:after="40" w:before="40"/>
      </w:pPr>
      <w:r>
        <w:rPr>
          <w:rFonts w:ascii="Arial" w:cs="Arial" w:eastAsia="Arial" w:hAnsi="Arial"/>
          <w:color w:val="2D2D2D"/>
          <w:sz w:val="21"/>
          <w:szCs w:val="21"/>
        </w:rPr>
        <w:t xml:space="preserve">Agent trust levels vary dramatically by source — family group forward &gt;&gt; brand message &gt;&gt; unknown broadcast</w:t>
      </w:r>
    </w:p>
    <w:p>
      <w:pPr>
        <w:pStyle w:val="ListParagraph"/>
        <w:numPr>
          <w:ilvl w:val="0"/>
          <w:numId w:val="2"/>
        </w:numPr>
        <w:spacing w:after="40" w:before="40"/>
      </w:pPr>
      <w:r>
        <w:rPr>
          <w:rFonts w:ascii="Arial" w:cs="Arial" w:eastAsia="Arial" w:hAnsi="Arial"/>
          <w:color w:val="2D2D2D"/>
          <w:sz w:val="21"/>
          <w:szCs w:val="21"/>
        </w:rPr>
        <w:t xml:space="preserve">Track the “would you forward this?” action — that’s the virality metric for WhatsApp commerce</w:t>
      </w:r>
    </w:p>
    <w:p>
      <w:pPr>
        <w:pStyle w:val="ListParagraph"/>
        <w:numPr>
          <w:ilvl w:val="0"/>
          <w:numId w:val="2"/>
        </w:numPr>
        <w:spacing w:after="40" w:before="40"/>
      </w:pPr>
      <w:r>
        <w:rPr>
          <w:rFonts w:ascii="Arial" w:cs="Arial" w:eastAsia="Arial" w:hAnsi="Arial"/>
          <w:color w:val="2D2D2D"/>
          <w:sz w:val="21"/>
          <w:szCs w:val="21"/>
        </w:rPr>
        <w:t xml:space="preserve">Simulate chain: Agent A receives → evaluates → decides to forward to Agent B (Phase 2 interaction)</w:t>
      </w:r>
    </w:p>
    <w:p>
      <w:pPr>
        <w:spacing w:before="40"/>
      </w:pPr>
    </w:p>
    <w:p>
      <w:pPr>
        <w:spacing w:after="100" w:before="200"/>
      </w:pPr>
      <w:r>
        <w:rPr>
          <w:rFonts w:ascii="Arial" w:cs="Arial" w:eastAsia="Arial" w:hAnsi="Arial"/>
          <w:b/>
          <w:bCs/>
          <w:color w:val="2563EB"/>
          <w:sz w:val="22"/>
          <w:szCs w:val="22"/>
        </w:rPr>
        <w:t xml:space="preserve">What Clients Get</w:t>
      </w:r>
    </w:p>
    <w:p>
      <w:pPr>
        <w:spacing w:after="80" w:before="80"/>
        <w:jc w:val="left"/>
      </w:pPr>
      <w:r>
        <w:rPr>
          <w:rFonts w:ascii="Arial" w:cs="Arial" w:eastAsia="Arial" w:hAnsi="Arial"/>
          <w:color w:val="2D2D2D"/>
          <w:sz w:val="21"/>
          <w:szCs w:val="21"/>
        </w:rPr>
        <w:t xml:space="preserve">“Your product message gets 4x more purchase intent when forwarded by a trusted contact vs received as a brand broadcast. The family group forward performs best but only if price is under ₹500. Recommendation: Design your WhatsApp creative for forwarding, not direct selling — make it easy and socially comfortable for resellers to share.”</w:t>
      </w:r>
    </w:p>
    <w:p>
      <w:pPr>
        <w:spacing w:before="100"/>
      </w:pPr>
    </w:p>
    <w:p>
      <w:pPr>
        <w:pStyle w:val="Heading2"/>
        <w:spacing w:after="150" w:before="300"/>
      </w:pPr>
      <w:r>
        <w:rPr>
          <w:rFonts w:ascii="Arial" w:cs="Arial" w:eastAsia="Arial" w:hAnsi="Arial"/>
          <w:b/>
          <w:bCs/>
          <w:color w:val="2D2D2D"/>
          <w:sz w:val="24"/>
          <w:szCs w:val="24"/>
        </w:rPr>
        <w:t xml:space="preserve">Use Case 7: Jugaad Detector — Predicting Consumer Workarounds</w:t>
      </w:r>
    </w:p>
    <w:p>
      <w:pPr>
        <w:spacing w:after="80" w:before="80"/>
        <w:jc w:val="left"/>
      </w:pPr>
      <w:r>
        <w:rPr>
          <w:rFonts w:ascii="Arial" w:cs="Arial" w:eastAsia="Arial" w:hAnsi="Arial"/>
          <w:color w:val="2D2D2D"/>
          <w:sz w:val="21"/>
          <w:szCs w:val="21"/>
        </w:rPr>
        <w:t xml:space="preserve">Indian consumers are masters of jugaad. When Spotify launched at ₹119/month, Indians shared family plans with strangers. When food apps added platform fees, consumers called restaurants directly.</w:t>
      </w:r>
    </w:p>
    <w:p>
      <w:pPr>
        <w:spacing w:before="40"/>
      </w:pPr>
    </w:p>
    <w:p>
      <w:pPr>
        <w:spacing w:after="100" w:before="200"/>
      </w:pPr>
      <w:r>
        <w:rPr>
          <w:rFonts w:ascii="Arial" w:cs="Arial" w:eastAsia="Arial" w:hAnsi="Arial"/>
          <w:b/>
          <w:bCs/>
          <w:color w:val="2563EB"/>
          <w:sz w:val="22"/>
          <w:szCs w:val="22"/>
        </w:rPr>
        <w:t xml:space="preserve">How It Works</w:t>
      </w:r>
    </w:p>
    <w:p>
      <w:pPr>
        <w:spacing w:after="80" w:before="80"/>
        <w:jc w:val="left"/>
      </w:pPr>
      <w:r>
        <w:rPr>
          <w:rFonts w:ascii="Arial" w:cs="Arial" w:eastAsia="Arial" w:hAnsi="Arial"/>
          <w:color w:val="2D2D2D"/>
          <w:sz w:val="21"/>
          <w:szCs w:val="21"/>
        </w:rPr>
        <w:t xml:space="preserve">Show agents a pricing page, subscription model, or checkout flow. Watch which personas immediately strategize workarounds: sharing logins, finding coupon codes, switching to cheaper alternatives, gaming the referral system.</w:t>
      </w:r>
    </w:p>
    <w:p>
      <w:pPr>
        <w:spacing w:before="40"/>
      </w:pPr>
    </w:p>
    <w:p>
      <w:pPr>
        <w:spacing w:after="100" w:before="200"/>
      </w:pPr>
      <w:r>
        <w:rPr>
          <w:rFonts w:ascii="Arial" w:cs="Arial" w:eastAsia="Arial" w:hAnsi="Arial"/>
          <w:b/>
          <w:bCs/>
          <w:color w:val="2563EB"/>
          <w:sz w:val="22"/>
          <w:szCs w:val="22"/>
        </w:rPr>
        <w:t xml:space="preserve">Implementation</w:t>
      </w:r>
    </w:p>
    <w:p>
      <w:pPr>
        <w:pStyle w:val="ListParagraph"/>
        <w:numPr>
          <w:ilvl w:val="0"/>
          <w:numId w:val="2"/>
        </w:numPr>
        <w:spacing w:after="40" w:before="40"/>
      </w:pPr>
      <w:r>
        <w:rPr>
          <w:rFonts w:ascii="Arial" w:cs="Arial" w:eastAsia="Arial" w:hAnsi="Arial"/>
          <w:color w:val="2D2D2D"/>
          <w:sz w:val="21"/>
          <w:szCs w:val="21"/>
        </w:rPr>
        <w:t xml:space="preserve">Add a “workaround ideation” step to the evaluation prompt: “Based on your personality, would you try to find a way to get this product/service for less? If so, how?”</w:t>
      </w:r>
    </w:p>
    <w:p>
      <w:pPr>
        <w:pStyle w:val="ListParagraph"/>
        <w:numPr>
          <w:ilvl w:val="0"/>
          <w:numId w:val="2"/>
        </w:numPr>
        <w:spacing w:after="40" w:before="40"/>
      </w:pPr>
      <w:r>
        <w:rPr>
          <w:rFonts w:ascii="Arial" w:cs="Arial" w:eastAsia="Arial" w:hAnsi="Arial"/>
          <w:color w:val="2D2D2D"/>
          <w:sz w:val="21"/>
          <w:szCs w:val="21"/>
        </w:rPr>
        <w:t xml:space="preserve">The Price Anchor and Researcher personas are most likely to generate workarounds</w:t>
      </w:r>
    </w:p>
    <w:p>
      <w:pPr>
        <w:pStyle w:val="ListParagraph"/>
        <w:numPr>
          <w:ilvl w:val="0"/>
          <w:numId w:val="2"/>
        </w:numPr>
        <w:spacing w:after="40" w:before="40"/>
      </w:pPr>
      <w:r>
        <w:rPr>
          <w:rFonts w:ascii="Arial" w:cs="Arial" w:eastAsia="Arial" w:hAnsi="Arial"/>
          <w:color w:val="2D2D2D"/>
          <w:sz w:val="21"/>
          <w:szCs w:val="21"/>
        </w:rPr>
        <w:t xml:space="preserve">Track: what % of personas attempt workarounds, what specific strategies they mention, which pricing structures are most “jugaad-resistant”</w:t>
      </w:r>
    </w:p>
    <w:p>
      <w:pPr>
        <w:pStyle w:val="ListParagraph"/>
        <w:numPr>
          <w:ilvl w:val="0"/>
          <w:numId w:val="2"/>
        </w:numPr>
        <w:spacing w:after="40" w:before="40"/>
      </w:pPr>
      <w:r>
        <w:rPr>
          <w:rFonts w:ascii="Arial" w:cs="Arial" w:eastAsia="Arial" w:hAnsi="Arial"/>
          <w:color w:val="2D2D2D"/>
          <w:sz w:val="21"/>
          <w:szCs w:val="21"/>
        </w:rPr>
        <w:t xml:space="preserve">This leverages the LLM’s training on Indian internet culture where workaround discussions are extremely common</w:t>
      </w:r>
    </w:p>
    <w:p>
      <w:pPr>
        <w:spacing w:before="40"/>
      </w:pPr>
    </w:p>
    <w:p>
      <w:pPr>
        <w:spacing w:after="100" w:before="200"/>
      </w:pPr>
      <w:r>
        <w:rPr>
          <w:rFonts w:ascii="Arial" w:cs="Arial" w:eastAsia="Arial" w:hAnsi="Arial"/>
          <w:b/>
          <w:bCs/>
          <w:color w:val="2563EB"/>
          <w:sz w:val="22"/>
          <w:szCs w:val="22"/>
        </w:rPr>
        <w:t xml:space="preserve">What Clients Get</w:t>
      </w:r>
    </w:p>
    <w:p>
      <w:pPr>
        <w:spacing w:after="80" w:before="80"/>
        <w:jc w:val="left"/>
      </w:pPr>
      <w:r>
        <w:rPr>
          <w:rFonts w:ascii="Arial" w:cs="Arial" w:eastAsia="Arial" w:hAnsi="Arial"/>
          <w:color w:val="2D2D2D"/>
          <w:sz w:val="21"/>
          <w:szCs w:val="21"/>
        </w:rPr>
        <w:t xml:space="preserve">“38% of simulated consumers immediately strategized workarounds for your pricing. Most common: sharing family plan with non-family (mentioned by 5 personas), waiting for a coupon code rather than paying full price (4 personas), and signing up for free trial with multiple emails (2 personas). Recommendation: Implement device-limit on family plan and front-load value in the first 7 days of trial to convert before churn.”</w:t>
      </w:r>
    </w:p>
    <w:p>
      <w:pPr>
        <w:spacing w:before="100"/>
      </w:pPr>
    </w:p>
    <w:p>
      <w:pPr>
        <w:pStyle w:val="Heading2"/>
        <w:spacing w:after="150" w:before="300"/>
      </w:pPr>
      <w:r>
        <w:rPr>
          <w:rFonts w:ascii="Arial" w:cs="Arial" w:eastAsia="Arial" w:hAnsi="Arial"/>
          <w:b/>
          <w:bCs/>
          <w:color w:val="2D2D2D"/>
          <w:sz w:val="24"/>
          <w:szCs w:val="24"/>
        </w:rPr>
        <w:t xml:space="preserve">Use Case 8: Matrimonial Purchase Influence Simulator</w:t>
      </w:r>
    </w:p>
    <w:p>
      <w:pPr>
        <w:spacing w:after="80" w:before="80"/>
        <w:jc w:val="left"/>
      </w:pPr>
      <w:r>
        <w:rPr>
          <w:rFonts w:ascii="Arial" w:cs="Arial" w:eastAsia="Arial" w:hAnsi="Arial"/>
          <w:color w:val="2D2D2D"/>
          <w:sz w:val="21"/>
          <w:szCs w:val="21"/>
        </w:rPr>
        <w:t xml:space="preserve">Deeply Indian: major purchase decisions spike around wedding season and are shaped by “what will the in-laws think.” A refrigerator isn’t just a refrigerator — it’s a status signal.</w:t>
      </w:r>
    </w:p>
    <w:p>
      <w:pPr>
        <w:spacing w:before="40"/>
      </w:pPr>
    </w:p>
    <w:p>
      <w:pPr>
        <w:spacing w:after="100" w:before="200"/>
      </w:pPr>
      <w:r>
        <w:rPr>
          <w:rFonts w:ascii="Arial" w:cs="Arial" w:eastAsia="Arial" w:hAnsi="Arial"/>
          <w:b/>
          <w:bCs/>
          <w:color w:val="2563EB"/>
          <w:sz w:val="22"/>
          <w:szCs w:val="22"/>
        </w:rPr>
        <w:t xml:space="preserve">How It Works</w:t>
      </w:r>
    </w:p>
    <w:p>
      <w:pPr>
        <w:spacing w:after="80" w:before="80"/>
        <w:jc w:val="left"/>
      </w:pPr>
      <w:r>
        <w:rPr>
          <w:rFonts w:ascii="Arial" w:cs="Arial" w:eastAsia="Arial" w:hAnsi="Arial"/>
          <w:color w:val="2D2D2D"/>
          <w:sz w:val="21"/>
          <w:szCs w:val="21"/>
        </w:rPr>
        <w:t xml:space="preserve">Give a persona the context: “Getting married in 3 months, setting up new house, in-laws visiting from smaller town, budget ₹5L for appliances.” Show them Godrej vs Samsung vs Voltas ads. The decision isn’t about features — it’s about which brand name impresses the father-in-law.</w:t>
      </w:r>
    </w:p>
    <w:p>
      <w:pPr>
        <w:spacing w:before="40"/>
      </w:pPr>
    </w:p>
    <w:p>
      <w:pPr>
        <w:spacing w:after="100" w:before="200"/>
      </w:pPr>
      <w:r>
        <w:rPr>
          <w:rFonts w:ascii="Arial" w:cs="Arial" w:eastAsia="Arial" w:hAnsi="Arial"/>
          <w:b/>
          <w:bCs/>
          <w:color w:val="2563EB"/>
          <w:sz w:val="22"/>
          <w:szCs w:val="22"/>
        </w:rPr>
        <w:t xml:space="preserve">Implementation</w:t>
      </w:r>
    </w:p>
    <w:p>
      <w:pPr>
        <w:pStyle w:val="ListParagraph"/>
        <w:numPr>
          <w:ilvl w:val="0"/>
          <w:numId w:val="2"/>
        </w:numPr>
        <w:spacing w:after="40" w:before="40"/>
      </w:pPr>
      <w:r>
        <w:rPr>
          <w:rFonts w:ascii="Arial" w:cs="Arial" w:eastAsia="Arial" w:hAnsi="Arial"/>
          <w:color w:val="2D2D2D"/>
          <w:sz w:val="21"/>
          <w:szCs w:val="21"/>
        </w:rPr>
        <w:t xml:space="preserve">Create “life event” context injections: wedding, new baby, new job, moving cities, kid going to college</w:t>
      </w:r>
    </w:p>
    <w:p>
      <w:pPr>
        <w:pStyle w:val="ListParagraph"/>
        <w:numPr>
          <w:ilvl w:val="0"/>
          <w:numId w:val="2"/>
        </w:numPr>
        <w:spacing w:after="40" w:before="40"/>
      </w:pPr>
      <w:r>
        <w:rPr>
          <w:rFonts w:ascii="Arial" w:cs="Arial" w:eastAsia="Arial" w:hAnsi="Arial"/>
          <w:color w:val="2D2D2D"/>
          <w:sz w:val="21"/>
          <w:szCs w:val="21"/>
        </w:rPr>
        <w:t xml:space="preserve">These events shift purchase psychology dramatically — the same persona evaluates the same ad differently during a wedding context vs normal life</w:t>
      </w:r>
    </w:p>
    <w:p>
      <w:pPr>
        <w:pStyle w:val="ListParagraph"/>
        <w:numPr>
          <w:ilvl w:val="0"/>
          <w:numId w:val="2"/>
        </w:numPr>
        <w:spacing w:after="40" w:before="40"/>
      </w:pPr>
      <w:r>
        <w:rPr>
          <w:rFonts w:ascii="Arial" w:cs="Arial" w:eastAsia="Arial" w:hAnsi="Arial"/>
          <w:color w:val="2D2D2D"/>
          <w:sz w:val="21"/>
          <w:szCs w:val="21"/>
        </w:rPr>
        <w:t xml:space="preserve">Add “family influence” as a behavioral dimension: how much does this persona’s family opinion affect their purchase?</w:t>
      </w:r>
    </w:p>
    <w:p>
      <w:pPr>
        <w:pStyle w:val="ListParagraph"/>
        <w:numPr>
          <w:ilvl w:val="0"/>
          <w:numId w:val="2"/>
        </w:numPr>
        <w:spacing w:after="40" w:before="40"/>
      </w:pPr>
      <w:r>
        <w:rPr>
          <w:rFonts w:ascii="Arial" w:cs="Arial" w:eastAsia="Arial" w:hAnsi="Arial"/>
          <w:color w:val="2D2D2D"/>
          <w:sz w:val="21"/>
          <w:szCs w:val="21"/>
        </w:rPr>
        <w:t xml:space="preserve">Track: which brand attributes matter most during life events (brand name recognition &gt; features &gt; price during wedding; price &gt; features &gt; brand during budget-tight months)</w:t>
      </w:r>
    </w:p>
    <w:p>
      <w:pPr>
        <w:spacing w:before="40"/>
      </w:pPr>
    </w:p>
    <w:p>
      <w:pPr>
        <w:spacing w:after="100" w:before="200"/>
      </w:pPr>
      <w:r>
        <w:rPr>
          <w:rFonts w:ascii="Arial" w:cs="Arial" w:eastAsia="Arial" w:hAnsi="Arial"/>
          <w:b/>
          <w:bCs/>
          <w:color w:val="2563EB"/>
          <w:sz w:val="22"/>
          <w:szCs w:val="22"/>
        </w:rPr>
        <w:t xml:space="preserve">What Clients Get</w:t>
      </w:r>
    </w:p>
    <w:p>
      <w:pPr>
        <w:spacing w:after="80" w:before="80"/>
        <w:jc w:val="left"/>
      </w:pPr>
      <w:r>
        <w:rPr>
          <w:rFonts w:ascii="Arial" w:cs="Arial" w:eastAsia="Arial" w:hAnsi="Arial"/>
          <w:color w:val="2D2D2D"/>
          <w:sz w:val="21"/>
          <w:szCs w:val="21"/>
        </w:rPr>
        <w:t xml:space="preserve">“During wedding context, brand recognition becomes the #1 purchase driver, overriding price sensitivity for 67% of personas. Samsung’s ad scores 78 vs Godrej’s 65 vs Voltas’s 42 — despite Voltas having better value. Recommendation: For wedding season campaigns, lead with brand prestige and ‘trusted by Indian families for X years’ messaging, not features or price.”</w:t>
      </w:r>
    </w:p>
    <w:p>
      <w:pPr>
        <w:spacing w:before="100"/>
      </w:pPr>
    </w:p>
    <w:p>
      <w:pPr>
        <w:pStyle w:val="Heading2"/>
        <w:spacing w:after="150" w:before="300"/>
      </w:pPr>
      <w:r>
        <w:rPr>
          <w:rFonts w:ascii="Arial" w:cs="Arial" w:eastAsia="Arial" w:hAnsi="Arial"/>
          <w:b/>
          <w:bCs/>
          <w:color w:val="2D2D2D"/>
          <w:sz w:val="24"/>
          <w:szCs w:val="24"/>
        </w:rPr>
        <w:t xml:space="preserve">Use Case 9: Dark Pattern Resistance Testing</w:t>
      </w:r>
    </w:p>
    <w:p>
      <w:pPr>
        <w:spacing w:after="80" w:before="80"/>
        <w:jc w:val="left"/>
      </w:pPr>
      <w:r>
        <w:rPr>
          <w:rFonts w:ascii="Arial" w:cs="Arial" w:eastAsia="Arial" w:hAnsi="Arial"/>
          <w:color w:val="2D2D2D"/>
          <w:sz w:val="21"/>
          <w:szCs w:val="21"/>
        </w:rPr>
        <w:t xml:space="preserve">Different consumer archetypes respond very differently to manipulative UX patterns. Some don’t notice hidden fees; others catch them instantly and lose trust.</w:t>
      </w:r>
    </w:p>
    <w:p>
      <w:pPr>
        <w:spacing w:before="40"/>
      </w:pPr>
    </w:p>
    <w:p>
      <w:pPr>
        <w:spacing w:after="100" w:before="200"/>
      </w:pPr>
      <w:r>
        <w:rPr>
          <w:rFonts w:ascii="Arial" w:cs="Arial" w:eastAsia="Arial" w:hAnsi="Arial"/>
          <w:b/>
          <w:bCs/>
          <w:color w:val="2563EB"/>
          <w:sz w:val="22"/>
          <w:szCs w:val="22"/>
        </w:rPr>
        <w:t xml:space="preserve">How It Works</w:t>
      </w:r>
    </w:p>
    <w:p>
      <w:pPr>
        <w:spacing w:after="80" w:before="80"/>
        <w:jc w:val="left"/>
      </w:pPr>
      <w:r>
        <w:rPr>
          <w:rFonts w:ascii="Arial" w:cs="Arial" w:eastAsia="Arial" w:hAnsi="Arial"/>
          <w:color w:val="2D2D2D"/>
          <w:sz w:val="21"/>
          <w:szCs w:val="21"/>
        </w:rPr>
        <w:t xml:space="preserve">Run an e-commerce checkout flow through agents. The Impulse Buyer doesn’t notice the ₹49 “convenience fee” at checkout. The Price Anchor catches it immediately and abandons cart. The Skeptic noticed the “only 2 left!” urgency was fake because it said the same thing yesterday (memory from previous simulation).</w:t>
      </w:r>
    </w:p>
    <w:p>
      <w:pPr>
        <w:spacing w:before="40"/>
      </w:pPr>
    </w:p>
    <w:p>
      <w:pPr>
        <w:spacing w:after="100" w:before="200"/>
      </w:pPr>
      <w:r>
        <w:rPr>
          <w:rFonts w:ascii="Arial" w:cs="Arial" w:eastAsia="Arial" w:hAnsi="Arial"/>
          <w:b/>
          <w:bCs/>
          <w:color w:val="2563EB"/>
          <w:sz w:val="22"/>
          <w:szCs w:val="22"/>
        </w:rPr>
        <w:t xml:space="preserve">Implementation</w:t>
      </w:r>
    </w:p>
    <w:p>
      <w:pPr>
        <w:pStyle w:val="ListParagraph"/>
        <w:numPr>
          <w:ilvl w:val="0"/>
          <w:numId w:val="2"/>
        </w:numPr>
        <w:spacing w:after="40" w:before="40"/>
      </w:pPr>
      <w:r>
        <w:rPr>
          <w:rFonts w:ascii="Arial" w:cs="Arial" w:eastAsia="Arial" w:hAnsi="Arial"/>
          <w:color w:val="2D2D2D"/>
          <w:sz w:val="21"/>
          <w:szCs w:val="21"/>
        </w:rPr>
        <w:t xml:space="preserve">Input: screenshots or text descriptions of UX flows (checkout pages, subscription forms, cancellation flows)</w:t>
      </w:r>
    </w:p>
    <w:p>
      <w:pPr>
        <w:pStyle w:val="ListParagraph"/>
        <w:numPr>
          <w:ilvl w:val="0"/>
          <w:numId w:val="2"/>
        </w:numPr>
        <w:spacing w:after="40" w:before="40"/>
      </w:pPr>
      <w:r>
        <w:rPr>
          <w:rFonts w:ascii="Arial" w:cs="Arial" w:eastAsia="Arial" w:hAnsi="Arial"/>
          <w:color w:val="2D2D2D"/>
          <w:sz w:val="21"/>
          <w:szCs w:val="21"/>
        </w:rPr>
        <w:t xml:space="preserve">Agents evaluate each step of the flow sequentially, building frustration or trust as they progress</w:t>
      </w:r>
    </w:p>
    <w:p>
      <w:pPr>
        <w:pStyle w:val="ListParagraph"/>
        <w:numPr>
          <w:ilvl w:val="0"/>
          <w:numId w:val="2"/>
        </w:numPr>
        <w:spacing w:after="40" w:before="40"/>
      </w:pPr>
      <w:r>
        <w:rPr>
          <w:rFonts w:ascii="Arial" w:cs="Arial" w:eastAsia="Arial" w:hAnsi="Arial"/>
          <w:color w:val="2D2D2D"/>
          <w:sz w:val="21"/>
          <w:szCs w:val="21"/>
        </w:rPr>
        <w:t xml:space="preserve">Track: drop-off point per persona, specific elements that trigger abandonment or distrust, dark patterns that go unnoticed vs ones that damage brand perception</w:t>
      </w:r>
    </w:p>
    <w:p>
      <w:pPr>
        <w:pStyle w:val="ListParagraph"/>
        <w:numPr>
          <w:ilvl w:val="0"/>
          <w:numId w:val="2"/>
        </w:numPr>
        <w:spacing w:after="40" w:before="40"/>
      </w:pPr>
      <w:r>
        <w:rPr>
          <w:rFonts w:ascii="Arial" w:cs="Arial" w:eastAsia="Arial" w:hAnsi="Arial"/>
          <w:color w:val="2D2D2D"/>
          <w:sz w:val="21"/>
          <w:szCs w:val="21"/>
        </w:rPr>
        <w:t xml:space="preserve">Memory enables temporal testing: show “only 2 left” today, show it again in next simulation — does the agent catch the inconsistency?</w:t>
      </w:r>
    </w:p>
    <w:p>
      <w:pPr>
        <w:spacing w:before="40"/>
      </w:pPr>
    </w:p>
    <w:p>
      <w:pPr>
        <w:spacing w:after="100" w:before="200"/>
      </w:pPr>
      <w:r>
        <w:rPr>
          <w:rFonts w:ascii="Arial" w:cs="Arial" w:eastAsia="Arial" w:hAnsi="Arial"/>
          <w:b/>
          <w:bCs/>
          <w:color w:val="2563EB"/>
          <w:sz w:val="22"/>
          <w:szCs w:val="22"/>
        </w:rPr>
        <w:t xml:space="preserve">What Clients Get</w:t>
      </w:r>
    </w:p>
    <w:p>
      <w:pPr>
        <w:spacing w:after="80" w:before="80"/>
        <w:jc w:val="left"/>
      </w:pPr>
      <w:r>
        <w:rPr>
          <w:rFonts w:ascii="Arial" w:cs="Arial" w:eastAsia="Arial" w:hAnsi="Arial"/>
          <w:color w:val="2D2D2D"/>
          <w:sz w:val="21"/>
          <w:szCs w:val="21"/>
        </w:rPr>
        <w:t xml:space="preserve">“Your checkout flow loses 40% of Price Anchor personas at the ‘convenience fee’ reveal. Skeptics who previously saw your ‘limited stock’ messaging flagged it as fake (3 out of 4 mentioned distrust). Only Impulse Buyers complete checkout without friction. Recommendation: Remove hidden fees or disclose them earlier. Replace fake urgency with real social proof.”</w:t>
      </w:r>
    </w:p>
    <w:p>
      <w:pPr>
        <w:spacing w:before="100"/>
      </w:pPr>
    </w:p>
    <w:p>
      <w:pPr>
        <w:pStyle w:val="Heading2"/>
        <w:spacing w:after="150" w:before="300"/>
      </w:pPr>
      <w:r>
        <w:rPr>
          <w:rFonts w:ascii="Arial" w:cs="Arial" w:eastAsia="Arial" w:hAnsi="Arial"/>
          <w:b/>
          <w:bCs/>
          <w:color w:val="2D2D2D"/>
          <w:sz w:val="24"/>
          <w:szCs w:val="24"/>
        </w:rPr>
        <w:t xml:space="preserve">Use Case 10: Second Purchase Predictor</w:t>
      </w:r>
    </w:p>
    <w:p>
      <w:pPr>
        <w:spacing w:after="80" w:before="80"/>
        <w:jc w:val="left"/>
      </w:pPr>
      <w:r>
        <w:rPr>
          <w:rFonts w:ascii="Arial" w:cs="Arial" w:eastAsia="Arial" w:hAnsi="Arial"/>
          <w:color w:val="2D2D2D"/>
          <w:sz w:val="21"/>
          <w:szCs w:val="21"/>
        </w:rPr>
        <w:t xml:space="preserve">Indian D2C’s biggest problem isn’t acquisition — it’s retention. Brands spend ₹500–1500 acquiring a customer who buys once and never returns.</w:t>
      </w:r>
    </w:p>
    <w:p>
      <w:pPr>
        <w:spacing w:before="40"/>
      </w:pPr>
    </w:p>
    <w:p>
      <w:pPr>
        <w:spacing w:after="100" w:before="200"/>
      </w:pPr>
      <w:r>
        <w:rPr>
          <w:rFonts w:ascii="Arial" w:cs="Arial" w:eastAsia="Arial" w:hAnsi="Arial"/>
          <w:b/>
          <w:bCs/>
          <w:color w:val="2563EB"/>
          <w:sz w:val="22"/>
          <w:szCs w:val="22"/>
        </w:rPr>
        <w:t xml:space="preserve">How It Works</w:t>
      </w:r>
    </w:p>
    <w:p>
      <w:pPr>
        <w:spacing w:after="80" w:before="80"/>
        <w:jc w:val="left"/>
      </w:pPr>
      <w:r>
        <w:rPr>
          <w:rFonts w:ascii="Arial" w:cs="Arial" w:eastAsia="Arial" w:hAnsi="Arial"/>
          <w:color w:val="2D2D2D"/>
          <w:sz w:val="21"/>
          <w:szCs w:val="21"/>
        </w:rPr>
        <w:t xml:space="preserve">Simulate the full post-purchase journey. Agent “buys” in Simulation 1. In Simulation 2 (set 30 days later), the agent has memory of the purchase: what they bought, what they paid, what their expectations were. Now show them a replenishment ad, a cross-sell email, and a competitor’s ad. Does the agent repurchase, switch, or ignore?</w:t>
      </w:r>
    </w:p>
    <w:p>
      <w:pPr>
        <w:spacing w:before="40"/>
      </w:pPr>
    </w:p>
    <w:p>
      <w:pPr>
        <w:spacing w:after="100" w:before="200"/>
      </w:pPr>
      <w:r>
        <w:rPr>
          <w:rFonts w:ascii="Arial" w:cs="Arial" w:eastAsia="Arial" w:hAnsi="Arial"/>
          <w:b/>
          <w:bCs/>
          <w:color w:val="2563EB"/>
          <w:sz w:val="22"/>
          <w:szCs w:val="22"/>
        </w:rPr>
        <w:t xml:space="preserve">Implementation</w:t>
      </w:r>
    </w:p>
    <w:p>
      <w:pPr>
        <w:pStyle w:val="ListParagraph"/>
        <w:numPr>
          <w:ilvl w:val="0"/>
          <w:numId w:val="2"/>
        </w:numPr>
        <w:spacing w:after="40" w:before="40"/>
      </w:pPr>
      <w:r>
        <w:rPr>
          <w:rFonts w:ascii="Arial" w:cs="Arial" w:eastAsia="Arial" w:hAnsi="Arial"/>
          <w:color w:val="2D2D2D"/>
          <w:sz w:val="21"/>
          <w:szCs w:val="21"/>
        </w:rPr>
        <w:t xml:space="preserve">After a “purchase” in Simulation 1, inject a product experience memory: “I bought [product] for [₹X]. The packaging was [quality]. The product performance was [assessment]. I would rate it [Y/10].”</w:t>
      </w:r>
    </w:p>
    <w:p>
      <w:pPr>
        <w:pStyle w:val="ListParagraph"/>
        <w:numPr>
          <w:ilvl w:val="0"/>
          <w:numId w:val="2"/>
        </w:numPr>
        <w:spacing w:after="40" w:before="40"/>
      </w:pPr>
      <w:r>
        <w:rPr>
          <w:rFonts w:ascii="Arial" w:cs="Arial" w:eastAsia="Arial" w:hAnsi="Arial"/>
          <w:color w:val="2D2D2D"/>
          <w:sz w:val="21"/>
          <w:szCs w:val="21"/>
        </w:rPr>
        <w:t xml:space="preserve">The reflection layer generates beliefs: “I liked the product but it was overpriced for what I got” or “The packaging felt premium and I want to try more from this brand”</w:t>
      </w:r>
    </w:p>
    <w:p>
      <w:pPr>
        <w:pStyle w:val="ListParagraph"/>
        <w:numPr>
          <w:ilvl w:val="0"/>
          <w:numId w:val="2"/>
        </w:numPr>
        <w:spacing w:after="40" w:before="40"/>
      </w:pPr>
      <w:r>
        <w:rPr>
          <w:rFonts w:ascii="Arial" w:cs="Arial" w:eastAsia="Arial" w:hAnsi="Arial"/>
          <w:color w:val="2D2D2D"/>
          <w:sz w:val="21"/>
          <w:szCs w:val="21"/>
        </w:rPr>
        <w:t xml:space="preserve">In Simulation 2, these memories shape the repurchase decision when exposed to retention marketing</w:t>
      </w:r>
    </w:p>
    <w:p>
      <w:pPr>
        <w:pStyle w:val="ListParagraph"/>
        <w:numPr>
          <w:ilvl w:val="0"/>
          <w:numId w:val="2"/>
        </w:numPr>
        <w:spacing w:after="40" w:before="40"/>
      </w:pPr>
      <w:r>
        <w:rPr>
          <w:rFonts w:ascii="Arial" w:cs="Arial" w:eastAsia="Arial" w:hAnsi="Arial"/>
          <w:color w:val="2D2D2D"/>
          <w:sz w:val="21"/>
          <w:szCs w:val="21"/>
        </w:rPr>
        <w:t xml:space="preserve">Track: repurchase rate by segment, competitor vulnerability, price sensitivity on repeat purchase vs first purchase, optimal re-engagement timing</w:t>
      </w:r>
    </w:p>
    <w:p>
      <w:pPr>
        <w:spacing w:before="40"/>
      </w:pPr>
    </w:p>
    <w:p>
      <w:pPr>
        <w:spacing w:after="100" w:before="200"/>
      </w:pPr>
      <w:r>
        <w:rPr>
          <w:rFonts w:ascii="Arial" w:cs="Arial" w:eastAsia="Arial" w:hAnsi="Arial"/>
          <w:b/>
          <w:bCs/>
          <w:color w:val="2563EB"/>
          <w:sz w:val="22"/>
          <w:szCs w:val="22"/>
        </w:rPr>
        <w:t xml:space="preserve">What Clients Get</w:t>
      </w:r>
    </w:p>
    <w:p>
      <w:pPr>
        <w:spacing w:after="80" w:before="80"/>
        <w:jc w:val="left"/>
      </w:pPr>
      <w:r>
        <w:rPr>
          <w:rFonts w:ascii="Arial" w:cs="Arial" w:eastAsia="Arial" w:hAnsi="Arial"/>
          <w:color w:val="2D2D2D"/>
          <w:sz w:val="21"/>
          <w:szCs w:val="21"/>
        </w:rPr>
        <w:t xml:space="preserve">“Of simulated first-time buyers, 34% would repurchase at full price, 28% only with a discount, 22% would switch if shown a better competitor offer, and 16% are lost regardless. Your retention email resonates with Brand Loyalists but Researchers need a review/rating prompt first. Recommendation: Segment your retention flow — send review requests to Researchers within 7 days, discount codes to Price Anchors at day 21, new product launches to Trend Followers at day 14.”</w:t>
      </w:r>
    </w:p>
    <w:p>
      <w:pPr>
        <w:pBdr>
          <w:bottom w:val="single" w:color="2563EB" w:sz="2" w:space="1"/>
        </w:pBdr>
        <w:spacing w:after="200" w:before="200"/>
      </w:pPr>
    </w:p>
    <w:p>
      <w:pPr>
        <w:pStyle w:val="Heading1"/>
        <w:spacing w:after="200" w:before="400"/>
      </w:pPr>
      <w:r>
        <w:rPr>
          <w:rFonts w:ascii="Arial" w:cs="Arial" w:eastAsia="Arial" w:hAnsi="Arial"/>
          <w:b/>
          <w:bCs/>
          <w:color w:val="1E40AF"/>
          <w:sz w:val="28"/>
          <w:szCs w:val="28"/>
        </w:rPr>
        <w:t xml:space="preserve">Part 6: Phase Roadmap</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2800"/>
        <w:gridCol w:w="2400"/>
        <w:gridCol w:w="1860"/>
      </w:tblGrid>
      <w:tr>
        <w:tc>
          <w:tcPr>
            <w:tcW w:type="dxa" w:w="11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Gets Built</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Cases Unlocked</w:t>
            </w:r>
          </w:p>
        </w:tc>
        <w:tc>
          <w:tcPr>
            <w:tcW w:type="dxa" w:w="18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Wrapper → Simulation Rung</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Now – 2 weeks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5–6 stateless personas, creative analysis, evaluation pipeline, scorecard, recommendation agent, Critic agent, cost tracking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 creative testing, price shock testing, language variant testing</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Rung 1: Structured persona reactions</w:t>
            </w:r>
          </w:p>
        </w:tc>
      </w:tr>
      <w:tr>
        <w:tc>
          <w:tcPr>
            <w:tcW w:type="dxa" w:w="11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Phase 2</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Month 1–2</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Memory persistence across runs, reflection system active, 20+ personas, festival context injection, Tier 2 personas</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Festival simulation, influencer decay, second purchase prediction, Tier 2 reality check</w:t>
            </w:r>
          </w:p>
        </w:tc>
        <w:tc>
          <w:tcPr>
            <w:tcW w:type="dxa" w:w="1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Rung 2–3: Memory + Belief formation</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Month 2–3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Agent-to-agent influence (social pass after independent evaluation), WhatsApp commerce simulation, life event contexts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WhatsApp virality, matrimonial influence, word-of-mouth simulation, jugaad detection</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Rung 4: Social influence</w:t>
            </w:r>
          </w:p>
        </w:tc>
      </w:tr>
      <w:tr>
        <w:tc>
          <w:tcPr>
            <w:tcW w:type="dxa" w:w="11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Phase 4</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Month 3–6</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Environmental awareness (news, trends, seasonal mood), dark pattern temporal testing, competitive landscape injection</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Dark pattern resistance, seasonal market simulation, competitive switching prediction</w:t>
            </w:r>
          </w:p>
        </w:tc>
        <w:tc>
          <w:tcPr>
            <w:tcW w:type="dxa" w:w="1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Rung 5: Environmental context</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Month 6–12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Persistent world, real-time web awareness, full social graphs, emergent behavior, multi-category simulation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full Westworld — drop a product into a living market</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Rung 6: Full simulation</w:t>
            </w:r>
          </w:p>
        </w:tc>
      </w:tr>
    </w:tbl>
    <w:p>
      <w:pPr>
        <w:spacing w:before="80"/>
      </w:pPr>
    </w:p>
    <w:p>
      <w:pPr>
        <w:spacing w:after="80" w:before="80"/>
        <w:jc w:val="left"/>
      </w:pPr>
      <w:r>
        <w:rPr>
          <w:rFonts w:ascii="Arial" w:cs="Arial" w:eastAsia="Arial" w:hAnsi="Arial"/>
          <w:color w:val="2D2D2D"/>
          <w:sz w:val="21"/>
          <w:szCs w:val="21"/>
        </w:rPr>
        <w:t xml:space="preserve">Each phase is independently sellable. Phase 1 generates revenue and calibration data. Each subsequent phase is funded by the previous one and made more accurate by accumulated data.</w:t>
      </w:r>
    </w:p>
    <w:p>
      <w:pPr>
        <w:pBdr>
          <w:bottom w:val="single" w:color="2563EB" w:sz="2" w:space="1"/>
        </w:pBdr>
        <w:spacing w:after="200" w:before="200"/>
      </w:pPr>
    </w:p>
    <w:p>
      <w:pPr>
        <w:pStyle w:val="Heading1"/>
        <w:spacing w:after="200" w:before="400"/>
      </w:pPr>
      <w:r>
        <w:rPr>
          <w:rFonts w:ascii="Arial" w:cs="Arial" w:eastAsia="Arial" w:hAnsi="Arial"/>
          <w:b/>
          <w:bCs/>
          <w:color w:val="1E40AF"/>
          <w:sz w:val="28"/>
          <w:szCs w:val="28"/>
        </w:rPr>
        <w:t xml:space="preserve">Part 7: Immediate Next Steps</w:t>
      </w:r>
    </w:p>
    <w:p>
      <w:pPr>
        <w:spacing w:before="40"/>
      </w:pPr>
    </w:p>
    <w:p>
      <w:pPr>
        <w:pStyle w:val="Heading2"/>
        <w:spacing w:after="150" w:before="300"/>
      </w:pPr>
      <w:r>
        <w:rPr>
          <w:rFonts w:ascii="Arial" w:cs="Arial" w:eastAsia="Arial" w:hAnsi="Arial"/>
          <w:b/>
          <w:bCs/>
          <w:color w:val="2D2D2D"/>
          <w:sz w:val="24"/>
          <w:szCs w:val="24"/>
        </w:rPr>
        <w:t xml:space="preserve">For the Engineer (Kinshuk)</w:t>
      </w:r>
    </w:p>
    <w:p>
      <w:pPr>
        <w:pStyle w:val="ListParagraph"/>
        <w:numPr>
          <w:ilvl w:val="0"/>
          <w:numId w:val="3"/>
        </w:numPr>
        <w:spacing w:after="40" w:before="40"/>
      </w:pPr>
      <w:r>
        <w:rPr>
          <w:rFonts w:ascii="Arial" w:cs="Arial" w:eastAsia="Arial" w:hAnsi="Arial"/>
          <w:b/>
          <w:bCs/>
          <w:color w:val="2D2D2D"/>
          <w:sz w:val="21"/>
          <w:szCs w:val="21"/>
        </w:rPr>
        <w:t xml:space="preserve">Complete the current build. </w:t>
      </w:r>
      <w:r>
        <w:rPr>
          <w:rFonts w:ascii="Arial" w:cs="Arial" w:eastAsia="Arial" w:hAnsi="Arial"/>
          <w:color w:val="2D2D2D"/>
          <w:sz w:val="21"/>
          <w:szCs w:val="21"/>
        </w:rPr>
        <w:t xml:space="preserve">The architecture in thoughts.md is correct. Finish the end-to-end pipeline.</w:t>
      </w:r>
    </w:p>
    <w:p>
      <w:pPr>
        <w:pStyle w:val="ListParagraph"/>
        <w:numPr>
          <w:ilvl w:val="0"/>
          <w:numId w:val="3"/>
        </w:numPr>
        <w:spacing w:after="40" w:before="40"/>
      </w:pPr>
      <w:r>
        <w:rPr>
          <w:rFonts w:ascii="Arial" w:cs="Arial" w:eastAsia="Arial" w:hAnsi="Arial"/>
          <w:b/>
          <w:bCs/>
          <w:color w:val="2D2D2D"/>
          <w:sz w:val="21"/>
          <w:szCs w:val="21"/>
        </w:rPr>
        <w:t xml:space="preserve">Add a stateless mode toggle. </w:t>
      </w:r>
      <w:r>
        <w:rPr>
          <w:rFonts w:ascii="Arial" w:cs="Arial" w:eastAsia="Arial" w:hAnsi="Arial"/>
          <w:color w:val="2D2D2D"/>
          <w:sz w:val="21"/>
          <w:szCs w:val="21"/>
        </w:rPr>
        <w:t xml:space="preserve">So simulations can run with memory disabled for debugging. Simple boolean flag.</w:t>
      </w:r>
    </w:p>
    <w:p>
      <w:pPr>
        <w:pStyle w:val="ListParagraph"/>
        <w:numPr>
          <w:ilvl w:val="0"/>
          <w:numId w:val="3"/>
        </w:numPr>
        <w:spacing w:after="40" w:before="40"/>
      </w:pPr>
      <w:r>
        <w:rPr>
          <w:rFonts w:ascii="Arial" w:cs="Arial" w:eastAsia="Arial" w:hAnsi="Arial"/>
          <w:b/>
          <w:bCs/>
          <w:color w:val="2D2D2D"/>
          <w:sz w:val="21"/>
          <w:szCs w:val="21"/>
        </w:rPr>
        <w:t xml:space="preserve">Tune CreativeCard extraction for Indian ads. </w:t>
      </w:r>
      <w:r>
        <w:rPr>
          <w:rFonts w:ascii="Arial" w:cs="Arial" w:eastAsia="Arial" w:hAnsi="Arial"/>
          <w:color w:val="2D2D2D"/>
          <w:sz w:val="21"/>
          <w:szCs w:val="21"/>
        </w:rPr>
        <w:t xml:space="preserve">Test with real Hinglish copy, rupee pricing, Indian cultural references. This is the normalization boundary — if it’s lossy, everything downstream degrades.</w:t>
      </w:r>
    </w:p>
    <w:p>
      <w:pPr>
        <w:pStyle w:val="ListParagraph"/>
        <w:numPr>
          <w:ilvl w:val="0"/>
          <w:numId w:val="3"/>
        </w:numPr>
        <w:spacing w:after="40" w:before="40"/>
      </w:pPr>
      <w:r>
        <w:rPr>
          <w:rFonts w:ascii="Arial" w:cs="Arial" w:eastAsia="Arial" w:hAnsi="Arial"/>
          <w:b/>
          <w:bCs/>
          <w:color w:val="2D2D2D"/>
          <w:sz w:val="21"/>
          <w:szCs w:val="21"/>
        </w:rPr>
        <w:t xml:space="preserve">Add vision-native evaluation. </w:t>
      </w:r>
      <w:r>
        <w:rPr>
          <w:rFonts w:ascii="Arial" w:cs="Arial" w:eastAsia="Arial" w:hAnsi="Arial"/>
          <w:color w:val="2D2D2D"/>
          <w:sz w:val="21"/>
          <w:szCs w:val="21"/>
        </w:rPr>
        <w:t xml:space="preserve">Send the raw ad image alongside the CreativeCard to each persona. Let the agent see what a real consumer sees.</w:t>
      </w:r>
    </w:p>
    <w:p>
      <w:pPr>
        <w:pStyle w:val="ListParagraph"/>
        <w:numPr>
          <w:ilvl w:val="0"/>
          <w:numId w:val="3"/>
        </w:numPr>
        <w:spacing w:after="40" w:before="40"/>
      </w:pPr>
      <w:r>
        <w:rPr>
          <w:rFonts w:ascii="Arial" w:cs="Arial" w:eastAsia="Arial" w:hAnsi="Arial"/>
          <w:b/>
          <w:bCs/>
          <w:color w:val="2D2D2D"/>
          <w:sz w:val="21"/>
          <w:szCs w:val="21"/>
        </w:rPr>
        <w:t xml:space="preserve">Implement the Critic agent. </w:t>
      </w:r>
      <w:r>
        <w:rPr>
          <w:rFonts w:ascii="Arial" w:cs="Arial" w:eastAsia="Arial" w:hAnsi="Arial"/>
          <w:color w:val="2D2D2D"/>
          <w:sz w:val="21"/>
          <w:szCs w:val="21"/>
        </w:rPr>
        <w:t xml:space="preserve">Single LLM call per evaluation checking persona consistency, sycophancy, cultural authenticity, and action-reasoning alignment.</w:t>
      </w:r>
    </w:p>
    <w:p>
      <w:pPr>
        <w:pStyle w:val="ListParagraph"/>
        <w:numPr>
          <w:ilvl w:val="0"/>
          <w:numId w:val="3"/>
        </w:numPr>
        <w:spacing w:after="40" w:before="40"/>
      </w:pPr>
      <w:r>
        <w:rPr>
          <w:rFonts w:ascii="Arial" w:cs="Arial" w:eastAsia="Arial" w:hAnsi="Arial"/>
          <w:b/>
          <w:bCs/>
          <w:color w:val="2D2D2D"/>
          <w:sz w:val="21"/>
          <w:szCs w:val="21"/>
        </w:rPr>
        <w:t xml:space="preserve">Add the Trend Follower persona. </w:t>
      </w:r>
      <w:r>
        <w:rPr>
          <w:rFonts w:ascii="Arial" w:cs="Arial" w:eastAsia="Arial" w:hAnsi="Arial"/>
          <w:color w:val="2D2D2D"/>
          <w:sz w:val="21"/>
          <w:szCs w:val="21"/>
        </w:rPr>
        <w:t xml:space="preserve">Critical missing archetype for Indian D2C testing. One more JSON file.</w:t>
      </w:r>
    </w:p>
    <w:p>
      <w:pPr>
        <w:pStyle w:val="ListParagraph"/>
        <w:numPr>
          <w:ilvl w:val="0"/>
          <w:numId w:val="3"/>
        </w:numPr>
        <w:spacing w:after="40" w:before="40"/>
      </w:pPr>
      <w:r>
        <w:rPr>
          <w:rFonts w:ascii="Arial" w:cs="Arial" w:eastAsia="Arial" w:hAnsi="Arial"/>
          <w:b/>
          <w:bCs/>
          <w:color w:val="2D2D2D"/>
          <w:sz w:val="21"/>
          <w:szCs w:val="21"/>
        </w:rPr>
        <w:t xml:space="preserve">Run 3 real Indian D2C ads through the system. </w:t>
      </w:r>
      <w:r>
        <w:rPr>
          <w:rFonts w:ascii="Arial" w:cs="Arial" w:eastAsia="Arial" w:hAnsi="Arial"/>
          <w:color w:val="2D2D2D"/>
          <w:sz w:val="21"/>
          <w:szCs w:val="21"/>
        </w:rPr>
        <w:t xml:space="preserve">Not smoke tests. Real ads. Manually inspect every persona’s raw output.</w:t>
      </w:r>
    </w:p>
    <w:p>
      <w:pPr>
        <w:pStyle w:val="ListParagraph"/>
        <w:numPr>
          <w:ilvl w:val="0"/>
          <w:numId w:val="3"/>
        </w:numPr>
        <w:spacing w:after="40" w:before="40"/>
      </w:pPr>
      <w:r>
        <w:rPr>
          <w:rFonts w:ascii="Arial" w:cs="Arial" w:eastAsia="Arial" w:hAnsi="Arial"/>
          <w:b/>
          <w:bCs/>
          <w:color w:val="2D2D2D"/>
          <w:sz w:val="21"/>
          <w:szCs w:val="21"/>
        </w:rPr>
        <w:t xml:space="preserve">Skip Databricks for now. </w:t>
      </w:r>
      <w:r>
        <w:rPr>
          <w:rFonts w:ascii="Arial" w:cs="Arial" w:eastAsia="Arial" w:hAnsi="Arial"/>
          <w:color w:val="2D2D2D"/>
          <w:sz w:val="21"/>
          <w:szCs w:val="21"/>
        </w:rPr>
        <w:t xml:space="preserve">That’s for the capstone later. Focus on simulation quality first.</w:t>
      </w:r>
    </w:p>
    <w:p>
      <w:pPr>
        <w:spacing w:before="100"/>
      </w:pPr>
    </w:p>
    <w:p>
      <w:pPr>
        <w:pStyle w:val="Heading2"/>
        <w:spacing w:after="150" w:before="300"/>
      </w:pPr>
      <w:r>
        <w:rPr>
          <w:rFonts w:ascii="Arial" w:cs="Arial" w:eastAsia="Arial" w:hAnsi="Arial"/>
          <w:b/>
          <w:bCs/>
          <w:color w:val="2D2D2D"/>
          <w:sz w:val="24"/>
          <w:szCs w:val="24"/>
        </w:rPr>
        <w:t xml:space="preserve">For the Business Lead (Anshuj)</w:t>
      </w:r>
    </w:p>
    <w:p>
      <w:pPr>
        <w:pStyle w:val="ListParagraph"/>
        <w:numPr>
          <w:ilvl w:val="0"/>
          <w:numId w:val="3"/>
        </w:numPr>
        <w:spacing w:after="40" w:before="40"/>
      </w:pPr>
      <w:r>
        <w:rPr>
          <w:rFonts w:ascii="Arial" w:cs="Arial" w:eastAsia="Arial" w:hAnsi="Arial"/>
          <w:b/>
          <w:bCs/>
          <w:color w:val="2D2D2D"/>
          <w:sz w:val="21"/>
          <w:szCs w:val="21"/>
        </w:rPr>
        <w:t xml:space="preserve">Get API keys set up. </w:t>
      </w:r>
      <w:r>
        <w:rPr>
          <w:rFonts w:ascii="Arial" w:cs="Arial" w:eastAsia="Arial" w:hAnsi="Arial"/>
          <w:color w:val="2D2D2D"/>
          <w:sz w:val="21"/>
          <w:szCs w:val="21"/>
        </w:rPr>
        <w:t xml:space="preserve">Claude or OpenAI. Your brother needs real inference, not mock data.</w:t>
      </w:r>
    </w:p>
    <w:p>
      <w:pPr>
        <w:pStyle w:val="ListParagraph"/>
        <w:numPr>
          <w:ilvl w:val="0"/>
          <w:numId w:val="3"/>
        </w:numPr>
        <w:spacing w:after="40" w:before="40"/>
      </w:pPr>
      <w:r>
        <w:rPr>
          <w:rFonts w:ascii="Arial" w:cs="Arial" w:eastAsia="Arial" w:hAnsi="Arial"/>
          <w:b/>
          <w:bCs/>
          <w:color w:val="2D2D2D"/>
          <w:sz w:val="21"/>
          <w:szCs w:val="21"/>
        </w:rPr>
        <w:t xml:space="preserve">Source 3 real Indian D2C ad creatives with known performance data. </w:t>
      </w:r>
      <w:r>
        <w:rPr>
          <w:rFonts w:ascii="Arial" w:cs="Arial" w:eastAsia="Arial" w:hAnsi="Arial"/>
          <w:color w:val="2D2D2D"/>
          <w:sz w:val="21"/>
          <w:szCs w:val="21"/>
        </w:rPr>
        <w:t xml:space="preserve">Reach out to agency contacts or the Zepto creative director friend. Ads where you know which one performed better.</w:t>
      </w:r>
    </w:p>
    <w:p>
      <w:pPr>
        <w:pStyle w:val="ListParagraph"/>
        <w:numPr>
          <w:ilvl w:val="0"/>
          <w:numId w:val="3"/>
        </w:numPr>
        <w:spacing w:after="40" w:before="40"/>
      </w:pPr>
      <w:r>
        <w:rPr>
          <w:rFonts w:ascii="Arial" w:cs="Arial" w:eastAsia="Arial" w:hAnsi="Arial"/>
          <w:b/>
          <w:bCs/>
          <w:color w:val="2D2D2D"/>
          <w:sz w:val="21"/>
          <w:szCs w:val="21"/>
        </w:rPr>
        <w:t xml:space="preserve">Run the Zepto test. </w:t>
      </w:r>
      <w:r>
        <w:rPr>
          <w:rFonts w:ascii="Arial" w:cs="Arial" w:eastAsia="Arial" w:hAnsi="Arial"/>
          <w:color w:val="2D2D2D"/>
          <w:sz w:val="21"/>
          <w:szCs w:val="21"/>
        </w:rPr>
        <w:t xml:space="preserve">Get creatives from your friend, run them through the system, compare predictions to reality.</w:t>
      </w:r>
    </w:p>
    <w:p>
      <w:pPr>
        <w:pStyle w:val="ListParagraph"/>
        <w:numPr>
          <w:ilvl w:val="0"/>
          <w:numId w:val="3"/>
        </w:numPr>
        <w:spacing w:after="40" w:before="40"/>
      </w:pPr>
      <w:r>
        <w:rPr>
          <w:rFonts w:ascii="Arial" w:cs="Arial" w:eastAsia="Arial" w:hAnsi="Arial"/>
          <w:b/>
          <w:bCs/>
          <w:color w:val="2D2D2D"/>
          <w:sz w:val="21"/>
          <w:szCs w:val="21"/>
        </w:rPr>
        <w:t xml:space="preserve">Start collecting calibration data. </w:t>
      </w:r>
      <w:r>
        <w:rPr>
          <w:rFonts w:ascii="Arial" w:cs="Arial" w:eastAsia="Arial" w:hAnsi="Arial"/>
          <w:color w:val="2D2D2D"/>
          <w:sz w:val="21"/>
          <w:szCs w:val="21"/>
        </w:rPr>
        <w:t xml:space="preserve">Every client engagement that includes real-world results makes the engine more accurate. This data is the moat.</w:t>
      </w:r>
    </w:p>
    <w:p>
      <w:pPr>
        <w:pStyle w:val="ListParagraph"/>
        <w:numPr>
          <w:ilvl w:val="0"/>
          <w:numId w:val="3"/>
        </w:numPr>
        <w:spacing w:after="40" w:before="40"/>
      </w:pPr>
      <w:r>
        <w:rPr>
          <w:rFonts w:ascii="Arial" w:cs="Arial" w:eastAsia="Arial" w:hAnsi="Arial"/>
          <w:b/>
          <w:bCs/>
          <w:color w:val="2D2D2D"/>
          <w:sz w:val="21"/>
          <w:szCs w:val="21"/>
        </w:rPr>
        <w:t xml:space="preserve">Don’t over-explain the tech. </w:t>
      </w:r>
      <w:r>
        <w:rPr>
          <w:rFonts w:ascii="Arial" w:cs="Arial" w:eastAsia="Arial" w:hAnsi="Arial"/>
          <w:color w:val="2D2D2D"/>
          <w:sz w:val="21"/>
          <w:szCs w:val="21"/>
        </w:rPr>
        <w:t xml:space="preserve">Clients care about one thing: did you correctly predict which ad worked. If yes, they’ll ask how it works.</w:t>
      </w:r>
    </w:p>
    <w:p>
      <w:pPr>
        <w:spacing w:before="200"/>
      </w:pPr>
    </w:p>
    <w:p>
      <w:pPr>
        <w:pBdr>
          <w:bottom w:val="single" w:color="2563EB" w:sz="2" w:space="1"/>
        </w:pBdr>
        <w:spacing w:after="200" w:before="200"/>
      </w:pPr>
    </w:p>
    <w:p>
      <w:pPr>
        <w:spacing w:before="100"/>
      </w:pPr>
    </w:p>
    <w:p>
      <w:pPr>
        <w:jc w:val="center"/>
      </w:pPr>
      <w:r>
        <w:rPr>
          <w:rFonts w:ascii="Arial" w:cs="Arial" w:eastAsia="Arial" w:hAnsi="Arial"/>
          <w:b/>
          <w:bCs/>
          <w:color w:val="6B7280"/>
          <w:sz w:val="22"/>
          <w:szCs w:val="22"/>
        </w:rPr>
        <w:t xml:space="preserve">End of Specification</w:t>
      </w:r>
    </w:p>
    <w:p>
      <w:pPr>
        <w:spacing w:before="80"/>
        <w:jc w:val="center"/>
      </w:pPr>
      <w:r>
        <w:rPr>
          <w:rFonts w:ascii="Arial" w:cs="Arial" w:eastAsia="Arial" w:hAnsi="Arial"/>
          <w:i/>
          <w:iCs/>
          <w:color w:val="2563EB"/>
          <w:sz w:val="20"/>
          <w:szCs w:val="20"/>
        </w:rPr>
        <w:t xml:space="preserve">Build the wedge. Prove the engine. Then expand.</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Synthetic India — Spec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40AF"/>
      <w:sz w:val="28"/>
      <w:szCs w:val="28"/>
    </w:rPr>
  </w:style>
  <w:style w:type="paragraph" w:styleId="Heading2">
    <w:name w:val="Heading 2"/>
    <w:basedOn w:val="Normal"/>
    <w:next w:val="Normal"/>
    <w:qFormat/>
    <w:pPr>
      <w:spacing w:after="150" w:before="300"/>
      <w:outlineLvl w:val="1"/>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2026-03-24T08:26:02.557Z</dcterms:created>
  <dcterms:modified xsi:type="dcterms:W3CDTF">2026-03-24T08:26:02.557Z</dcterms:modified>
</cp:coreProperties>
</file>

<file path=docProps/custom.xml><?xml version="1.0" encoding="utf-8"?>
<Properties xmlns="http://schemas.openxmlformats.org/officeDocument/2006/custom-properties" xmlns:vt="http://schemas.openxmlformats.org/officeDocument/2006/docPropsVTypes"/>
</file>