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SYNTHETIC INDIA</w:t>
      </w: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AI-Powered Consumer Behavior Simulation Engine</w:t>
      </w:r>
    </w:p>
    <w:p>
      <w:pPr>
        <w:spacing w:before="300"/>
      </w:pPr>
    </w:p>
    <w:p>
      <w:pPr>
        <w:pBdr>
          <w:top w:val="single" w:color="2563EB" w:sz="2" w:space="1"/>
        </w:pBdr>
        <w:spacing w:after="200"/>
        <w:jc w:val="center"/>
      </w:pP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color w:val="2D2D2D"/>
          <w:sz w:val="24"/>
          <w:szCs w:val="24"/>
        </w:rPr>
        <w:t xml:space="preserve">Product Specification &amp; Technical Brief</w:t>
      </w:r>
    </w:p>
    <w:p>
      <w:pPr>
        <w:spacing w:before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Phase 1 MVP — Agent Architecture &amp; System Flow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Prepared: March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Classification: Internal — Founding Team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The Vision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Synthetic India is a simulated market — a persistent, living digital population of AI consumers who react to products, ads, and experiences the way real Indian consumers would. It is not a testing tool. It is a prediction engine.</w:t>
      </w:r>
    </w:p>
    <w:p>
      <w:pPr>
        <w:spacing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Companies inject their product, creative, or concept into this simulated world. They observe how simulated consumers discover it, react to it, share it, compare it, buy it, or ignore it — before spending a single rupee on real-world testing.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none"/>
            </w:tcBorders>
            <w:shd w:fill="2563EB" w:val="clear"/>
          </w:tcPr>
          <w:p/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The Westworld Analogy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Imagine a digital India populated by thousands of AI agents. Each one has a life: a job, preferences, moods, financial pressures, social media habits, brand loyalties. They talk to each other, influence each other, and make purchase decisions based on everything they’ve experienced.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When a D2C brand drops a new skincare product into this world, they don’t get a survey response. They get a market simulation: who discovered it, who ignored it, who bought it, who told their friends, who left a negative review, and why.</w:t>
            </w:r>
          </w:p>
        </w:tc>
      </w:tr>
    </w:tbl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Long-Term Platform Vision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behavioral simulation engine is category-agnostic. Once the core technology works, the same engine can power: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Marketing &amp; Ads: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Pre-screen creatives, landing pages, and campaigns against simulated consumer segments.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Product Launches: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Test product concepts, packaging, pricing, and positioning before manufacturing.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Financial Services: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Simulate how customer segments respond to loan products, EMI structures, collection communication, or insurance offerings.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Legal (Jury Selection):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Model how juror profiles react to defense/prosecution strategies. (US market opportunity.)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Public Policy: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Predict how citizen segments respond to policy framing, public health messaging, or government programs.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HR &amp; Recruitment: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Simulate candidate response to job listings, compensation structures, and employer branding.</w:t>
      </w:r>
    </w:p>
    <w:p>
      <w:pPr>
        <w:spacing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Phase 1 focuses exclusively on marketing creative testing for Indian D2C brands and agencies. This is our proving ground — the use case with the most accessible data, most forgiving accuracy requirements, and fastest feedback loops for calibration.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Phase 1 MVP: What We’re Building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simulation engine with 30–50 AI consumer agents that can evaluate marketing creatives (ads, landing pages, product concepts) and produce a structured prediction report. No real-time web browsing. No social network simulation. Just calibrated personas reacting to stimuli with measurable accuracy.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Phase 1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30–50 distinct AI consumer personas calibrated for the Indian market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persona has a detailed behavioral profile (not just demographics)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brand uploads a creative → agents evaluate it → structured report is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Reports include predicted reactions, sentiment breakdown, purchase intent, and specific feedback per persona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Turnaround: minutes, not weeks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Phase 1 IS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Not real-time web browsing agents (too expensive, too complex for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Not a social network simulation (agents don’t interact with each other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Not a persistent world (agents don’t have ongoing “lives” yet)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Not multi-category (marketing creatives only — no jury/finance/HR)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Not a self-serve platform (we deliver reports manually while validating accuracy)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User Journey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is what the client (a D2C brand or performance marketing agency) experiences end-to-end.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1: Brief Submission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client provides: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The creative(s):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1–5 ad images, videos, or landing page screenshots they want tested.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Target audience description: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Who is this ad meant for? (e.g., “Women 22–35 in Tier 1 cities interested in skincare”)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Product category: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Skincare, fashion, food delivery, fintech, etc.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(Optional) Success metrics: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What they care about — click-through potential, brand recall, purchase intent, emotional response.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(Optional) Competitor creatives: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Existing ads they’re benchmarking against.</w:t>
      </w:r>
    </w:p>
    <w:p>
      <w:pPr>
        <w:spacing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 MVP, this comes via email or a simple form. No self-serve portal needed yet.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2: Simulation Setup (Internal)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Our system selects the relevant agent cohort based on the target audience and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Persona matching: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From our library of 30–50 personas, the system selects 15–25 that match the target audience. A skincare ad targeting young urban women would get a different cohort than a fintech app targeting small business owners.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Context injection: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Each selected agent gets briefed on the product category and current market context (trending brands, price benchmarks, seasonal factors).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Creative packaging: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The uploaded creative(s) are formatted for agent consumption — images are described via vision model, copy is extracted, CTAs and pricing are tagged.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3: Simulation Run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selected agent independently evaluates the creative. For each agent, the system captures: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First impression: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What catches their attention first? (headline, image, price, brand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Emotional response: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What do they feel? (excited, skeptical, confused, indifferent, aspirational)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Comprehension: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Do they understand the offer, the product, the CTA?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Relevance: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Does this feel like it’s “for them”?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Trust: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Do they believe the claims? Does the brand feel credible?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Action likelihood: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Would they scroll past, pause, click, save, share, or purchase?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Specific feedback: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Open-ended reaction in the agent’s voice (e.g., “The price is good but the packaging looks cheap — I’d check reviews before buying.”)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Comparison: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If competitor creatives were provided, how does this stack up?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4: Aggregation &amp; Report Generation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Individual agent responses are aggregated into a structured report: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Overall score: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 composite 1–100 predicted performance score.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Segment breakdown: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How different persona clusters reacted (e.g., price-sensitive segment vs. brand-loyal segment vs. impulse buyers).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Attention heatmap: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Which creative elements drew the most attention across agents.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Sentiment distribution: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Positive / neutral / negative split with key drivers for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Verbatim highlights: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The most insightful agent feedback quotes, organized by theme.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Recommendations: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Specific suggested changes to improve the creative (e.g., “Price-sensitive segments respond poorly to the ‘premium’ framing — consider emphasizing value/quantity instead.”)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Competitive comparison: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If benchmarks were provided, a side-by-side prediction.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5: Delivery &amp; Feedback Loop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report is delivered to the client. We ask for one critical piece of data in return: actual performance metrics when the creative goes live. This is our calibration data. Every client engagement that includes real-world results makes the engine more accurate for the next client.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System Architecture (Behind the Scenes)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section describes what the system does technically at each step. This is the engineering spec.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4.1 Agent Design: The Three Layers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Every agent has three components, building on the Soul/Memory/Body framework:</w:t>
      </w:r>
    </w:p>
    <w:p>
      <w:pPr>
        <w:spacing w:before="6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Layer 1: The Persona (Soul)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 detailed behavioral profile that governs how this agent thinks and decides. This is NOT just demographics. Each persona includes: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26F, Bangalore, IT professional, ₹45K/month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Baseline context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Purchase psychology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Researches extensively, reads 5+ reviews before buying, compares 3 brands minimum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Determines decision speed and process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Price sensitivity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— mentions price in 78% of purchase decisions, looks for coupons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Shapes reaction to pricing cues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relationship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Loyal to 2–3 brands per category, skeptical of new entrants, influenced by friend recommendations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Affects trust and trial willingness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Media behavior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Scrolls Instagram 40 min/day, follows 15 beauty influencers, skips ads unless visually striking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Determines attention patterns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Emotional triggers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Responds to FOMO, social proof, and “limited edition” framing. Turned off by “cheap” or “budget” language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Shapes emotional response to creative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Cultural context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Vegetarian, celebrates Diwali and Pongal, family-oriented purchase decisions for &gt;5K items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India-specific behavioral nuance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Current life context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Recently moved to a new city, setting up apartment, open to trying new brands in home/kitchen category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Situational purchase triggers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Layer 2: The Memory (History) — Phase 2+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In Phase 1, agents are stateless — they evaluate each creative fresh. In Phase 2, agents will retain memory across simulation runs: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What ads they’ve seen before (affects novelty perception)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What products they’ve “purchased” (affects brand loyalty and category saturation)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What reviews they’ve “written” (builds consistency in their personality over time)</w:t>
      </w:r>
    </w:p>
    <w:p>
      <w:pPr>
        <w:spacing w:before="4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 now, keep the architecture memory-ready. Each agent should have a memory field in their JSON profile, even if it’s empty in Phase 1. This prevents a rewrite later.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Layer 3: The Action Space (Body)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When an agent encounters a creative, their possible actions are constrained to a defined set. For Phase 1: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SCROLL_PAST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Didn’t stop, didn’t register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0% engagement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PAUSE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Stopped scrolling, looked at it for 1–2 seconds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Impression registered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Read the headline and/or body copy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attention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ENGAGE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Liked, saved, or would share with someone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High engagement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Would tap through to learn more / visit landing page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Click-through intent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PURCHASE_INTENT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Would seriously consider buying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Conversion potential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NEGATIVE_REACT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Would hide ad, leave negative comment, or feel annoyed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Brand risk signal</w:t>
            </w:r>
          </w:p>
        </w:tc>
      </w:tr>
    </w:tbl>
    <w:p>
      <w:pPr>
        <w:spacing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agent must select exactly ONE primary action and can optionally flag a secondary action. The agent also provides its reasoning and open-ended feedback alongside the action.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4.2 Simulation Pipeline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Here is the exact technical flow from creative upload to report output.</w:t>
      </w:r>
    </w:p>
    <w:p>
      <w:pPr>
        <w:spacing w:before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A: Creative Analysis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Before agents see the creative, the system extracts structured features from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For images/video thumbnails: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Run through a vision model (Claude or GPT-4V) to extract: visual elements, color palette, text overlays, product visibility, human faces/models, lifestyle setting, brand logo 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For copy: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Extract headline, body text, CTA, pricing information, offer details, urgency language, social proof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For landing pages: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Screenshot + full page text extraction, layout analysis, form complexity, trust signals (reviews, badges, guarantees).</w:t>
      </w:r>
    </w:p>
    <w:p>
      <w:pPr>
        <w:spacing w:before="4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Output: A structured JSON “creative card” that contains all extracted features. This is what gets sent to agents, not the raw image.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B: Cohort Selection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Based on the client’s target audience description, select relevant agents: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Parse the target audience description into structured filters (age range, gender, location tier, income bracket, category interest).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Match against agent persona profiles.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Select 15–25 agents that fit. Include 3–5 “edge case” agents slightly outside the target (they often reveal unexpected insights).</w:t>
      </w:r>
    </w:p>
    <w:p>
      <w:pPr>
        <w:spacing w:before="4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For MVP, this matching can be rule-based (simple filter logic). No ML needed.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C: Agent Evaluation (The Core LLM Call)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is the heart of the system. For each selected agent, make one LLM API call that includes: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none"/>
            </w:tcBorders>
            <w:shd w:fill="2563EB" w:val="clear"/>
          </w:tcPr>
          <w:p/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What Goes Into Each API Call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 System prompt: Instructions on how to behave as a simulated consumer. Rules for response format.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 Persona profile: The full behavioral profile from Layer 1 (the “Soul”).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 Category context: Current market information for this product category (top brands, price ranges, trending products).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4. Creative card: The structured features extracted in Step 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 Evaluation framework: The specific questions the agent must answer (first impression, emotional response, action choice, etc.).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 comes back: A structured JSON response with the agent’s action, reasoning, scores, and open-ended feedback.</w:t>
            </w:r>
          </w:p>
        </w:tc>
      </w:tr>
    </w:tbl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D: Response Aggregation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Collect all agent responses and compute: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Action distribution: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What % chose each action (e.g., 40% SCROLL_PAST, 25% PAUSE, 15% READ, 10% ENGAGE, 5% CLICK, 3% PURCHASE_INTENT, 2% NEGATIVE_REACT).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Segment analysis: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Group agents by persona cluster and show how each cluster responded differently.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Sentiment scoring: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Aggregate emotional responses into positive/neutral/negative with key drivers.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Attention analysis: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Which creative elements were mentioned most frequently across agents.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Theme extraction: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Cluster the open-ended feedback into recurring themes (e.g., “price concerns” mentioned by 7/20 agents).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Overall score: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Weighted composite of action distribution, sentiment, and relevance scores → single 1–100 number.</w:t>
      </w:r>
    </w:p>
    <w:p>
      <w:pPr>
        <w:spacing w:before="1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Step E: Report Generation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Take the aggregated data and generate a readable report. For MVP, this can be a second LLM call that takes the raw aggregation data and produces a well-written analysis with specific, actionable recommendations. Alternatively, use a structured template with data slots.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Agent Persona Library (Phase 1)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Build 30–50 personas across these behavioral archetypes. Each archetype should have 3–5 specific personas with distinct demographic profiles but shared behavioral patterns.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Archetype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Behavioral Pattern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Researcher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Deep comparison shopper. Reads reviews obsessively. Needs social proof. Slow to convert but high loyalty once committed.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Impulse Buyer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Scrolls fast, decides fast. Responds to visual appeal, urgency, and FOMO. Low brand loyalty, high trial rate.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Price Anchor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Every decision runs through a price filter first. Compares value/quantity ratios. Responds to discounts and “best value” framing.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5–7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Brand Loyalist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Sticks to known brands. Skeptical of new entrants. Needs strong credibility signals to switch. High lifetime value.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Trend Follower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Influenced heavily by what’s popular on Instagram/YouTube. Buys what influencers recommend. Wants to be early adopter.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4–6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Skeptic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Distrusts advertising. Looks for catches. Negative toward aspirational messaging. Responds to honesty and transparency.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Pragmatist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Buys what works. Ignores branding and lifestyle imagery. Wants functional benefits, specifications, and proof of efficacy.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Aspirational Buyer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Purchases for status and self-image. Responds to premium positioning, lifestyle imagery, and exclusivity.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</w:t>
            </w:r>
          </w:p>
        </w:tc>
      </w:tr>
    </w:tbl>
    <w:p>
      <w:pPr>
        <w:spacing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Within each archetype, vary the demographics: age (18–45), gender, city tier (Metro/Tier 1/Tier 2), income bracket, and product category familiarity. A “Researcher” who is a 24-year-old engineering student in Pune behaves differently from a “Researcher” who is a 38-year-old mother of two in Chennai, even though their core behavioral pattern is similar.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Recommended Tech Stack</w:t>
      </w:r>
    </w:p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for agent evaluation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Sonnet 4 (primary) or GPT-4o-mini (cost optimization)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Best persona consistency at reasonable cost. Use Haiku/4o-mini for cost-sensitive runs.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for vision/creative analysis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Claude Sonnet 4 or GPT-4V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Needed to extract structured features from ad images and landing pages.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Backend / orchestration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Lightweight, async-friendly, easy to iterate. No need for LangGraph in Phase 1.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persona 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JSON files or simple PostgreSQL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Persona profiles are static in Phase 1. Don’t over-engineer storage.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memory storage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Empty JSON field per agent (placeholder)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Architect for memory, but don’t implement retrieval logic yet.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LLM call on aggregated data OR Jinja2 templates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Start with LLM-generated reports. Move to templates if cost is an issue.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cost management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 tracking + per-simulation cost calculator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Critical for unit economics. Log every API call’s token count and cost.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PDF or styled HTML report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Professional enough for client delivery.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none"/>
            </w:tcBorders>
            <w:shd w:fill="2563EB" w:val="clear"/>
          </w:tcPr>
          <w:p/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What NOT To Build in Phase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 vector database (Pinecone, Weaviate). Agent memory is a placeholder JSON field.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 LangGraph / LangChain orchestration. Simple async Python loop is sufficient for 20–50 agents.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 real-time web browsing for agents. Inject market context manually into prompts.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 agent-to-agent interaction or social graph. Each agent evaluates independently.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 self-serve UI/dashboard. Deliver reports manually via email.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• No pickling agent state between sessions. Agents are stateless per simulation.</w:t>
            </w:r>
          </w:p>
        </w:tc>
      </w:tr>
    </w:tbl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Cost Model Per Simulation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This is critical for pricing. Every simulation run has a direct API cost that we need to track.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 Per Simulation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Creative analysis (vision)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~$0.05–$0.15 per creative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API call per creative with image input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evaluations (20 agents)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~$0.40–$1.00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~$0.02–$0.05 per agent call with full persona + creative context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~$0.05–$0.10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API call to synthesize aggregated data into report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 per simulation (20 agents, 1 creative)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$0.50–$1.25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At 50 agents and 3 creatives: $2.50–$6.00</w:t>
            </w:r>
          </w:p>
        </w:tc>
      </w:tr>
    </w:tbl>
    <w:p>
      <w:pPr>
        <w:spacing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At a charge of ₹15,000–25,000 per report, the margins are extremely healthy even at 50 agents across 5 creatives. API cost would be under $10 (~₹850) per simulation. The remaining cost is our time in setup, quality control, and delivery.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How We Measure Accuracy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The entire business depends on whether agent predictions match real-world outcomes. Here’s how we build a calibration system from day one.</w:t>
      </w:r>
    </w:p>
    <w:p>
      <w:pPr>
        <w:spacing w:before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What We Track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Directional accuracy: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If our agents predict Creative A &gt; Creative B &gt; Creative C in performance, does real-world data confirm that ranking? Target: &gt;65% accuracy.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Sentiment alignment: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If agents predicted 70% positive sentiment, is the real-world engagement/comment sentiment within a reasonable range? Target: within 15 percentage points.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Failure detection: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If agents flagged a creative as likely to receive negative reactions, did it actually underperform or generate backlash? Target: &gt;70% detection rate.</w:t>
      </w:r>
    </w:p>
    <w:p>
      <w:pPr>
        <w:spacing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How We Get Calibration Data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After delivering every report, we ask the client: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Share actual CTR, engagement rate, and conversion data once the creative goes 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Tell us which creative they chose to scale and why.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Flag any results that surprised them vs. our prediction.</w:t>
      </w:r>
    </w:p>
    <w:p>
      <w:pPr>
        <w:spacing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Every calibration data point gets logged. After 50–100 simulations, we have a robust accuracy benchmark. This data becomes our most valuable asset — it’s what separates us from someone else running the same LLM prompts.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 Phase Roadmap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How Phase 1 connects to the full Westworld vision.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560"/>
        <w:gridCol w:w="30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What’s Added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Selling Point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1 (NOW)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 months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30–50 stateless agents, manual delivery, single-category creative testing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Fast, cheap creative pre-screening for Indian D2C brands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Agent memory across sessions, agent-to-agent influence, automated report delivery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Simulated word-of-mouth and social proof dynamics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Periodic web awareness (agents get “daily briefings” of trends/news), multi-category support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Context-aware agents that reflect current market mood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12–24 months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Persistent simulated world, real-time awareness, full social graph, emergent behavior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full Westworld — drop a product into a living market and watch what happens</w:t>
            </w:r>
          </w:p>
        </w:tc>
      </w:tr>
    </w:tbl>
    <w:p>
      <w:pPr>
        <w:spacing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Each phase is independently sellable. Phase 1 generates revenue and calibration data. Each subsequent phase is funded by the previous one and made more accurate by accumulated data.</w:t>
      </w:r>
    </w:p>
    <w:p>
      <w:pPr>
        <w:pBdr>
          <w:bottom w:val="single" w:color="2563EB" w:sz="2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 What To Build First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2D2D2D"/>
          <w:sz w:val="21"/>
          <w:szCs w:val="21"/>
        </w:rPr>
        <w:t xml:space="preserve">Here’s the priority order for development. Build in this exact sequence.</w:t>
      </w:r>
    </w:p>
    <w:p>
      <w:pPr>
        <w:spacing w:before="8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5 agent personas (2–3 days):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Start with just 5 well-crafted personas from different archetypes. Test them against real ad creatives you can find online. Do the agents give meaningfully different, believable responses? If 5 agents don’t produce useful output, 50 won’t either.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Creative analysis pipeline (1–2 days):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Build the vision model call that takes an ad image and outputs a structured creative card. Test with 10 real Indian D2C ads.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Single simulation run (1–2 days):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Wire it together: creative in → 5 agents evaluate → raw JSON responses out. No aggregation yet. Just make sure the pipeline works end-to-end.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Response aggregation (2–3 days):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Build the logic that takes 5–20 raw agent responses and computes action distribution, sentiment scores, theme extraction, and an overall score.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Report generation (1–2 days):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Take aggregated data and produce a readable report (PDF or styled HTML).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Expand to 30–50 agents (3–5 days):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Once the pipeline works, build out the full persona library. Test for diversity of responses and believability.</w:t>
      </w:r>
    </w:p>
    <w:p>
      <w:pPr>
        <w:spacing w:before="40"/>
      </w:pP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Cost tracking (1 day):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Log token usage and cost per simulation. This determines pricing.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1D5DB" w:sz="1"/>
              <w:left w:val="single" w:color="D1D5DB" w:sz="1"/>
              <w:bottom w:val="single" w:color="D1D5DB" w:sz="1"/>
              <w:right w:val="none"/>
            </w:tcBorders>
            <w:shd w:fill="2563EB" w:val="clear"/>
          </w:tcPr>
          <w:p/>
        </w:tc>
        <w:tc>
          <w:tcPr>
            <w:tcW w:type="dxa" w:w="9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Total Estimated Build Time: 2–3 Weeks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This gets us to a working prototype that we can test against real creatives and real agencies. Not a polished product — a functional simulation engine that proves whether the core idea works.</w:t>
            </w:r>
          </w:p>
        </w:tc>
      </w:tr>
    </w:tbl>
    <w:p>
      <w:pPr>
        <w:spacing w:before="200"/>
      </w:pPr>
    </w:p>
    <w:p>
      <w:pPr>
        <w:pBdr>
          <w:bottom w:val="single" w:color="2563EB" w:sz="2" w:space="1"/>
        </w:pBdr>
        <w:spacing w:after="200" w:before="200"/>
      </w:pPr>
    </w:p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6B7280"/>
          <w:sz w:val="22"/>
          <w:szCs w:val="22"/>
        </w:rPr>
        <w:t xml:space="preserve">End of Specification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Build the wedge. Prove the engine. Then expand.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Synthetic India — Product Spec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D2D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2026-03-12T07:16:23.151Z</dcterms:created>
  <dcterms:modified xsi:type="dcterms:W3CDTF">2026-03-12T07:16:23.151Z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