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0"/>
      </w:pPr>
    </w:p>
    <w:p>
      <w:pPr>
        <w:jc w:val="center"/>
      </w:pPr>
      <w:r>
        <w:rPr>
          <w:b/>
          <w:color w:val="6D5BD0"/>
          <w:sz w:val="24"/>
        </w:rPr>
        <w:t>CAREEROS</w:t>
      </w:r>
    </w:p>
    <w:p>
      <w:pPr>
        <w:jc w:val="center"/>
      </w:pPr>
      <w:r>
        <w:rPr>
          <w:b/>
          <w:color w:val="102A43"/>
          <w:sz w:val="68"/>
        </w:rPr>
        <w:t>CareerOS</w:t>
      </w:r>
    </w:p>
    <w:p>
      <w:pPr>
        <w:jc w:val="center"/>
      </w:pPr>
      <w:r>
        <w:rPr>
          <w:b/>
          <w:color w:val="2E74B5"/>
          <w:sz w:val="38"/>
        </w:rPr>
        <w:t>The evidence memory and action layer</w:t>
        <w:br/>
        <w:t>between education and employment</w:t>
      </w:r>
    </w:p>
    <w:p>
      <w:pPr>
        <w:spacing w:before="360"/>
        <w:jc w:val="center"/>
      </w:pPr>
      <w:r>
        <w:rPr>
          <w:b/>
          <w:color w:val="6D5BD0"/>
          <w:sz w:val="22"/>
        </w:rPr>
        <w:t>ROUND 2 PRODUCT DOCUMENTATION</w:t>
      </w:r>
    </w:p>
    <w:p>
      <w:pPr>
        <w:jc w:val="center"/>
      </w:pPr>
      <w:r>
        <w:rPr>
          <w:color w:val="5F6B7A"/>
          <w:sz w:val="20"/>
        </w:rPr>
        <w:t>Talentbank AI Hackathon 2026  ·  July 2026</w:t>
      </w:r>
    </w:p>
    <w:p>
      <w:pPr>
        <w:spacing w:after="2300"/>
      </w:pPr>
    </w:p>
    <w:p>
      <w:pPr>
        <w:jc w:val="center"/>
      </w:pPr>
      <w:r>
        <w:rPr>
          <w:b/>
          <w:color w:val="102A43"/>
          <w:sz w:val="26"/>
        </w:rPr>
        <w:t>Remember the signal. Prove it. Act earlier.</w:t>
      </w:r>
    </w:p>
    <w:p>
      <w:r>
        <w:br w:type="page"/>
      </w:r>
    </w:p>
    <w:p>
      <w:pPr>
        <w:pStyle w:val="Heading1"/>
      </w:pPr>
      <w:r>
        <w:t>Document Purpose and Reading Guide</w:t>
      </w:r>
    </w:p>
    <w:p>
      <w:r>
        <w:t>This document replaces the Phase 1 product description with a Round 2 view grounded in the current CareerOS repository, implemented routes, local state flows, partial backend, and the deeper product-value analysis completed for the submission.</w:t>
      </w:r>
    </w:p>
    <w:tbl>
      <w:tblPr>
        <w:tblW w:type="auto" w:w="0"/>
        <w:jc w:val="center"/>
        <w:tblLayout w:type="fixed"/>
        <w:tblLook w:firstColumn="1" w:firstRow="1" w:lastColumn="0" w:lastRow="0" w:noHBand="0" w:noVBand="1" w:val="04A0"/>
      </w:tblPr>
      <w:tblGrid>
        <w:gridCol w:w="9360"/>
      </w:tblGrid>
      <w:tr>
        <w:tc>
          <w:tcPr>
            <w:tcW w:type="dxa" w:w="9360"/>
            <w:shd w:fill="F1EEFF"/>
            <w:tcMar>
              <w:top w:w="140" w:type="dxa"/>
              <w:start w:w="180" w:type="dxa"/>
              <w:bottom w:w="140" w:type="dxa"/>
              <w:end w:w="180" w:type="dxa"/>
            </w:tcMar>
          </w:tcPr>
          <w:p>
            <w:pPr>
              <w:spacing w:after="0"/>
            </w:pPr>
            <w:r/>
            <w:r>
              <w:rPr>
                <w:b/>
                <w:color w:val="2E74B5"/>
              </w:rPr>
              <w:t xml:space="preserve">Truth boundary  </w:t>
            </w:r>
            <w:r>
              <w:t>CareerOS is currently a polished multi-workspace prototype. It demonstrates product logic and rich interactions using local or mock data, deterministic recommendations, optional model calls, and a partial FastAPI backend. It does not yet prove adoption, customer demand, AI accuracy, production integrations, autonomous agents, or measured impact.</w:t>
            </w:r>
          </w:p>
        </w:tc>
      </w:tr>
    </w:tbl>
    <w:p>
      <w:pPr>
        <w:spacing w:after="20"/>
      </w:pPr>
    </w:p>
    <w:p>
      <w:pPr>
        <w:pStyle w:val="Heading2"/>
      </w:pPr>
      <w:r>
        <w:t>Contents</w:t>
      </w:r>
    </w:p>
    <w:p>
      <w:pPr>
        <w:pStyle w:val="ListBullet"/>
        <w:spacing w:after="80"/>
        <w:ind w:left="720" w:hanging="360"/>
      </w:pPr>
      <w:r>
        <w:t>1. Executive Summary</w:t>
      </w:r>
    </w:p>
    <w:p>
      <w:pPr>
        <w:pStyle w:val="ListBullet"/>
        <w:spacing w:after="80"/>
        <w:ind w:left="720" w:hanging="360"/>
      </w:pPr>
      <w:r>
        <w:t>2. Product Thesis and Problem</w:t>
      </w:r>
    </w:p>
    <w:p>
      <w:pPr>
        <w:pStyle w:val="ListBullet"/>
        <w:spacing w:after="80"/>
        <w:ind w:left="720" w:hanging="360"/>
      </w:pPr>
      <w:r>
        <w:t>3. Users, Buyer, and Pilot Wedge</w:t>
      </w:r>
    </w:p>
    <w:p>
      <w:pPr>
        <w:pStyle w:val="ListBullet"/>
        <w:spacing w:after="80"/>
        <w:ind w:left="720" w:hanging="360"/>
      </w:pPr>
      <w:r>
        <w:t>4. CareerOS Operating Model</w:t>
      </w:r>
    </w:p>
    <w:p>
      <w:pPr>
        <w:pStyle w:val="ListBullet"/>
        <w:spacing w:after="80"/>
        <w:ind w:left="720" w:hanging="360"/>
      </w:pPr>
      <w:r>
        <w:t>5. Student Workspace</w:t>
      </w:r>
    </w:p>
    <w:p>
      <w:pPr>
        <w:pStyle w:val="ListBullet"/>
        <w:spacing w:after="80"/>
        <w:ind w:left="720" w:hanging="360"/>
      </w:pPr>
      <w:r>
        <w:t>6. Employer Workspace</w:t>
      </w:r>
    </w:p>
    <w:p>
      <w:pPr>
        <w:pStyle w:val="ListBullet"/>
        <w:spacing w:after="80"/>
        <w:ind w:left="720" w:hanging="360"/>
      </w:pPr>
      <w:r>
        <w:t>7. University Workspace</w:t>
      </w:r>
    </w:p>
    <w:p>
      <w:pPr>
        <w:pStyle w:val="ListBullet"/>
        <w:spacing w:after="80"/>
        <w:ind w:left="720" w:hanging="360"/>
      </w:pPr>
      <w:r>
        <w:t>8. Cross-Workspace Evidence Loop</w:t>
      </w:r>
    </w:p>
    <w:p>
      <w:pPr>
        <w:pStyle w:val="ListBullet"/>
        <w:spacing w:after="80"/>
        <w:ind w:left="720" w:hanging="360"/>
      </w:pPr>
      <w:r>
        <w:t>9. Implementation Status</w:t>
      </w:r>
    </w:p>
    <w:p>
      <w:pPr>
        <w:pStyle w:val="ListBullet"/>
        <w:spacing w:after="80"/>
        <w:ind w:left="720" w:hanging="360"/>
      </w:pPr>
      <w:r>
        <w:t>10. Technical Architecture</w:t>
      </w:r>
    </w:p>
    <w:p>
      <w:pPr>
        <w:pStyle w:val="ListBullet"/>
        <w:spacing w:after="80"/>
        <w:ind w:left="720" w:hanging="360"/>
      </w:pPr>
      <w:r>
        <w:t>11. AI, Data, and Governance</w:t>
      </w:r>
    </w:p>
    <w:p>
      <w:pPr>
        <w:pStyle w:val="ListBullet"/>
        <w:spacing w:after="80"/>
        <w:ind w:left="720" w:hanging="360"/>
      </w:pPr>
      <w:r>
        <w:t>12. Strategic Value for Talentbank</w:t>
      </w:r>
    </w:p>
    <w:p>
      <w:pPr>
        <w:pStyle w:val="ListBullet"/>
        <w:spacing w:after="80"/>
        <w:ind w:left="720" w:hanging="360"/>
      </w:pPr>
      <w:r>
        <w:t>13. Pilot and Validation Plan</w:t>
      </w:r>
    </w:p>
    <w:p>
      <w:pPr>
        <w:pStyle w:val="ListBullet"/>
        <w:spacing w:after="80"/>
        <w:ind w:left="720" w:hanging="360"/>
      </w:pPr>
      <w:r>
        <w:t>14. Product Roadmap</w:t>
      </w:r>
    </w:p>
    <w:p>
      <w:pPr>
        <w:pStyle w:val="ListBullet"/>
        <w:spacing w:after="80"/>
        <w:ind w:left="720" w:hanging="360"/>
      </w:pPr>
      <w:r>
        <w:t>15. Setup and Demo Guidance</w:t>
      </w:r>
    </w:p>
    <w:p>
      <w:pPr>
        <w:pStyle w:val="ListBullet"/>
        <w:spacing w:after="80"/>
        <w:ind w:left="720" w:hanging="360"/>
      </w:pPr>
      <w:r>
        <w:t>Appendix A. Route and Capability Inventory</w:t>
      </w:r>
    </w:p>
    <w:p>
      <w:pPr>
        <w:pStyle w:val="ListBullet"/>
        <w:spacing w:after="80"/>
        <w:ind w:left="720" w:hanging="360"/>
      </w:pPr>
      <w:r>
        <w:t>Appendix B. Claim Language</w:t>
      </w:r>
    </w:p>
    <w:p>
      <w:r>
        <w:br w:type="page"/>
      </w:r>
    </w:p>
    <w:p>
      <w:pPr>
        <w:pStyle w:val="Heading1"/>
      </w:pPr>
      <w:r>
        <w:t>1. Executive Summary</w:t>
      </w:r>
    </w:p>
    <w:p>
      <w:r>
        <w:t>Career potential is frequently lost between moments. A student completes a project but cannot later explain what it proves. An employer meets strong early talent but restarts sourcing when an urgent role appears. A university identifies a capability gap after the current cohort has already lost time.</w:t>
      </w:r>
    </w:p>
    <w:p>
      <w:r>
        <w:t>CareerOS is designed to preserve those signals as evidence and turn them into earlier decisions and actions. It connects three role-specific workspaces—Student, Employer, and University—through a common operating logic: signal → evidence → decision → action → outcome → learning.</w:t>
      </w:r>
    </w:p>
    <w:tbl>
      <w:tblPr>
        <w:tblW w:type="auto" w:w="0"/>
        <w:jc w:val="center"/>
        <w:tblLayout w:type="fixed"/>
        <w:tblLook w:firstColumn="1" w:firstRow="1" w:lastColumn="0" w:lastRow="0" w:noHBand="0" w:noVBand="1" w:val="04A0"/>
      </w:tblPr>
      <w:tblGrid>
        <w:gridCol w:w="9360"/>
      </w:tblGrid>
      <w:tr>
        <w:tc>
          <w:tcPr>
            <w:tcW w:type="dxa" w:w="9360"/>
            <w:shd w:fill="EEF4FA"/>
            <w:tcMar>
              <w:top w:w="140" w:type="dxa"/>
              <w:start w:w="180" w:type="dxa"/>
              <w:bottom w:w="140" w:type="dxa"/>
              <w:end w:w="180" w:type="dxa"/>
            </w:tcMar>
          </w:tcPr>
          <w:p>
            <w:pPr>
              <w:spacing w:after="0"/>
            </w:pPr>
            <w:r/>
            <w:r>
              <w:rPr>
                <w:b/>
                <w:color w:val="2E74B5"/>
              </w:rPr>
              <w:t xml:space="preserve">Positioning  </w:t>
            </w:r>
            <w:r>
              <w:t>CareerOS is the evidence memory and action layer between education and employment. It is more than a job portal, chatbot, dashboard, or isolated matching tool because its central value is continuity across decisions.</w:t>
            </w:r>
          </w:p>
        </w:tc>
      </w:tr>
    </w:tbl>
    <w:p>
      <w:pPr>
        <w:spacing w:after="20"/>
      </w:pPr>
    </w:p>
    <w:p>
      <w:pPr>
        <w:pStyle w:val="Heading2"/>
      </w:pPr>
      <w:r>
        <w:t>What changed in Round 2</w:t>
      </w:r>
    </w:p>
    <w:p>
      <w:pPr>
        <w:pStyle w:val="ListBullet"/>
        <w:spacing w:after="80"/>
        <w:ind w:left="720" w:hanging="360"/>
      </w:pPr>
      <w:r>
        <w:t>The student experience expanded beyond profiles and listings into Career Memory, Career Intelligence, skill development, opportunities, applications, interview practice, communities, mentorships, and an AI Companion.</w:t>
      </w:r>
    </w:p>
    <w:p>
      <w:pPr>
        <w:pStyle w:val="ListBullet"/>
        <w:spacing w:after="80"/>
        <w:ind w:left="720" w:hanging="360"/>
      </w:pPr>
      <w:r>
        <w:t>The employer experience expanded into an AI-first home, explainable talent discovery, candidate review, warm campus pipeline, engagement creation, hiring action queues, marketplace workflows, and analytics.</w:t>
      </w:r>
    </w:p>
    <w:p>
      <w:pPr>
        <w:pStyle w:val="ListBullet"/>
        <w:spacing w:after="80"/>
        <w:ind w:left="720" w:hanging="360"/>
      </w:pPr>
      <w:r>
        <w:t>The university experience expanded into Student Readiness, Curriculum–Market Alignment, Alumni Signals, Collaboration Marketplace, Accreditation Hub, and an AI Office with human decision controls.</w:t>
      </w:r>
    </w:p>
    <w:p>
      <w:pPr>
        <w:pStyle w:val="ListBullet"/>
        <w:spacing w:after="80"/>
        <w:ind w:left="720" w:hanging="360"/>
      </w:pPr>
      <w:r>
        <w:t>Cross-page stores now demonstrate selected evidence handoffs, shortlist and pipeline state, curriculum evidence packs, interventions, and accreditation readiness changes.</w:t>
      </w:r>
    </w:p>
    <w:p>
      <w:pPr>
        <w:pStyle w:val="ListBullet"/>
        <w:spacing w:after="80"/>
        <w:ind w:left="720" w:hanging="360"/>
      </w:pPr>
      <w:r>
        <w:t>The documentation now separates demonstrated, simulated/partial, and future-facing capabilities.</w:t>
      </w:r>
    </w:p>
    <w:p>
      <w:pPr>
        <w:pStyle w:val="Heading1"/>
      </w:pPr>
      <w:r>
        <w:t>2. Product Thesis and Problem</w:t>
      </w:r>
    </w:p>
    <w:p>
      <w:pPr>
        <w:pStyle w:val="Heading2"/>
      </w:pPr>
      <w:r>
        <w:t>2.1 One structural failure, three stakeholder consequences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shd w:fill="102A43"/>
            <w:tcMar>
              <w:top w:w="80" w:type="dxa"/>
              <w:start w:w="120" w:type="dxa"/>
              <w:bottom w:w="80" w:type="dxa"/>
              <w:end w:w="120" w:type="dxa"/>
            </w:tcMar>
            <w:vAlign w:val="center"/>
          </w:tcPr>
          <w:p>
            <w:pPr>
              <w:spacing w:after="0"/>
            </w:pPr>
            <w:r/>
            <w:r>
              <w:rPr>
                <w:rFonts w:ascii="Calibri" w:hAnsi="Calibri"/>
                <w:b/>
                <w:color w:val="FFFFFF"/>
                <w:sz w:val="18"/>
              </w:rPr>
              <w:t>Stakeholder</w:t>
            </w:r>
          </w:p>
        </w:tc>
        <w:tc>
          <w:tcPr>
            <w:tcW w:type="dxa" w:w="3744"/>
            <w:shd w:fill="102A43"/>
            <w:tcMar>
              <w:top w:w="80" w:type="dxa"/>
              <w:start w:w="120" w:type="dxa"/>
              <w:bottom w:w="80" w:type="dxa"/>
              <w:end w:w="120" w:type="dxa"/>
            </w:tcMar>
            <w:vAlign w:val="center"/>
          </w:tcPr>
          <w:p>
            <w:pPr>
              <w:spacing w:after="0"/>
            </w:pPr>
            <w:r/>
            <w:r>
              <w:rPr>
                <w:rFonts w:ascii="Calibri" w:hAnsi="Calibri"/>
                <w:b/>
                <w:color w:val="FFFFFF"/>
                <w:sz w:val="18"/>
              </w:rPr>
              <w:t>Failure today</w:t>
            </w:r>
          </w:p>
        </w:tc>
        <w:tc>
          <w:tcPr>
            <w:tcW w:type="dxa" w:w="3888"/>
            <w:shd w:fill="102A43"/>
            <w:tcMar>
              <w:top w:w="80" w:type="dxa"/>
              <w:start w:w="120" w:type="dxa"/>
              <w:bottom w:w="80" w:type="dxa"/>
              <w:end w:w="120" w:type="dxa"/>
            </w:tcMar>
            <w:vAlign w:val="center"/>
          </w:tcPr>
          <w:p>
            <w:pPr>
              <w:spacing w:after="0"/>
            </w:pPr>
            <w:r/>
            <w:r>
              <w:rPr>
                <w:rFonts w:ascii="Calibri" w:hAnsi="Calibri"/>
                <w:b/>
                <w:color w:val="FFFFFF"/>
                <w:sz w:val="18"/>
              </w:rPr>
              <w:t>Consequence</w:t>
            </w:r>
          </w:p>
        </w:tc>
      </w:tr>
      <w:tr>
        <w:trPr>
          <w:cantSplit/>
        </w:trPr>
        <w:tc>
          <w:tcPr>
            <w:tcW w:type="dxa" w:w="1728"/>
            <w:tcMar>
              <w:top w:w="80" w:type="dxa"/>
              <w:start w:w="120" w:type="dxa"/>
              <w:bottom w:w="80" w:type="dxa"/>
              <w:end w:w="120" w:type="dxa"/>
            </w:tcMar>
            <w:vAlign w:val="center"/>
          </w:tcPr>
          <w:p>
            <w:pPr>
              <w:spacing w:after="0"/>
            </w:pPr>
            <w:r/>
            <w:r>
              <w:rPr>
                <w:rFonts w:ascii="Calibri" w:hAnsi="Calibri"/>
                <w:b w:val="0"/>
                <w:sz w:val="18"/>
              </w:rPr>
              <w:t>Student</w:t>
            </w:r>
          </w:p>
        </w:tc>
        <w:tc>
          <w:tcPr>
            <w:tcW w:type="dxa" w:w="3744"/>
            <w:tcMar>
              <w:top w:w="80" w:type="dxa"/>
              <w:start w:w="120" w:type="dxa"/>
              <w:bottom w:w="80" w:type="dxa"/>
              <w:end w:w="120" w:type="dxa"/>
            </w:tcMar>
            <w:vAlign w:val="center"/>
          </w:tcPr>
          <w:p>
            <w:pPr>
              <w:spacing w:after="0"/>
            </w:pPr>
            <w:r/>
            <w:r>
              <w:rPr>
                <w:rFonts w:ascii="Calibri" w:hAnsi="Calibri"/>
                <w:b w:val="0"/>
                <w:sz w:val="18"/>
              </w:rPr>
              <w:t>Experience, feedback, and proof are fragmented.</w:t>
            </w:r>
          </w:p>
        </w:tc>
        <w:tc>
          <w:tcPr>
            <w:tcW w:type="dxa" w:w="3888"/>
            <w:tcMar>
              <w:top w:w="80" w:type="dxa"/>
              <w:start w:w="120" w:type="dxa"/>
              <w:bottom w:w="80" w:type="dxa"/>
              <w:end w:w="120" w:type="dxa"/>
            </w:tcMar>
            <w:vAlign w:val="center"/>
          </w:tcPr>
          <w:p>
            <w:pPr>
              <w:spacing w:after="0"/>
            </w:pPr>
            <w:r/>
            <w:r>
              <w:rPr>
                <w:rFonts w:ascii="Calibri" w:hAnsi="Calibri"/>
                <w:b w:val="0"/>
                <w:sz w:val="18"/>
              </w:rPr>
              <w:t>Uncertainty, mass applications, random learning, and loss of confidence.</w:t>
            </w:r>
          </w:p>
        </w:tc>
      </w:tr>
      <w:tr>
        <w:trPr>
          <w:cantSplit/>
        </w:trPr>
        <w:tc>
          <w:tcPr>
            <w:tcW w:type="dxa" w:w="1728"/>
            <w:shd w:fill="F8FAFC"/>
            <w:tcMar>
              <w:top w:w="80" w:type="dxa"/>
              <w:start w:w="120" w:type="dxa"/>
              <w:bottom w:w="80" w:type="dxa"/>
              <w:end w:w="120" w:type="dxa"/>
            </w:tcMar>
            <w:vAlign w:val="center"/>
          </w:tcPr>
          <w:p>
            <w:pPr>
              <w:spacing w:after="0"/>
            </w:pPr>
            <w:r/>
            <w:r>
              <w:rPr>
                <w:rFonts w:ascii="Calibri" w:hAnsi="Calibri"/>
                <w:b w:val="0"/>
                <w:sz w:val="18"/>
              </w:rPr>
              <w:t>Employer</w:t>
            </w:r>
          </w:p>
        </w:tc>
        <w:tc>
          <w:tcPr>
            <w:tcW w:type="dxa" w:w="3744"/>
            <w:shd w:fill="F8FAFC"/>
            <w:tcMar>
              <w:top w:w="80" w:type="dxa"/>
              <w:start w:w="120" w:type="dxa"/>
              <w:bottom w:w="80" w:type="dxa"/>
              <w:end w:w="120" w:type="dxa"/>
            </w:tcMar>
            <w:vAlign w:val="center"/>
          </w:tcPr>
          <w:p>
            <w:pPr>
              <w:spacing w:after="0"/>
            </w:pPr>
            <w:r/>
            <w:r>
              <w:rPr>
                <w:rFonts w:ascii="Calibri" w:hAnsi="Calibri"/>
                <w:b w:val="0"/>
                <w:sz w:val="18"/>
              </w:rPr>
              <w:t>Early-talent interactions and decision context decay across events, spreadsheets, ATSs, and inboxes.</w:t>
            </w:r>
          </w:p>
        </w:tc>
        <w:tc>
          <w:tcPr>
            <w:tcW w:type="dxa" w:w="3888"/>
            <w:shd w:fill="F8FAFC"/>
            <w:tcMar>
              <w:top w:w="80" w:type="dxa"/>
              <w:start w:w="120" w:type="dxa"/>
              <w:bottom w:w="80" w:type="dxa"/>
              <w:end w:w="120" w:type="dxa"/>
            </w:tcMar>
            <w:vAlign w:val="center"/>
          </w:tcPr>
          <w:p>
            <w:pPr>
              <w:spacing w:after="0"/>
            </w:pPr>
            <w:r/>
            <w:r>
              <w:rPr>
                <w:rFonts w:ascii="Calibri" w:hAnsi="Calibri"/>
                <w:b w:val="0"/>
                <w:sz w:val="18"/>
              </w:rPr>
              <w:t>Repeated sourcing, weak validation, and lost warm candidates.</w:t>
            </w:r>
          </w:p>
        </w:tc>
      </w:tr>
      <w:tr>
        <w:trPr>
          <w:cantSplit/>
        </w:trPr>
        <w:tc>
          <w:tcPr>
            <w:tcW w:type="dxa" w:w="1728"/>
            <w:tcMar>
              <w:top w:w="80" w:type="dxa"/>
              <w:start w:w="120" w:type="dxa"/>
              <w:bottom w:w="80" w:type="dxa"/>
              <w:end w:w="120" w:type="dxa"/>
            </w:tcMar>
            <w:vAlign w:val="center"/>
          </w:tcPr>
          <w:p>
            <w:pPr>
              <w:spacing w:after="0"/>
            </w:pPr>
            <w:r/>
            <w:r>
              <w:rPr>
                <w:rFonts w:ascii="Calibri" w:hAnsi="Calibri"/>
                <w:b w:val="0"/>
                <w:sz w:val="18"/>
              </w:rPr>
              <w:t>University</w:t>
            </w:r>
          </w:p>
        </w:tc>
        <w:tc>
          <w:tcPr>
            <w:tcW w:type="dxa" w:w="3744"/>
            <w:tcMar>
              <w:top w:w="80" w:type="dxa"/>
              <w:start w:w="120" w:type="dxa"/>
              <w:bottom w:w="80" w:type="dxa"/>
              <w:end w:w="120" w:type="dxa"/>
            </w:tcMar>
            <w:vAlign w:val="center"/>
          </w:tcPr>
          <w:p>
            <w:pPr>
              <w:spacing w:after="0"/>
            </w:pPr>
            <w:r/>
            <w:r>
              <w:rPr>
                <w:rFonts w:ascii="Calibri" w:hAnsi="Calibri"/>
                <w:b w:val="0"/>
                <w:sz w:val="18"/>
              </w:rPr>
              <w:t>Readiness, market, alumni, partnership, and accreditation evidence arrives late or remains siloed.</w:t>
            </w:r>
          </w:p>
        </w:tc>
        <w:tc>
          <w:tcPr>
            <w:tcW w:type="dxa" w:w="3888"/>
            <w:tcMar>
              <w:top w:w="80" w:type="dxa"/>
              <w:start w:w="120" w:type="dxa"/>
              <w:bottom w:w="80" w:type="dxa"/>
              <w:end w:w="120" w:type="dxa"/>
            </w:tcMar>
            <w:vAlign w:val="center"/>
          </w:tcPr>
          <w:p>
            <w:pPr>
              <w:spacing w:after="0"/>
            </w:pPr>
            <w:r/>
            <w:r>
              <w:rPr>
                <w:rFonts w:ascii="Calibri" w:hAnsi="Calibri"/>
                <w:b w:val="0"/>
                <w:sz w:val="18"/>
              </w:rPr>
              <w:t>Intervention after the current cohort can benefit and repeated evidence assembly.</w:t>
            </w:r>
          </w:p>
        </w:tc>
      </w:tr>
    </w:tbl>
    <w:p>
      <w:pPr>
        <w:spacing w:after="20"/>
      </w:pPr>
    </w:p>
    <w:p>
      <w:pPr>
        <w:pStyle w:val="Heading2"/>
      </w:pPr>
      <w:r>
        <w:t>2.2 Existing tools optimise transactions</w:t>
      </w:r>
    </w:p>
    <w:p>
      <w:r>
        <w:t>Job boards optimise vacancies, ATS products optimise applicant processing, LMS products optimise course delivery, and reporting systems describe outcomes. These tools may remain important. CareerOS is designed to preserve the context between them so the next decision does not begin from zero.</w:t>
      </w:r>
    </w:p>
    <w:p>
      <w:pPr>
        <w:pStyle w:val="Heading2"/>
      </w:pPr>
      <w:r>
        <w:t>2.3 Founder-level thesis</w:t>
      </w:r>
    </w:p>
    <w:tbl>
      <w:tblPr>
        <w:tblW w:type="auto" w:w="0"/>
        <w:jc w:val="center"/>
        <w:tblLayout w:type="fixed"/>
        <w:tblLook w:firstColumn="1" w:firstRow="1" w:lastColumn="0" w:lastRow="0" w:noHBand="0" w:noVBand="1" w:val="04A0"/>
      </w:tblPr>
      <w:tblGrid>
        <w:gridCol w:w="9360"/>
      </w:tblGrid>
      <w:tr>
        <w:tc>
          <w:tcPr>
            <w:tcW w:type="dxa" w:w="9360"/>
            <w:shd w:fill="EEF4FA"/>
            <w:tcMar>
              <w:top w:w="140" w:type="dxa"/>
              <w:start w:w="180" w:type="dxa"/>
              <w:bottom w:w="140" w:type="dxa"/>
              <w:end w:w="180" w:type="dxa"/>
            </w:tcMar>
          </w:tcPr>
          <w:p>
            <w:pPr>
              <w:spacing w:after="0"/>
            </w:pPr>
            <w:r/>
            <w:r>
              <w:rPr>
                <w:b/>
                <w:color w:val="2E74B5"/>
              </w:rPr>
              <w:t xml:space="preserve">Core thesis  </w:t>
            </w:r>
            <w:r>
              <w:t>CareerOS protects career potential from being lost between moments. Career Memory prevents evidence loss. Career Intelligence prevents option loss. Employer reactivation prevents relationship loss. University interventions prevent time loss. Accreditation reuse prevents institutional knowledge loss.</w:t>
            </w:r>
          </w:p>
        </w:tc>
      </w:tr>
    </w:tbl>
    <w:p>
      <w:pPr>
        <w:spacing w:after="20"/>
      </w:pPr>
    </w:p>
    <w:p>
      <w:pPr>
        <w:pStyle w:val="Heading1"/>
      </w:pPr>
      <w:r>
        <w:t>3. Users, Buyer, and Pilot Wedge</w:t>
      </w:r>
    </w:p>
    <w:p>
      <w:pPr>
        <w:pStyle w:val="Heading2"/>
      </w:pPr>
      <w:r>
        <w:t>3.1 Primary users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shd w:fill="102A43"/>
            <w:tcMar>
              <w:top w:w="80" w:type="dxa"/>
              <w:start w:w="120" w:type="dxa"/>
              <w:bottom w:w="80" w:type="dxa"/>
              <w:end w:w="120" w:type="dxa"/>
            </w:tcMar>
            <w:vAlign w:val="center"/>
          </w:tcPr>
          <w:p>
            <w:pPr>
              <w:spacing w:after="0"/>
            </w:pPr>
            <w:r/>
            <w:r>
              <w:rPr>
                <w:rFonts w:ascii="Calibri" w:hAnsi="Calibri"/>
                <w:b/>
                <w:color w:val="FFFFFF"/>
                <w:sz w:val="18"/>
              </w:rPr>
              <w:t>Workspace</w:t>
            </w:r>
          </w:p>
        </w:tc>
        <w:tc>
          <w:tcPr>
            <w:tcW w:type="dxa" w:w="3168"/>
            <w:shd w:fill="102A43"/>
            <w:tcMar>
              <w:top w:w="80" w:type="dxa"/>
              <w:start w:w="120" w:type="dxa"/>
              <w:bottom w:w="80" w:type="dxa"/>
              <w:end w:w="120" w:type="dxa"/>
            </w:tcMar>
            <w:vAlign w:val="center"/>
          </w:tcPr>
          <w:p>
            <w:pPr>
              <w:spacing w:after="0"/>
            </w:pPr>
            <w:r/>
            <w:r>
              <w:rPr>
                <w:rFonts w:ascii="Calibri" w:hAnsi="Calibri"/>
                <w:b/>
                <w:color w:val="FFFFFF"/>
                <w:sz w:val="18"/>
              </w:rPr>
              <w:t>Representative user</w:t>
            </w:r>
          </w:p>
        </w:tc>
        <w:tc>
          <w:tcPr>
            <w:tcW w:type="dxa" w:w="4608"/>
            <w:shd w:fill="102A43"/>
            <w:tcMar>
              <w:top w:w="80" w:type="dxa"/>
              <w:start w:w="120" w:type="dxa"/>
              <w:bottom w:w="80" w:type="dxa"/>
              <w:end w:w="120" w:type="dxa"/>
            </w:tcMar>
            <w:vAlign w:val="center"/>
          </w:tcPr>
          <w:p>
            <w:pPr>
              <w:spacing w:after="0"/>
            </w:pPr>
            <w:r/>
            <w:r>
              <w:rPr>
                <w:rFonts w:ascii="Calibri" w:hAnsi="Calibri"/>
                <w:b/>
                <w:color w:val="FFFFFF"/>
                <w:sz w:val="18"/>
              </w:rPr>
              <w:t>Primary job</w:t>
            </w:r>
          </w:p>
        </w:tc>
      </w:tr>
      <w:tr>
        <w:trPr>
          <w:cantSplit/>
        </w:trPr>
        <w:tc>
          <w:tcPr>
            <w:tcW w:type="dxa" w:w="1584"/>
            <w:tcMar>
              <w:top w:w="80" w:type="dxa"/>
              <w:start w:w="120" w:type="dxa"/>
              <w:bottom w:w="80" w:type="dxa"/>
              <w:end w:w="120" w:type="dxa"/>
            </w:tcMar>
            <w:vAlign w:val="center"/>
          </w:tcPr>
          <w:p>
            <w:pPr>
              <w:spacing w:after="0"/>
            </w:pPr>
            <w:r/>
            <w:r>
              <w:rPr>
                <w:rFonts w:ascii="Calibri" w:hAnsi="Calibri"/>
                <w:b w:val="0"/>
                <w:sz w:val="18"/>
              </w:rPr>
              <w:t>Student</w:t>
            </w:r>
          </w:p>
        </w:tc>
        <w:tc>
          <w:tcPr>
            <w:tcW w:type="dxa" w:w="3168"/>
            <w:tcMar>
              <w:top w:w="80" w:type="dxa"/>
              <w:start w:w="120" w:type="dxa"/>
              <w:bottom w:w="80" w:type="dxa"/>
              <w:end w:w="120" w:type="dxa"/>
            </w:tcMar>
            <w:vAlign w:val="center"/>
          </w:tcPr>
          <w:p>
            <w:pPr>
              <w:spacing w:after="0"/>
            </w:pPr>
            <w:r/>
            <w:r>
              <w:rPr>
                <w:rFonts w:ascii="Calibri" w:hAnsi="Calibri"/>
                <w:b w:val="0"/>
                <w:sz w:val="18"/>
              </w:rPr>
              <w:t>Chris Lee, Year 3 Data Science student at Taylor’s University</w:t>
            </w:r>
          </w:p>
        </w:tc>
        <w:tc>
          <w:tcPr>
            <w:tcW w:type="dxa" w:w="4608"/>
            <w:tcMar>
              <w:top w:w="80" w:type="dxa"/>
              <w:start w:w="120" w:type="dxa"/>
              <w:bottom w:w="80" w:type="dxa"/>
              <w:end w:w="120" w:type="dxa"/>
            </w:tcMar>
            <w:vAlign w:val="center"/>
          </w:tcPr>
          <w:p>
            <w:pPr>
              <w:spacing w:after="0"/>
            </w:pPr>
            <w:r/>
            <w:r>
              <w:rPr>
                <w:rFonts w:ascii="Calibri" w:hAnsi="Calibri"/>
                <w:b w:val="0"/>
                <w:sz w:val="18"/>
              </w:rPr>
              <w:t>Preserve evidence, explore paths, build gaps, prepare, apply, and recover.</w:t>
            </w:r>
          </w:p>
        </w:tc>
      </w:tr>
      <w:tr>
        <w:trPr>
          <w:cantSplit/>
        </w:trPr>
        <w:tc>
          <w:tcPr>
            <w:tcW w:type="dxa" w:w="1584"/>
            <w:shd w:fill="F8FAFC"/>
            <w:tcMar>
              <w:top w:w="80" w:type="dxa"/>
              <w:start w:w="120" w:type="dxa"/>
              <w:bottom w:w="80" w:type="dxa"/>
              <w:end w:w="120" w:type="dxa"/>
            </w:tcMar>
            <w:vAlign w:val="center"/>
          </w:tcPr>
          <w:p>
            <w:pPr>
              <w:spacing w:after="0"/>
            </w:pPr>
            <w:r/>
            <w:r>
              <w:rPr>
                <w:rFonts w:ascii="Calibri" w:hAnsi="Calibri"/>
                <w:b w:val="0"/>
                <w:sz w:val="18"/>
              </w:rPr>
              <w:t>Employer</w:t>
            </w:r>
          </w:p>
        </w:tc>
        <w:tc>
          <w:tcPr>
            <w:tcW w:type="dxa" w:w="3168"/>
            <w:shd w:fill="F8FAFC"/>
            <w:tcMar>
              <w:top w:w="80" w:type="dxa"/>
              <w:start w:w="120" w:type="dxa"/>
              <w:bottom w:w="80" w:type="dxa"/>
              <w:end w:w="120" w:type="dxa"/>
            </w:tcMar>
            <w:vAlign w:val="center"/>
          </w:tcPr>
          <w:p>
            <w:pPr>
              <w:spacing w:after="0"/>
            </w:pPr>
            <w:r/>
            <w:r>
              <w:rPr>
                <w:rFonts w:ascii="Calibri" w:hAnsi="Calibri"/>
                <w:b w:val="0"/>
                <w:sz w:val="18"/>
              </w:rPr>
              <w:t>Recruiter, early-talent lead, campus-relations or hiring manager</w:t>
            </w:r>
          </w:p>
        </w:tc>
        <w:tc>
          <w:tcPr>
            <w:tcW w:type="dxa" w:w="4608"/>
            <w:shd w:fill="F8FAFC"/>
            <w:tcMar>
              <w:top w:w="80" w:type="dxa"/>
              <w:start w:w="120" w:type="dxa"/>
              <w:bottom w:w="80" w:type="dxa"/>
              <w:end w:w="120" w:type="dxa"/>
            </w:tcMar>
            <w:vAlign w:val="center"/>
          </w:tcPr>
          <w:p>
            <w:pPr>
              <w:spacing w:after="0"/>
            </w:pPr>
            <w:r/>
            <w:r>
              <w:rPr>
                <w:rFonts w:ascii="Calibri" w:hAnsi="Calibri"/>
                <w:b w:val="0"/>
                <w:sz w:val="18"/>
              </w:rPr>
              <w:t>Discover evidence-backed talent, validate fit, preserve relationships, and act on hiring priorities.</w:t>
            </w:r>
          </w:p>
        </w:tc>
      </w:tr>
      <w:tr>
        <w:trPr>
          <w:cantSplit/>
        </w:trPr>
        <w:tc>
          <w:tcPr>
            <w:tcW w:type="dxa" w:w="1584"/>
            <w:tcMar>
              <w:top w:w="80" w:type="dxa"/>
              <w:start w:w="120" w:type="dxa"/>
              <w:bottom w:w="80" w:type="dxa"/>
              <w:end w:w="120" w:type="dxa"/>
            </w:tcMar>
            <w:vAlign w:val="center"/>
          </w:tcPr>
          <w:p>
            <w:pPr>
              <w:spacing w:after="0"/>
            </w:pPr>
            <w:r/>
            <w:r>
              <w:rPr>
                <w:rFonts w:ascii="Calibri" w:hAnsi="Calibri"/>
                <w:b w:val="0"/>
                <w:sz w:val="18"/>
              </w:rPr>
              <w:t>University</w:t>
            </w:r>
          </w:p>
        </w:tc>
        <w:tc>
          <w:tcPr>
            <w:tcW w:type="dxa" w:w="3168"/>
            <w:tcMar>
              <w:top w:w="80" w:type="dxa"/>
              <w:start w:w="120" w:type="dxa"/>
              <w:bottom w:w="80" w:type="dxa"/>
              <w:end w:w="120" w:type="dxa"/>
            </w:tcMar>
            <w:vAlign w:val="center"/>
          </w:tcPr>
          <w:p>
            <w:pPr>
              <w:spacing w:after="0"/>
            </w:pPr>
            <w:r/>
            <w:r>
              <w:rPr>
                <w:rFonts w:ascii="Calibri" w:hAnsi="Calibri"/>
                <w:b w:val="0"/>
                <w:sz w:val="18"/>
              </w:rPr>
              <w:t>Faculty leader, programme director, career-services or employability owner</w:t>
            </w:r>
          </w:p>
        </w:tc>
        <w:tc>
          <w:tcPr>
            <w:tcW w:type="dxa" w:w="4608"/>
            <w:tcMar>
              <w:top w:w="80" w:type="dxa"/>
              <w:start w:w="120" w:type="dxa"/>
              <w:bottom w:w="80" w:type="dxa"/>
              <w:end w:w="120" w:type="dxa"/>
            </w:tcMar>
            <w:vAlign w:val="center"/>
          </w:tcPr>
          <w:p>
            <w:pPr>
              <w:spacing w:after="0"/>
            </w:pPr>
            <w:r/>
            <w:r>
              <w:rPr>
                <w:rFonts w:ascii="Calibri" w:hAnsi="Calibri"/>
                <w:b w:val="0"/>
                <w:sz w:val="18"/>
              </w:rPr>
              <w:t>Detect readiness and market gaps, assign interventions, coordinate partners, and reuse evidence.</w:t>
            </w:r>
          </w:p>
        </w:tc>
      </w:tr>
    </w:tbl>
    <w:p>
      <w:pPr>
        <w:spacing w:after="20"/>
      </w:pPr>
    </w:p>
    <w:p>
      <w:pPr>
        <w:pStyle w:val="Heading2"/>
      </w:pPr>
      <w:r>
        <w:t>3.2 Recommended first buyer and wedge</w:t>
      </w:r>
    </w:p>
    <w:p>
      <w:r>
        <w:t>The strongest initial buyer hypothesis is a faculty-level employability owner, sponsored by university leadership. The first product should not attempt to launch the entire three-sided network at once.</w:t>
      </w:r>
    </w:p>
    <w:tbl>
      <w:tblPr>
        <w:tblW w:type="auto" w:w="0"/>
        <w:jc w:val="center"/>
        <w:tblLayout w:type="fixed"/>
        <w:tblLook w:firstColumn="1" w:firstRow="1" w:lastColumn="0" w:lastRow="0" w:noHBand="0" w:noVBand="1" w:val="04A0"/>
      </w:tblPr>
      <w:tblGrid>
        <w:gridCol w:w="9360"/>
      </w:tblGrid>
      <w:tr>
        <w:tc>
          <w:tcPr>
            <w:tcW w:type="dxa" w:w="9360"/>
            <w:shd w:fill="EEF4FA"/>
            <w:tcMar>
              <w:top w:w="140" w:type="dxa"/>
              <w:start w:w="180" w:type="dxa"/>
              <w:bottom w:w="140" w:type="dxa"/>
              <w:end w:w="180" w:type="dxa"/>
            </w:tcMar>
          </w:tcPr>
          <w:p>
            <w:pPr>
              <w:spacing w:after="0"/>
            </w:pPr>
            <w:r/>
            <w:r>
              <w:rPr>
                <w:b/>
                <w:color w:val="2E74B5"/>
              </w:rPr>
              <w:t xml:space="preserve">Recommended pilot  </w:t>
            </w:r>
            <w:r>
              <w:t>One computing or data faculty, one cohort, two priority capability gaps, one career-services owner, and one or two employer-backed interventions over 8–12 weeks.</w:t>
            </w:r>
          </w:p>
        </w:tc>
      </w:tr>
    </w:tbl>
    <w:p>
      <w:pPr>
        <w:spacing w:after="20"/>
      </w:pPr>
    </w:p>
    <w:p>
      <w:pPr>
        <w:pStyle w:val="Heading2"/>
      </w:pPr>
      <w:r>
        <w:t>3.3 Why this wedge</w:t>
      </w:r>
    </w:p>
    <w:p>
      <w:pPr>
        <w:pStyle w:val="ListBullet"/>
        <w:spacing w:after="80"/>
        <w:ind w:left="720" w:hanging="360"/>
      </w:pPr>
      <w:r>
        <w:t>The university owns an urgent operational problem and can coordinate a bounded cohort.</w:t>
      </w:r>
    </w:p>
    <w:p>
      <w:pPr>
        <w:pStyle w:val="ListBullet"/>
        <w:spacing w:after="80"/>
        <w:ind w:left="720" w:hanging="360"/>
      </w:pPr>
      <w:r>
        <w:t>The workflow creates direct value before cross-organisation network effects exist.</w:t>
      </w:r>
    </w:p>
    <w:p>
      <w:pPr>
        <w:pStyle w:val="ListBullet"/>
        <w:spacing w:after="80"/>
        <w:ind w:left="720" w:hanging="360"/>
      </w:pPr>
      <w:r>
        <w:t>The intervention naturally activates student evidence and employer participation.</w:t>
      </w:r>
    </w:p>
    <w:p>
      <w:pPr>
        <w:pStyle w:val="ListBullet"/>
        <w:spacing w:after="80"/>
        <w:ind w:left="720" w:hanging="360"/>
      </w:pPr>
      <w:r>
        <w:t>Manual, consented data import is sufficient for an initial validation; full SIS, LMS, ATS, or HRIS integration is not required.</w:t>
      </w:r>
    </w:p>
    <w:p>
      <w:pPr>
        <w:pStyle w:val="Heading1"/>
      </w:pPr>
      <w:r>
        <w:t>4. CareerOS Operating Model</w:t>
      </w:r>
    </w:p>
    <w:p>
      <w:pPr>
        <w:pStyle w:val="Heading2"/>
      </w:pPr>
      <w:r>
        <w:t>4.1 Evidence-to-action sequence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224"/>
            <w:shd w:fill="102A43"/>
            <w:tcMar>
              <w:top w:w="80" w:type="dxa"/>
              <w:start w:w="120" w:type="dxa"/>
              <w:bottom w:w="80" w:type="dxa"/>
              <w:end w:w="120" w:type="dxa"/>
            </w:tcMar>
            <w:vAlign w:val="center"/>
          </w:tcPr>
          <w:p>
            <w:pPr>
              <w:spacing w:after="0"/>
            </w:pPr>
            <w:r/>
            <w:r>
              <w:rPr>
                <w:rFonts w:ascii="Calibri" w:hAnsi="Calibri"/>
                <w:b/>
                <w:color w:val="FFFFFF"/>
                <w:sz w:val="18"/>
              </w:rPr>
              <w:t>Stage</w:t>
            </w:r>
          </w:p>
        </w:tc>
        <w:tc>
          <w:tcPr>
            <w:tcW w:type="dxa" w:w="3672"/>
            <w:shd w:fill="102A43"/>
            <w:tcMar>
              <w:top w:w="80" w:type="dxa"/>
              <w:start w:w="120" w:type="dxa"/>
              <w:bottom w:w="80" w:type="dxa"/>
              <w:end w:w="120" w:type="dxa"/>
            </w:tcMar>
            <w:vAlign w:val="center"/>
          </w:tcPr>
          <w:p>
            <w:pPr>
              <w:spacing w:after="0"/>
            </w:pPr>
            <w:r/>
            <w:r>
              <w:rPr>
                <w:rFonts w:ascii="Calibri" w:hAnsi="Calibri"/>
                <w:b/>
                <w:color w:val="FFFFFF"/>
                <w:sz w:val="18"/>
              </w:rPr>
              <w:t>CareerOS meaning</w:t>
            </w:r>
          </w:p>
        </w:tc>
        <w:tc>
          <w:tcPr>
            <w:tcW w:type="dxa" w:w="4464"/>
            <w:shd w:fill="102A43"/>
            <w:tcMar>
              <w:top w:w="80" w:type="dxa"/>
              <w:start w:w="120" w:type="dxa"/>
              <w:bottom w:w="80" w:type="dxa"/>
              <w:end w:w="120" w:type="dxa"/>
            </w:tcMar>
            <w:vAlign w:val="center"/>
          </w:tcPr>
          <w:p>
            <w:pPr>
              <w:spacing w:after="0"/>
            </w:pPr>
            <w:r/>
            <w:r>
              <w:rPr>
                <w:rFonts w:ascii="Calibri" w:hAnsi="Calibri"/>
                <w:b/>
                <w:color w:val="FFFFFF"/>
                <w:sz w:val="18"/>
              </w:rPr>
              <w:t>Examples</w:t>
            </w:r>
          </w:p>
        </w:tc>
      </w:tr>
      <w:tr>
        <w:trPr>
          <w:cantSplit/>
        </w:trPr>
        <w:tc>
          <w:tcPr>
            <w:tcW w:type="dxa" w:w="1224"/>
            <w:tcMar>
              <w:top w:w="80" w:type="dxa"/>
              <w:start w:w="120" w:type="dxa"/>
              <w:bottom w:w="80" w:type="dxa"/>
              <w:end w:w="120" w:type="dxa"/>
            </w:tcMar>
            <w:vAlign w:val="center"/>
          </w:tcPr>
          <w:p>
            <w:pPr>
              <w:spacing w:after="0"/>
            </w:pPr>
            <w:r/>
            <w:r>
              <w:rPr>
                <w:rFonts w:ascii="Calibri" w:hAnsi="Calibri"/>
                <w:b w:val="0"/>
                <w:sz w:val="18"/>
              </w:rPr>
              <w:t>Signal</w:t>
            </w:r>
          </w:p>
        </w:tc>
        <w:tc>
          <w:tcPr>
            <w:tcW w:type="dxa" w:w="3672"/>
            <w:tcMar>
              <w:top w:w="80" w:type="dxa"/>
              <w:start w:w="120" w:type="dxa"/>
              <w:bottom w:w="80" w:type="dxa"/>
              <w:end w:w="120" w:type="dxa"/>
            </w:tcMar>
            <w:vAlign w:val="center"/>
          </w:tcPr>
          <w:p>
            <w:pPr>
              <w:spacing w:after="0"/>
            </w:pPr>
            <w:r/>
            <w:r>
              <w:rPr>
                <w:rFonts w:ascii="Calibri" w:hAnsi="Calibri"/>
                <w:b w:val="0"/>
                <w:sz w:val="18"/>
              </w:rPr>
              <w:t>A moment that may matter later.</w:t>
            </w:r>
          </w:p>
        </w:tc>
        <w:tc>
          <w:tcPr>
            <w:tcW w:type="dxa" w:w="4464"/>
            <w:tcMar>
              <w:top w:w="80" w:type="dxa"/>
              <w:start w:w="120" w:type="dxa"/>
              <w:bottom w:w="80" w:type="dxa"/>
              <w:end w:w="120" w:type="dxa"/>
            </w:tcMar>
            <w:vAlign w:val="center"/>
          </w:tcPr>
          <w:p>
            <w:pPr>
              <w:spacing w:after="0"/>
            </w:pPr>
            <w:r/>
            <w:r>
              <w:rPr>
                <w:rFonts w:ascii="Calibri" w:hAnsi="Calibri"/>
                <w:b w:val="0"/>
                <w:sz w:val="18"/>
              </w:rPr>
              <w:t>Project, challenge, application, hiring decision, readiness gap, alumni outcome.</w:t>
            </w:r>
          </w:p>
        </w:tc>
      </w:tr>
      <w:tr>
        <w:trPr>
          <w:cantSplit/>
        </w:trPr>
        <w:tc>
          <w:tcPr>
            <w:tcW w:type="dxa" w:w="1224"/>
            <w:shd w:fill="F8FAFC"/>
            <w:tcMar>
              <w:top w:w="80" w:type="dxa"/>
              <w:start w:w="120" w:type="dxa"/>
              <w:bottom w:w="80" w:type="dxa"/>
              <w:end w:w="120" w:type="dxa"/>
            </w:tcMar>
            <w:vAlign w:val="center"/>
          </w:tcPr>
          <w:p>
            <w:pPr>
              <w:spacing w:after="0"/>
            </w:pPr>
            <w:r/>
            <w:r>
              <w:rPr>
                <w:rFonts w:ascii="Calibri" w:hAnsi="Calibri"/>
                <w:b w:val="0"/>
                <w:sz w:val="18"/>
              </w:rPr>
              <w:t>Evidence</w:t>
            </w:r>
          </w:p>
        </w:tc>
        <w:tc>
          <w:tcPr>
            <w:tcW w:type="dxa" w:w="3672"/>
            <w:shd w:fill="F8FAFC"/>
            <w:tcMar>
              <w:top w:w="80" w:type="dxa"/>
              <w:start w:w="120" w:type="dxa"/>
              <w:bottom w:w="80" w:type="dxa"/>
              <w:end w:w="120" w:type="dxa"/>
            </w:tcMar>
            <w:vAlign w:val="center"/>
          </w:tcPr>
          <w:p>
            <w:pPr>
              <w:spacing w:after="0"/>
            </w:pPr>
            <w:r/>
            <w:r>
              <w:rPr>
                <w:rFonts w:ascii="Calibri" w:hAnsi="Calibri"/>
                <w:b w:val="0"/>
                <w:sz w:val="18"/>
              </w:rPr>
              <w:t>The signal with source, context, recency, and supporting material.</w:t>
            </w:r>
          </w:p>
        </w:tc>
        <w:tc>
          <w:tcPr>
            <w:tcW w:type="dxa" w:w="4464"/>
            <w:shd w:fill="F8FAFC"/>
            <w:tcMar>
              <w:top w:w="80" w:type="dxa"/>
              <w:start w:w="120" w:type="dxa"/>
              <w:bottom w:w="80" w:type="dxa"/>
              <w:end w:w="120" w:type="dxa"/>
            </w:tcMar>
            <w:vAlign w:val="center"/>
          </w:tcPr>
          <w:p>
            <w:pPr>
              <w:spacing w:after="0"/>
            </w:pPr>
            <w:r/>
            <w:r>
              <w:rPr>
                <w:rFonts w:ascii="Calibri" w:hAnsi="Calibri"/>
                <w:b w:val="0"/>
                <w:sz w:val="18"/>
              </w:rPr>
              <w:t>Career Memory entry, challenge observation, curriculum evidence, intervention record.</w:t>
            </w:r>
          </w:p>
        </w:tc>
      </w:tr>
      <w:tr>
        <w:trPr>
          <w:cantSplit/>
        </w:trPr>
        <w:tc>
          <w:tcPr>
            <w:tcW w:type="dxa" w:w="1224"/>
            <w:tcMar>
              <w:top w:w="80" w:type="dxa"/>
              <w:start w:w="120" w:type="dxa"/>
              <w:bottom w:w="80" w:type="dxa"/>
              <w:end w:w="120" w:type="dxa"/>
            </w:tcMar>
            <w:vAlign w:val="center"/>
          </w:tcPr>
          <w:p>
            <w:pPr>
              <w:spacing w:after="0"/>
            </w:pPr>
            <w:r/>
            <w:r>
              <w:rPr>
                <w:rFonts w:ascii="Calibri" w:hAnsi="Calibri"/>
                <w:b w:val="0"/>
                <w:sz w:val="18"/>
              </w:rPr>
              <w:t>Decision</w:t>
            </w:r>
          </w:p>
        </w:tc>
        <w:tc>
          <w:tcPr>
            <w:tcW w:type="dxa" w:w="3672"/>
            <w:tcMar>
              <w:top w:w="80" w:type="dxa"/>
              <w:start w:w="120" w:type="dxa"/>
              <w:bottom w:w="80" w:type="dxa"/>
              <w:end w:w="120" w:type="dxa"/>
            </w:tcMar>
            <w:vAlign w:val="center"/>
          </w:tcPr>
          <w:p>
            <w:pPr>
              <w:spacing w:after="0"/>
            </w:pPr>
            <w:r/>
            <w:r>
              <w:rPr>
                <w:rFonts w:ascii="Calibri" w:hAnsi="Calibri"/>
                <w:b w:val="0"/>
                <w:sz w:val="18"/>
              </w:rPr>
              <w:t>A prioritised judgement that exposes uncertainty.</w:t>
            </w:r>
          </w:p>
        </w:tc>
        <w:tc>
          <w:tcPr>
            <w:tcW w:type="dxa" w:w="4464"/>
            <w:tcMar>
              <w:top w:w="80" w:type="dxa"/>
              <w:start w:w="120" w:type="dxa"/>
              <w:bottom w:w="80" w:type="dxa"/>
              <w:end w:w="120" w:type="dxa"/>
            </w:tcMar>
            <w:vAlign w:val="center"/>
          </w:tcPr>
          <w:p>
            <w:pPr>
              <w:spacing w:after="0"/>
            </w:pPr>
            <w:r/>
            <w:r>
              <w:rPr>
                <w:rFonts w:ascii="Calibri" w:hAnsi="Calibri"/>
                <w:b w:val="0"/>
                <w:sz w:val="18"/>
              </w:rPr>
              <w:t>Next skill, validation question, shortlist, intervention, programme priority.</w:t>
            </w:r>
          </w:p>
        </w:tc>
      </w:tr>
      <w:tr>
        <w:trPr>
          <w:cantSplit/>
        </w:trPr>
        <w:tc>
          <w:tcPr>
            <w:tcW w:type="dxa" w:w="1224"/>
            <w:shd w:fill="F8FAFC"/>
            <w:tcMar>
              <w:top w:w="80" w:type="dxa"/>
              <w:start w:w="120" w:type="dxa"/>
              <w:bottom w:w="80" w:type="dxa"/>
              <w:end w:w="120" w:type="dxa"/>
            </w:tcMar>
            <w:vAlign w:val="center"/>
          </w:tcPr>
          <w:p>
            <w:pPr>
              <w:spacing w:after="0"/>
            </w:pPr>
            <w:r/>
            <w:r>
              <w:rPr>
                <w:rFonts w:ascii="Calibri" w:hAnsi="Calibri"/>
                <w:b w:val="0"/>
                <w:sz w:val="18"/>
              </w:rPr>
              <w:t>Action</w:t>
            </w:r>
          </w:p>
        </w:tc>
        <w:tc>
          <w:tcPr>
            <w:tcW w:type="dxa" w:w="3672"/>
            <w:shd w:fill="F8FAFC"/>
            <w:tcMar>
              <w:top w:w="80" w:type="dxa"/>
              <w:start w:w="120" w:type="dxa"/>
              <w:bottom w:w="80" w:type="dxa"/>
              <w:end w:w="120" w:type="dxa"/>
            </w:tcMar>
            <w:vAlign w:val="center"/>
          </w:tcPr>
          <w:p>
            <w:pPr>
              <w:spacing w:after="0"/>
            </w:pPr>
            <w:r/>
            <w:r>
              <w:rPr>
                <w:rFonts w:ascii="Calibri" w:hAnsi="Calibri"/>
                <w:b w:val="0"/>
                <w:sz w:val="18"/>
              </w:rPr>
              <w:t>A specific follow-through state.</w:t>
            </w:r>
          </w:p>
        </w:tc>
        <w:tc>
          <w:tcPr>
            <w:tcW w:type="dxa" w:w="4464"/>
            <w:shd w:fill="F8FAFC"/>
            <w:tcMar>
              <w:top w:w="80" w:type="dxa"/>
              <w:start w:w="120" w:type="dxa"/>
              <w:bottom w:w="80" w:type="dxa"/>
              <w:end w:w="120" w:type="dxa"/>
            </w:tcMar>
            <w:vAlign w:val="center"/>
          </w:tcPr>
          <w:p>
            <w:pPr>
              <w:spacing w:after="0"/>
            </w:pPr>
            <w:r/>
            <w:r>
              <w:rPr>
                <w:rFonts w:ascii="Calibri" w:hAnsi="Calibri"/>
                <w:b w:val="0"/>
                <w:sz w:val="18"/>
              </w:rPr>
              <w:t>Practise, apply, re-engage, assign, collaborate, approve.</w:t>
            </w:r>
          </w:p>
        </w:tc>
      </w:tr>
      <w:tr>
        <w:trPr>
          <w:cantSplit/>
        </w:trPr>
        <w:tc>
          <w:tcPr>
            <w:tcW w:type="dxa" w:w="1224"/>
            <w:tcMar>
              <w:top w:w="80" w:type="dxa"/>
              <w:start w:w="120" w:type="dxa"/>
              <w:bottom w:w="80" w:type="dxa"/>
              <w:end w:w="120" w:type="dxa"/>
            </w:tcMar>
            <w:vAlign w:val="center"/>
          </w:tcPr>
          <w:p>
            <w:pPr>
              <w:spacing w:after="0"/>
            </w:pPr>
            <w:r/>
            <w:r>
              <w:rPr>
                <w:rFonts w:ascii="Calibri" w:hAnsi="Calibri"/>
                <w:b w:val="0"/>
                <w:sz w:val="18"/>
              </w:rPr>
              <w:t>Outcome</w:t>
            </w:r>
          </w:p>
        </w:tc>
        <w:tc>
          <w:tcPr>
            <w:tcW w:type="dxa" w:w="3672"/>
            <w:tcMar>
              <w:top w:w="80" w:type="dxa"/>
              <w:start w:w="120" w:type="dxa"/>
              <w:bottom w:w="80" w:type="dxa"/>
              <w:end w:w="120" w:type="dxa"/>
            </w:tcMar>
            <w:vAlign w:val="center"/>
          </w:tcPr>
          <w:p>
            <w:pPr>
              <w:spacing w:after="0"/>
            </w:pPr>
            <w:r/>
            <w:r>
              <w:rPr>
                <w:rFonts w:ascii="Calibri" w:hAnsi="Calibri"/>
                <w:b w:val="0"/>
                <w:sz w:val="18"/>
              </w:rPr>
              <w:t>The observable result of the action.</w:t>
            </w:r>
          </w:p>
        </w:tc>
        <w:tc>
          <w:tcPr>
            <w:tcW w:type="dxa" w:w="4464"/>
            <w:tcMar>
              <w:top w:w="80" w:type="dxa"/>
              <w:start w:w="120" w:type="dxa"/>
              <w:bottom w:w="80" w:type="dxa"/>
              <w:end w:w="120" w:type="dxa"/>
            </w:tcMar>
            <w:vAlign w:val="center"/>
          </w:tcPr>
          <w:p>
            <w:pPr>
              <w:spacing w:after="0"/>
            </w:pPr>
            <w:r/>
            <w:r>
              <w:rPr>
                <w:rFonts w:ascii="Calibri" w:hAnsi="Calibri"/>
                <w:b w:val="0"/>
                <w:sz w:val="18"/>
              </w:rPr>
              <w:t>Completion, progression, candidate movement, intervention result.</w:t>
            </w:r>
          </w:p>
        </w:tc>
      </w:tr>
      <w:tr>
        <w:trPr>
          <w:cantSplit/>
        </w:trPr>
        <w:tc>
          <w:tcPr>
            <w:tcW w:type="dxa" w:w="1224"/>
            <w:shd w:fill="F8FAFC"/>
            <w:tcMar>
              <w:top w:w="80" w:type="dxa"/>
              <w:start w:w="120" w:type="dxa"/>
              <w:bottom w:w="80" w:type="dxa"/>
              <w:end w:w="120" w:type="dxa"/>
            </w:tcMar>
            <w:vAlign w:val="center"/>
          </w:tcPr>
          <w:p>
            <w:pPr>
              <w:spacing w:after="0"/>
            </w:pPr>
            <w:r/>
            <w:r>
              <w:rPr>
                <w:rFonts w:ascii="Calibri" w:hAnsi="Calibri"/>
                <w:b w:val="0"/>
                <w:sz w:val="18"/>
              </w:rPr>
              <w:t>Learning</w:t>
            </w:r>
          </w:p>
        </w:tc>
        <w:tc>
          <w:tcPr>
            <w:tcW w:type="dxa" w:w="3672"/>
            <w:shd w:fill="F8FAFC"/>
            <w:tcMar>
              <w:top w:w="80" w:type="dxa"/>
              <w:start w:w="120" w:type="dxa"/>
              <w:bottom w:w="80" w:type="dxa"/>
              <w:end w:w="120" w:type="dxa"/>
            </w:tcMar>
            <w:vAlign w:val="center"/>
          </w:tcPr>
          <w:p>
            <w:pPr>
              <w:spacing w:after="0"/>
            </w:pPr>
            <w:r/>
            <w:r>
              <w:rPr>
                <w:rFonts w:ascii="Calibri" w:hAnsi="Calibri"/>
                <w:b w:val="0"/>
                <w:sz w:val="18"/>
              </w:rPr>
              <w:t>Context preserved for the next decision.</w:t>
            </w:r>
          </w:p>
        </w:tc>
        <w:tc>
          <w:tcPr>
            <w:tcW w:type="dxa" w:w="4464"/>
            <w:shd w:fill="F8FAFC"/>
            <w:tcMar>
              <w:top w:w="80" w:type="dxa"/>
              <w:start w:w="120" w:type="dxa"/>
              <w:bottom w:w="80" w:type="dxa"/>
              <w:end w:w="120" w:type="dxa"/>
            </w:tcMar>
            <w:vAlign w:val="center"/>
          </w:tcPr>
          <w:p>
            <w:pPr>
              <w:spacing w:after="0"/>
            </w:pPr>
            <w:r/>
            <w:r>
              <w:rPr>
                <w:rFonts w:ascii="Calibri" w:hAnsi="Calibri"/>
                <w:b w:val="0"/>
                <w:sz w:val="18"/>
              </w:rPr>
              <w:t>Updated guidance, warmer pipeline, programme evidence, accreditation reuse.</w:t>
            </w:r>
          </w:p>
        </w:tc>
      </w:tr>
    </w:tbl>
    <w:p>
      <w:pPr>
        <w:spacing w:after="20"/>
      </w:pPr>
    </w:p>
    <w:p>
      <w:pPr>
        <w:pStyle w:val="Heading2"/>
      </w:pPr>
      <w:r>
        <w:t>4.2 Three workspaces, one product logic</w:t>
      </w:r>
    </w:p>
    <w:p>
      <w:r>
        <w:t>Each workspace addresses a different expression of evidence loss, but they are not intended to be independent dashboards. Student evidence can support employer validation; employer interactions can create new student evidence; institutional gaps can trigger interventions that create both candidate signals and reusable university records.</w:t>
      </w:r>
    </w:p>
    <w:p>
      <w:pPr>
        <w:pStyle w:val="Heading2"/>
      </w:pPr>
      <w:r>
        <w:t>4.3 What CareerGraph means in Round 2</w:t>
      </w:r>
    </w:p>
    <w:p>
      <w:r>
        <w:t>CareerGraph is the product concept for connecting skills, experiences, roles, opportunities, employer demand, interventions, and outcomes. In the current prototype, this logic is represented through route-level interactions, local stores, mock datasets, and selected API calls. It is not yet a production shared graph database or live cross-organisation intelligence network.</w:t>
      </w:r>
    </w:p>
    <w:p>
      <w:pPr>
        <w:pStyle w:val="Heading1"/>
      </w:pPr>
      <w:r>
        <w:t>5. Student Workspace</w:t>
      </w:r>
    </w:p>
    <w:p>
      <w:r>
        <w:t>The Round 2 student experience is centred on a Data Science student and a continuous evidence-to-action journey rather than a one-time job search.</w:t>
      </w:r>
    </w:p>
    <w:p>
      <w:pPr>
        <w:pStyle w:val="Heading2"/>
      </w:pPr>
      <w:r>
        <w:t>5.1 Career Memory</w:t>
      </w:r>
    </w:p>
    <w:p>
      <w:r>
        <w:t>Career Memory preserves projects, internships, leadership, events, achievements, reflections, skills, and supporting evidence while the context is still available. Students can add or improve entries and see how experiences contribute to an evolving career story.</w:t>
      </w:r>
    </w:p>
    <w:tbl>
      <w:tblPr>
        <w:tblW w:type="auto" w:w="0"/>
        <w:jc w:val="center"/>
        <w:tblLayout w:type="fixed"/>
        <w:tblLook w:firstColumn="1" w:firstRow="1" w:lastColumn="0" w:lastRow="0" w:noHBand="0" w:noVBand="1" w:val="04A0"/>
      </w:tblPr>
      <w:tblGrid>
        <w:gridCol w:w="9360"/>
      </w:tblGrid>
      <w:tr>
        <w:tc>
          <w:tcPr>
            <w:tcW w:type="dxa" w:w="9360"/>
            <w:shd w:fill="EEF4FA"/>
            <w:tcMar>
              <w:top w:w="140" w:type="dxa"/>
              <w:start w:w="180" w:type="dxa"/>
              <w:bottom w:w="140" w:type="dxa"/>
              <w:end w:w="180" w:type="dxa"/>
            </w:tcMar>
          </w:tcPr>
          <w:p>
            <w:pPr>
              <w:spacing w:after="0"/>
            </w:pPr>
            <w:r/>
            <w:r>
              <w:rPr>
                <w:b/>
                <w:color w:val="2E74B5"/>
              </w:rPr>
              <w:t xml:space="preserve">Designed behaviour change  </w:t>
            </w:r>
            <w:r>
              <w:t>Maintain reusable evidence continuously instead of reconstructing a CV only when an application appears.</w:t>
            </w:r>
          </w:p>
        </w:tc>
      </w:tr>
    </w:tbl>
    <w:p>
      <w:pPr>
        <w:spacing w:after="20"/>
      </w:pPr>
    </w:p>
    <w:p>
      <w:pPr>
        <w:pStyle w:val="Heading2"/>
      </w:pPr>
      <w:r>
        <w:t>5.2 Career Intelligence</w:t>
      </w:r>
    </w:p>
    <w:p>
      <w:r>
        <w:t>Career Intelligence interprets existing evidence against possible paths, including adjacent roles beyond the degree title. It helps a student identify transferable strengths, missing proof, and a prioritised next step.</w:t>
      </w:r>
    </w:p>
    <w:p>
      <w:pPr>
        <w:pStyle w:val="Heading2"/>
      </w:pPr>
      <w:r>
        <w:t>5.3 Skill development, opportunities, and applications</w:t>
      </w:r>
    </w:p>
    <w:p>
      <w:pPr>
        <w:pStyle w:val="ListBullet"/>
        <w:spacing w:after="80"/>
        <w:ind w:left="720" w:hanging="360"/>
      </w:pPr>
      <w:r>
        <w:t>Skill Development links an identified gap to a roadmap, learning activity, project, or evidence-building task.</w:t>
      </w:r>
    </w:p>
    <w:p>
      <w:pPr>
        <w:pStyle w:val="ListBullet"/>
        <w:spacing w:after="80"/>
        <w:ind w:left="720" w:hanging="360"/>
      </w:pPr>
      <w:r>
        <w:t>Opportunities explain why an event or role may fit and support saving, preparation, and application flows.</w:t>
      </w:r>
    </w:p>
    <w:p>
      <w:pPr>
        <w:pStyle w:val="ListBullet"/>
        <w:spacing w:after="80"/>
        <w:ind w:left="720" w:hanging="360"/>
      </w:pPr>
      <w:r>
        <w:t>Applications preserve stage, deadlines, and the next action across an application pipeline.</w:t>
      </w:r>
    </w:p>
    <w:p>
      <w:pPr>
        <w:pStyle w:val="Heading2"/>
      </w:pPr>
      <w:r>
        <w:t>5.4 AI Companion and interview practice</w:t>
      </w:r>
    </w:p>
    <w:p>
      <w:r>
        <w:t>The AI Companion provides intent-based guidance and routes the student to relevant context. Interview Practice supports role- and company-specific preparation, including voice-session interaction patterns. Optional backend/model paths exist, but scripted fallbacks and simulated content remain important parts of the demo.</w:t>
      </w:r>
    </w:p>
    <w:p>
      <w:pPr>
        <w:pStyle w:val="Heading2"/>
      </w:pPr>
      <w:r>
        <w:t>5.5 Community, mentorship, and lifecycle return</w:t>
      </w:r>
    </w:p>
    <w:p>
      <w:r>
        <w:t>Communities, mentorships, notifications, and recommendations create reasons to return between applications. The community experience is comparatively rich; mentorship and a complete rejection-to-recovery loop remain less mature and should be described accordingly.</w:t>
      </w:r>
    </w:p>
    <w:p>
      <w:pPr>
        <w:pStyle w:val="Heading1"/>
      </w:pPr>
      <w:r>
        <w:t>6. Employer Workspace</w:t>
      </w:r>
    </w:p>
    <w:p>
      <w:pPr>
        <w:pStyle w:val="Heading2"/>
      </w:pPr>
      <w:r>
        <w:t>6.1 Employer Home</w:t>
      </w:r>
    </w:p>
    <w:p>
      <w:r>
        <w:t>The employer home acts as an AI briefing and action surface. It summarises operational signals, candidates, pipeline status, opportunities, and next actions without changing the underlying employer workflow.</w:t>
      </w:r>
    </w:p>
    <w:p>
      <w:pPr>
        <w:pStyle w:val="Heading2"/>
      </w:pPr>
      <w:r>
        <w:t>6.2 Explainable talent discovery</w:t>
      </w:r>
    </w:p>
    <w:p>
      <w:r>
        <w:t>Talent Discovery starts from a hiring need and presents candidate context, supporting evidence, strengths, gaps, and targeted validation questions. The interface models evidence-aware selection rather than opaque ranking.</w:t>
      </w:r>
    </w:p>
    <w:tbl>
      <w:tblPr>
        <w:tblW w:type="auto" w:w="0"/>
        <w:jc w:val="center"/>
        <w:tblLayout w:type="fixed"/>
        <w:tblLook w:firstColumn="1" w:firstRow="1" w:lastColumn="0" w:lastRow="0" w:noHBand="0" w:noVBand="1" w:val="04A0"/>
      </w:tblPr>
      <w:tblGrid>
        <w:gridCol w:w="9360"/>
      </w:tblGrid>
      <w:tr>
        <w:tc>
          <w:tcPr>
            <w:tcW w:type="dxa" w:w="9360"/>
            <w:shd w:fill="EEF4FA"/>
            <w:tcMar>
              <w:top w:w="140" w:type="dxa"/>
              <w:start w:w="180" w:type="dxa"/>
              <w:bottom w:w="140" w:type="dxa"/>
              <w:end w:w="180" w:type="dxa"/>
            </w:tcMar>
          </w:tcPr>
          <w:p>
            <w:pPr>
              <w:spacing w:after="0"/>
            </w:pPr>
            <w:r/>
            <w:r>
              <w:rPr>
                <w:b/>
                <w:color w:val="2E74B5"/>
              </w:rPr>
              <w:t xml:space="preserve">Truth boundary  </w:t>
            </w:r>
            <w:r>
              <w:t>Candidate records, match percentages, confidence indicators, and evidence histories are demo data. Production provenance, fairness evaluation, and validated matching accuracy are not implemented.</w:t>
            </w:r>
          </w:p>
        </w:tc>
      </w:tr>
    </w:tbl>
    <w:p>
      <w:pPr>
        <w:spacing w:after="20"/>
      </w:pPr>
    </w:p>
    <w:p>
      <w:pPr>
        <w:pStyle w:val="Heading2"/>
      </w:pPr>
      <w:r>
        <w:t>6.3 Candidate review and decision history</w:t>
      </w:r>
    </w:p>
    <w:p>
      <w:r>
        <w:t>Candidate pages preserve shortlisting, pass decisions, interview preparation questions, and rationale through local state. The intended behaviour is to make decisions explainable and challengeable, rather than to treat a score as proof.</w:t>
      </w:r>
    </w:p>
    <w:p>
      <w:pPr>
        <w:pStyle w:val="Heading2"/>
      </w:pPr>
      <w:r>
        <w:t>6.4 Campus pipeline and warm reactivation</w:t>
      </w:r>
    </w:p>
    <w:p>
      <w:r>
        <w:t>Campus Pipeline demonstrates how prior challenges, events, workshops, or hiring processes could become a reusable warm pool. When an urgent need appears, employers can revisit known context instead of restarting sourcing from zero.</w:t>
      </w:r>
    </w:p>
    <w:p>
      <w:pPr>
        <w:pStyle w:val="Heading2"/>
      </w:pPr>
      <w:r>
        <w:t>6.5 Engagements, marketplace, and analytics</w:t>
      </w:r>
    </w:p>
    <w:p>
      <w:pPr>
        <w:pStyle w:val="ListBullet"/>
        <w:spacing w:after="80"/>
        <w:ind w:left="720" w:hanging="360"/>
      </w:pPr>
      <w:r>
        <w:t>Engagement creation supports structured challenges, workshops, and campus activities designed to reveal applied ability.</w:t>
      </w:r>
    </w:p>
    <w:p>
      <w:pPr>
        <w:pStyle w:val="ListBullet"/>
        <w:spacing w:after="80"/>
        <w:ind w:left="720" w:hanging="360"/>
      </w:pPr>
      <w:r>
        <w:t>The marketplace and applicant workflows model role creation, applicant stages, and candidate movement.</w:t>
      </w:r>
    </w:p>
    <w:p>
      <w:pPr>
        <w:pStyle w:val="ListBullet"/>
        <w:spacing w:after="80"/>
        <w:ind w:left="720" w:hanging="360"/>
      </w:pPr>
      <w:r>
        <w:t>Analytics and briefing views show how employer activity could create reusable operational learning; displayed outcomes remain illustrative.</w:t>
      </w:r>
    </w:p>
    <w:p>
      <w:pPr>
        <w:pStyle w:val="Heading1"/>
      </w:pPr>
      <w:r>
        <w:t>7. University Workspace</w:t>
      </w:r>
    </w:p>
    <w:p>
      <w:pPr>
        <w:pStyle w:val="Heading2"/>
      </w:pPr>
      <w:r>
        <w:t>7.1 AI-first university overview</w:t>
      </w:r>
    </w:p>
    <w:p>
      <w:r>
        <w:t>The Round 2 overview frames the university as an employability operating system. It surfaces programme, cohort, market, partnership, accreditation, and intervention signals through action-oriented cards and natural-language routing.</w:t>
      </w:r>
    </w:p>
    <w:p>
      <w:pPr>
        <w:pStyle w:val="Heading2"/>
      </w:pPr>
      <w:r>
        <w:t>7.2 Student Readiness</w:t>
      </w:r>
    </w:p>
    <w:p>
      <w:r>
        <w:t>Student Readiness highlights hidden employability risk, differentiates academic performance from career readiness, and supports assignment of intervention owners, deadlines, and follow-up states.</w:t>
      </w:r>
    </w:p>
    <w:p>
      <w:pPr>
        <w:pStyle w:val="Heading2"/>
      </w:pPr>
      <w:r>
        <w:t>7.3 Curriculum–Market Alignment</w:t>
      </w:r>
    </w:p>
    <w:p>
      <w:r>
        <w:t>Curriculum–Market Alignment compares programme coverage with illustrative demand signals, provides evidence chains, and supports current-cohort interventions while formal curriculum changes continue. Evidence packs and roadmap actions demonstrate how analysis becomes an operational artefact.</w:t>
      </w:r>
    </w:p>
    <w:p>
      <w:pPr>
        <w:pStyle w:val="Heading2"/>
      </w:pPr>
      <w:r>
        <w:t>7.4 Alumni Signals and Collaboration Marketplace</w:t>
      </w:r>
    </w:p>
    <w:p>
      <w:r>
        <w:t>Alumni Signals route graduate outcomes and employer feedback back into programme discussions. Collaboration Marketplace connects identified capability gaps to employer, society, workshop, challenge, and outreach workflows.</w:t>
      </w:r>
    </w:p>
    <w:p>
      <w:pPr>
        <w:pStyle w:val="Heading2"/>
      </w:pPr>
      <w:r>
        <w:t>7.5 Accreditation Hub</w:t>
      </w:r>
    </w:p>
    <w:p>
      <w:r>
        <w:t>Accreditation Hub models continuous evidence readiness, named ownership, requirement tracking, and reuse across MQA, SETARA, QS, and internal review contexts. It demonstrates preparation and reuse—not automated accreditation submission.</w:t>
      </w:r>
    </w:p>
    <w:p>
      <w:pPr>
        <w:pStyle w:val="Heading2"/>
      </w:pPr>
      <w:r>
        <w:t>7.6 University AI Office</w:t>
      </w:r>
    </w:p>
    <w:p>
      <w:r>
        <w:t>The AI Office and Decision Room present specialised assistant roles that prepare cross-department actions. Human approval remains explicit. Some optional model calls are configured in the frontend, but the operating-room intelligence, metrics, and external effects are simulated.</w:t>
      </w:r>
    </w:p>
    <w:p>
      <w:pPr>
        <w:pStyle w:val="Heading1"/>
      </w:pPr>
      <w:r>
        <w:t>8. Cross-Workspace Evidence Loop</w:t>
      </w:r>
    </w:p>
    <w:p>
      <w:pPr>
        <w:pStyle w:val="Heading2"/>
      </w:pPr>
      <w:r>
        <w:t>8.1 Example: one capability gap</w:t>
      </w:r>
    </w:p>
    <w:p>
      <w:pPr>
        <w:pStyle w:val="ListNumber"/>
        <w:spacing w:after="80"/>
        <w:ind w:left="720" w:hanging="360"/>
      </w:pPr>
      <w:r>
        <w:t>A university identifies a cloud or MLOps readiness gap affecting the current cohort.</w:t>
      </w:r>
    </w:p>
    <w:p>
      <w:pPr>
        <w:pStyle w:val="ListNumber"/>
        <w:spacing w:after="80"/>
        <w:ind w:left="720" w:hanging="360"/>
      </w:pPr>
      <w:r>
        <w:t>The programme team selects a targeted employer-backed challenge or workshop while curriculum reform proceeds.</w:t>
      </w:r>
    </w:p>
    <w:p>
      <w:pPr>
        <w:pStyle w:val="ListNumber"/>
        <w:spacing w:after="80"/>
        <w:ind w:left="720" w:hanging="360"/>
      </w:pPr>
      <w:r>
        <w:t>Students participate and demonstrate applied ability.</w:t>
      </w:r>
    </w:p>
    <w:p>
      <w:pPr>
        <w:pStyle w:val="ListNumber"/>
        <w:spacing w:after="80"/>
        <w:ind w:left="720" w:hanging="360"/>
      </w:pPr>
      <w:r>
        <w:t>The activity can become Career Memory evidence with source and context.</w:t>
      </w:r>
    </w:p>
    <w:p>
      <w:pPr>
        <w:pStyle w:val="ListNumber"/>
        <w:spacing w:after="80"/>
        <w:ind w:left="720" w:hanging="360"/>
      </w:pPr>
      <w:r>
        <w:t>An employer can use the evidence as a discovery and validation signal.</w:t>
      </w:r>
    </w:p>
    <w:p>
      <w:pPr>
        <w:pStyle w:val="ListNumber"/>
        <w:spacing w:after="80"/>
        <w:ind w:left="720" w:hanging="360"/>
      </w:pPr>
      <w:r>
        <w:t>The university measures participation and follow-through, then reuses the record in programme and accreditation work.</w:t>
      </w:r>
    </w:p>
    <w:tbl>
      <w:tblPr>
        <w:tblW w:type="auto" w:w="0"/>
        <w:jc w:val="center"/>
        <w:tblLayout w:type="fixed"/>
        <w:tblLook w:firstColumn="1" w:firstRow="1" w:lastColumn="0" w:lastRow="0" w:noHBand="0" w:noVBand="1" w:val="04A0"/>
      </w:tblPr>
      <w:tblGrid>
        <w:gridCol w:w="9360"/>
      </w:tblGrid>
      <w:tr>
        <w:tc>
          <w:tcPr>
            <w:tcW w:type="dxa" w:w="9360"/>
            <w:shd w:fill="EEF4FA"/>
            <w:tcMar>
              <w:top w:w="140" w:type="dxa"/>
              <w:start w:w="180" w:type="dxa"/>
              <w:bottom w:w="140" w:type="dxa"/>
              <w:end w:w="180" w:type="dxa"/>
            </w:tcMar>
          </w:tcPr>
          <w:p>
            <w:pPr>
              <w:spacing w:after="0"/>
            </w:pPr>
            <w:r/>
            <w:r>
              <w:rPr>
                <w:b/>
                <w:color w:val="2E74B5"/>
              </w:rPr>
              <w:t xml:space="preserve">Round 2 distinction  </w:t>
            </w:r>
            <w:r>
              <w:t>The current repository demonstrates many components of this loop and selected state handoffs. The complete cross-organisation evidence network, permissions, and outcome propagation remain future-facing.</w:t>
            </w:r>
          </w:p>
        </w:tc>
      </w:tr>
    </w:tbl>
    <w:p>
      <w:pPr>
        <w:spacing w:after="20"/>
      </w:pPr>
    </w:p>
    <w:p>
      <w:pPr>
        <w:pStyle w:val="Heading2"/>
      </w:pPr>
      <w:r>
        <w:t>8.2 Why the loop matters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728"/>
            <w:shd w:fill="102A43"/>
            <w:tcMar>
              <w:top w:w="80" w:type="dxa"/>
              <w:start w:w="120" w:type="dxa"/>
              <w:bottom w:w="80" w:type="dxa"/>
              <w:end w:w="120" w:type="dxa"/>
            </w:tcMar>
            <w:vAlign w:val="center"/>
          </w:tcPr>
          <w:p>
            <w:pPr>
              <w:spacing w:after="0"/>
            </w:pPr>
            <w:r/>
            <w:r>
              <w:rPr>
                <w:rFonts w:ascii="Calibri" w:hAnsi="Calibri"/>
                <w:b/>
                <w:color w:val="FFFFFF"/>
                <w:sz w:val="18"/>
              </w:rPr>
              <w:t>Stakeholder</w:t>
            </w:r>
          </w:p>
        </w:tc>
        <w:tc>
          <w:tcPr>
            <w:tcW w:type="dxa" w:w="7632"/>
            <w:shd w:fill="102A43"/>
            <w:tcMar>
              <w:top w:w="80" w:type="dxa"/>
              <w:start w:w="120" w:type="dxa"/>
              <w:bottom w:w="80" w:type="dxa"/>
              <w:end w:w="120" w:type="dxa"/>
            </w:tcMar>
            <w:vAlign w:val="center"/>
          </w:tcPr>
          <w:p>
            <w:pPr>
              <w:spacing w:after="0"/>
            </w:pPr>
            <w:r/>
            <w:r>
              <w:rPr>
                <w:rFonts w:ascii="Calibri" w:hAnsi="Calibri"/>
                <w:b/>
                <w:color w:val="FFFFFF"/>
                <w:sz w:val="18"/>
              </w:rPr>
              <w:t>Value that can accumulate</w:t>
            </w:r>
          </w:p>
        </w:tc>
      </w:tr>
      <w:tr>
        <w:trPr>
          <w:cantSplit/>
        </w:trPr>
        <w:tc>
          <w:tcPr>
            <w:tcW w:type="dxa" w:w="1728"/>
            <w:tcMar>
              <w:top w:w="80" w:type="dxa"/>
              <w:start w:w="120" w:type="dxa"/>
              <w:bottom w:w="80" w:type="dxa"/>
              <w:end w:w="120" w:type="dxa"/>
            </w:tcMar>
            <w:vAlign w:val="center"/>
          </w:tcPr>
          <w:p>
            <w:pPr>
              <w:spacing w:after="0"/>
            </w:pPr>
            <w:r/>
            <w:r>
              <w:rPr>
                <w:rFonts w:ascii="Calibri" w:hAnsi="Calibri"/>
                <w:b w:val="0"/>
                <w:sz w:val="18"/>
              </w:rPr>
              <w:t>Student</w:t>
            </w:r>
          </w:p>
        </w:tc>
        <w:tc>
          <w:tcPr>
            <w:tcW w:type="dxa" w:w="7632"/>
            <w:tcMar>
              <w:top w:w="80" w:type="dxa"/>
              <w:start w:w="120" w:type="dxa"/>
              <w:bottom w:w="80" w:type="dxa"/>
              <w:end w:w="120" w:type="dxa"/>
            </w:tcMar>
            <w:vAlign w:val="center"/>
          </w:tcPr>
          <w:p>
            <w:pPr>
              <w:spacing w:after="0"/>
            </w:pPr>
            <w:r/>
            <w:r>
              <w:rPr>
                <w:rFonts w:ascii="Calibri" w:hAnsi="Calibri"/>
                <w:b w:val="0"/>
                <w:sz w:val="18"/>
              </w:rPr>
              <w:t>A portable career story and clearer evidence gaps.</w:t>
            </w:r>
          </w:p>
        </w:tc>
      </w:tr>
      <w:tr>
        <w:trPr>
          <w:cantSplit/>
        </w:trPr>
        <w:tc>
          <w:tcPr>
            <w:tcW w:type="dxa" w:w="1728"/>
            <w:shd w:fill="F8FAFC"/>
            <w:tcMar>
              <w:top w:w="80" w:type="dxa"/>
              <w:start w:w="120" w:type="dxa"/>
              <w:bottom w:w="80" w:type="dxa"/>
              <w:end w:w="120" w:type="dxa"/>
            </w:tcMar>
            <w:vAlign w:val="center"/>
          </w:tcPr>
          <w:p>
            <w:pPr>
              <w:spacing w:after="0"/>
            </w:pPr>
            <w:r/>
            <w:r>
              <w:rPr>
                <w:rFonts w:ascii="Calibri" w:hAnsi="Calibri"/>
                <w:b w:val="0"/>
                <w:sz w:val="18"/>
              </w:rPr>
              <w:t>Employer</w:t>
            </w:r>
          </w:p>
        </w:tc>
        <w:tc>
          <w:tcPr>
            <w:tcW w:type="dxa" w:w="7632"/>
            <w:shd w:fill="F8FAFC"/>
            <w:tcMar>
              <w:top w:w="80" w:type="dxa"/>
              <w:start w:w="120" w:type="dxa"/>
              <w:bottom w:w="80" w:type="dxa"/>
              <w:end w:w="120" w:type="dxa"/>
            </w:tcMar>
            <w:vAlign w:val="center"/>
          </w:tcPr>
          <w:p>
            <w:pPr>
              <w:spacing w:after="0"/>
            </w:pPr>
            <w:r/>
            <w:r>
              <w:rPr>
                <w:rFonts w:ascii="Calibri" w:hAnsi="Calibri"/>
                <w:b w:val="0"/>
                <w:sz w:val="18"/>
              </w:rPr>
              <w:t>Relationship history, observed signals, and reusable candidate context.</w:t>
            </w:r>
          </w:p>
        </w:tc>
      </w:tr>
      <w:tr>
        <w:trPr>
          <w:cantSplit/>
        </w:trPr>
        <w:tc>
          <w:tcPr>
            <w:tcW w:type="dxa" w:w="1728"/>
            <w:tcMar>
              <w:top w:w="80" w:type="dxa"/>
              <w:start w:w="120" w:type="dxa"/>
              <w:bottom w:w="80" w:type="dxa"/>
              <w:end w:w="120" w:type="dxa"/>
            </w:tcMar>
            <w:vAlign w:val="center"/>
          </w:tcPr>
          <w:p>
            <w:pPr>
              <w:spacing w:after="0"/>
            </w:pPr>
            <w:r/>
            <w:r>
              <w:rPr>
                <w:rFonts w:ascii="Calibri" w:hAnsi="Calibri"/>
                <w:b w:val="0"/>
                <w:sz w:val="18"/>
              </w:rPr>
              <w:t>University</w:t>
            </w:r>
          </w:p>
        </w:tc>
        <w:tc>
          <w:tcPr>
            <w:tcW w:type="dxa" w:w="7632"/>
            <w:tcMar>
              <w:top w:w="80" w:type="dxa"/>
              <w:start w:w="120" w:type="dxa"/>
              <w:bottom w:w="80" w:type="dxa"/>
              <w:end w:w="120" w:type="dxa"/>
            </w:tcMar>
            <w:vAlign w:val="center"/>
          </w:tcPr>
          <w:p>
            <w:pPr>
              <w:spacing w:after="0"/>
            </w:pPr>
            <w:r/>
            <w:r>
              <w:rPr>
                <w:rFonts w:ascii="Calibri" w:hAnsi="Calibri"/>
                <w:b w:val="0"/>
                <w:sz w:val="18"/>
              </w:rPr>
              <w:t>Intervention history, outcome learning, and reusable institutional evidence.</w:t>
            </w:r>
          </w:p>
        </w:tc>
      </w:tr>
      <w:tr>
        <w:trPr>
          <w:cantSplit/>
        </w:trPr>
        <w:tc>
          <w:tcPr>
            <w:tcW w:type="dxa" w:w="1728"/>
            <w:shd w:fill="F8FAFC"/>
            <w:tcMar>
              <w:top w:w="80" w:type="dxa"/>
              <w:start w:w="120" w:type="dxa"/>
              <w:bottom w:w="80" w:type="dxa"/>
              <w:end w:w="120" w:type="dxa"/>
            </w:tcMar>
            <w:vAlign w:val="center"/>
          </w:tcPr>
          <w:p>
            <w:pPr>
              <w:spacing w:after="0"/>
            </w:pPr>
            <w:r/>
            <w:r>
              <w:rPr>
                <w:rFonts w:ascii="Calibri" w:hAnsi="Calibri"/>
                <w:b w:val="0"/>
                <w:sz w:val="18"/>
              </w:rPr>
              <w:t>Talentbank</w:t>
            </w:r>
          </w:p>
        </w:tc>
        <w:tc>
          <w:tcPr>
            <w:tcW w:type="dxa" w:w="7632"/>
            <w:shd w:fill="F8FAFC"/>
            <w:tcMar>
              <w:top w:w="80" w:type="dxa"/>
              <w:start w:w="120" w:type="dxa"/>
              <w:bottom w:w="80" w:type="dxa"/>
              <w:end w:w="120" w:type="dxa"/>
            </w:tcMar>
            <w:vAlign w:val="center"/>
          </w:tcPr>
          <w:p>
            <w:pPr>
              <w:spacing w:after="0"/>
            </w:pPr>
            <w:r/>
            <w:r>
              <w:rPr>
                <w:rFonts w:ascii="Calibri" w:hAnsi="Calibri"/>
                <w:b w:val="0"/>
                <w:sz w:val="18"/>
              </w:rPr>
              <w:t>A potential lifecycle relationship beyond listings and one-off applications.</w:t>
            </w:r>
          </w:p>
        </w:tc>
      </w:tr>
    </w:tbl>
    <w:p>
      <w:pPr>
        <w:spacing w:after="20"/>
      </w:pPr>
    </w:p>
    <w:p>
      <w:pPr>
        <w:pStyle w:val="Heading1"/>
      </w:pPr>
      <w:r>
        <w:t>9. Implementation Status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736"/>
            <w:shd w:fill="102A43"/>
            <w:tcMar>
              <w:top w:w="80" w:type="dxa"/>
              <w:start w:w="120" w:type="dxa"/>
              <w:bottom w:w="80" w:type="dxa"/>
              <w:end w:w="120" w:type="dxa"/>
            </w:tcMar>
            <w:vAlign w:val="center"/>
          </w:tcPr>
          <w:p>
            <w:pPr>
              <w:spacing w:after="0"/>
            </w:pPr>
            <w:r/>
            <w:r>
              <w:rPr>
                <w:rFonts w:ascii="Calibri" w:hAnsi="Calibri"/>
                <w:b/>
                <w:color w:val="FFFFFF"/>
                <w:sz w:val="18"/>
              </w:rPr>
              <w:t>Capability</w:t>
            </w:r>
          </w:p>
        </w:tc>
        <w:tc>
          <w:tcPr>
            <w:tcW w:type="dxa" w:w="1944"/>
            <w:shd w:fill="102A43"/>
            <w:tcMar>
              <w:top w:w="80" w:type="dxa"/>
              <w:start w:w="120" w:type="dxa"/>
              <w:bottom w:w="80" w:type="dxa"/>
              <w:end w:w="120" w:type="dxa"/>
            </w:tcMar>
            <w:vAlign w:val="center"/>
          </w:tcPr>
          <w:p>
            <w:pPr>
              <w:spacing w:after="0"/>
            </w:pPr>
            <w:r/>
            <w:r>
              <w:rPr>
                <w:rFonts w:ascii="Calibri" w:hAnsi="Calibri"/>
                <w:b/>
                <w:color w:val="FFFFFF"/>
                <w:sz w:val="18"/>
              </w:rPr>
              <w:t>Current status</w:t>
            </w:r>
          </w:p>
        </w:tc>
        <w:tc>
          <w:tcPr>
            <w:tcW w:type="dxa" w:w="4680"/>
            <w:shd w:fill="102A43"/>
            <w:tcMar>
              <w:top w:w="80" w:type="dxa"/>
              <w:start w:w="120" w:type="dxa"/>
              <w:bottom w:w="80" w:type="dxa"/>
              <w:end w:w="120" w:type="dxa"/>
            </w:tcMar>
            <w:vAlign w:val="center"/>
          </w:tcPr>
          <w:p>
            <w:pPr>
              <w:spacing w:after="0"/>
            </w:pPr>
            <w:r/>
            <w:r>
              <w:rPr>
                <w:rFonts w:ascii="Calibri" w:hAnsi="Calibri"/>
                <w:b/>
                <w:color w:val="FFFFFF"/>
                <w:sz w:val="18"/>
              </w:rPr>
              <w:t>Boundary</w:t>
            </w:r>
          </w:p>
        </w:tc>
      </w:tr>
      <w:tr>
        <w:trPr>
          <w:cantSplit/>
        </w:trPr>
        <w:tc>
          <w:tcPr>
            <w:tcW w:type="dxa" w:w="2736"/>
            <w:tcMar>
              <w:top w:w="80" w:type="dxa"/>
              <w:start w:w="120" w:type="dxa"/>
              <w:bottom w:w="80" w:type="dxa"/>
              <w:end w:w="120" w:type="dxa"/>
            </w:tcMar>
            <w:vAlign w:val="center"/>
          </w:tcPr>
          <w:p>
            <w:pPr>
              <w:spacing w:after="0"/>
            </w:pPr>
            <w:r/>
            <w:r>
              <w:rPr>
                <w:rFonts w:ascii="Calibri" w:hAnsi="Calibri"/>
                <w:b w:val="0"/>
                <w:sz w:val="18"/>
              </w:rPr>
              <w:t>Three role-based workspaces</w:t>
            </w:r>
          </w:p>
        </w:tc>
        <w:tc>
          <w:tcPr>
            <w:tcW w:type="dxa" w:w="1944"/>
            <w:tcMar>
              <w:top w:w="80" w:type="dxa"/>
              <w:start w:w="120" w:type="dxa"/>
              <w:bottom w:w="80" w:type="dxa"/>
              <w:end w:w="120" w:type="dxa"/>
            </w:tcMar>
            <w:vAlign w:val="center"/>
          </w:tcPr>
          <w:p>
            <w:pPr>
              <w:spacing w:after="0"/>
            </w:pPr>
            <w:r/>
            <w:r>
              <w:rPr>
                <w:rFonts w:ascii="Calibri" w:hAnsi="Calibri"/>
                <w:b w:val="0"/>
                <w:sz w:val="18"/>
              </w:rPr>
              <w:t>Demonstrated</w:t>
            </w:r>
          </w:p>
        </w:tc>
        <w:tc>
          <w:tcPr>
            <w:tcW w:type="dxa" w:w="4680"/>
            <w:tcMar>
              <w:top w:w="80" w:type="dxa"/>
              <w:start w:w="120" w:type="dxa"/>
              <w:bottom w:w="80" w:type="dxa"/>
              <w:end w:w="120" w:type="dxa"/>
            </w:tcMar>
            <w:vAlign w:val="center"/>
          </w:tcPr>
          <w:p>
            <w:pPr>
              <w:spacing w:after="0"/>
            </w:pPr>
            <w:r/>
            <w:r>
              <w:rPr>
                <w:rFonts w:ascii="Calibri" w:hAnsi="Calibri"/>
                <w:b w:val="0"/>
                <w:sz w:val="18"/>
              </w:rPr>
              <w:t>Protected routes and rich local interactions are implemented.</w:t>
            </w:r>
          </w:p>
        </w:tc>
      </w:tr>
      <w:tr>
        <w:trPr>
          <w:cantSplit/>
        </w:trPr>
        <w:tc>
          <w:tcPr>
            <w:tcW w:type="dxa" w:w="2736"/>
            <w:shd w:fill="F8FAFC"/>
            <w:tcMar>
              <w:top w:w="80" w:type="dxa"/>
              <w:start w:w="120" w:type="dxa"/>
              <w:bottom w:w="80" w:type="dxa"/>
              <w:end w:w="120" w:type="dxa"/>
            </w:tcMar>
            <w:vAlign w:val="center"/>
          </w:tcPr>
          <w:p>
            <w:pPr>
              <w:spacing w:after="0"/>
            </w:pPr>
            <w:r/>
            <w:r>
              <w:rPr>
                <w:rFonts w:ascii="Calibri" w:hAnsi="Calibri"/>
                <w:b w:val="0"/>
                <w:sz w:val="18"/>
              </w:rPr>
              <w:t>Career Memory and profile state</w:t>
            </w:r>
          </w:p>
        </w:tc>
        <w:tc>
          <w:tcPr>
            <w:tcW w:type="dxa" w:w="1944"/>
            <w:shd w:fill="F8FAFC"/>
            <w:tcMar>
              <w:top w:w="80" w:type="dxa"/>
              <w:start w:w="120" w:type="dxa"/>
              <w:bottom w:w="80" w:type="dxa"/>
              <w:end w:w="120" w:type="dxa"/>
            </w:tcMar>
            <w:vAlign w:val="center"/>
          </w:tcPr>
          <w:p>
            <w:pPr>
              <w:spacing w:after="0"/>
            </w:pPr>
            <w:r/>
            <w:r>
              <w:rPr>
                <w:rFonts w:ascii="Calibri" w:hAnsi="Calibri"/>
                <w:b w:val="0"/>
                <w:sz w:val="18"/>
              </w:rPr>
              <w:t>Demonstrated / partial</w:t>
            </w:r>
          </w:p>
        </w:tc>
        <w:tc>
          <w:tcPr>
            <w:tcW w:type="dxa" w:w="4680"/>
            <w:shd w:fill="F8FAFC"/>
            <w:tcMar>
              <w:top w:w="80" w:type="dxa"/>
              <w:start w:w="120" w:type="dxa"/>
              <w:bottom w:w="80" w:type="dxa"/>
              <w:end w:w="120" w:type="dxa"/>
            </w:tcMar>
            <w:vAlign w:val="center"/>
          </w:tcPr>
          <w:p>
            <w:pPr>
              <w:spacing w:after="0"/>
            </w:pPr>
            <w:r/>
            <w:r>
              <w:rPr>
                <w:rFonts w:ascii="Calibri" w:hAnsi="Calibri"/>
                <w:b w:val="0"/>
                <w:sz w:val="18"/>
              </w:rPr>
              <w:t>Local state and selected extraction paths; production verification is incomplete.</w:t>
            </w:r>
          </w:p>
        </w:tc>
      </w:tr>
      <w:tr>
        <w:trPr>
          <w:cantSplit/>
        </w:trPr>
        <w:tc>
          <w:tcPr>
            <w:tcW w:type="dxa" w:w="2736"/>
            <w:tcMar>
              <w:top w:w="80" w:type="dxa"/>
              <w:start w:w="120" w:type="dxa"/>
              <w:bottom w:w="80" w:type="dxa"/>
              <w:end w:w="120" w:type="dxa"/>
            </w:tcMar>
            <w:vAlign w:val="center"/>
          </w:tcPr>
          <w:p>
            <w:pPr>
              <w:spacing w:after="0"/>
            </w:pPr>
            <w:r/>
            <w:r>
              <w:rPr>
                <w:rFonts w:ascii="Calibri" w:hAnsi="Calibri"/>
                <w:b w:val="0"/>
                <w:sz w:val="18"/>
              </w:rPr>
              <w:t>Career Intelligence and paths</w:t>
            </w:r>
          </w:p>
        </w:tc>
        <w:tc>
          <w:tcPr>
            <w:tcW w:type="dxa" w:w="1944"/>
            <w:tcMar>
              <w:top w:w="80" w:type="dxa"/>
              <w:start w:w="120" w:type="dxa"/>
              <w:bottom w:w="80" w:type="dxa"/>
              <w:end w:w="120" w:type="dxa"/>
            </w:tcMar>
            <w:vAlign w:val="center"/>
          </w:tcPr>
          <w:p>
            <w:pPr>
              <w:spacing w:after="0"/>
            </w:pPr>
            <w:r/>
            <w:r>
              <w:rPr>
                <w:rFonts w:ascii="Calibri" w:hAnsi="Calibri"/>
                <w:b w:val="0"/>
                <w:sz w:val="18"/>
              </w:rPr>
              <w:t>Demonstrated / simulated</w:t>
            </w:r>
          </w:p>
        </w:tc>
        <w:tc>
          <w:tcPr>
            <w:tcW w:type="dxa" w:w="4680"/>
            <w:tcMar>
              <w:top w:w="80" w:type="dxa"/>
              <w:start w:w="120" w:type="dxa"/>
              <w:bottom w:w="80" w:type="dxa"/>
              <w:end w:w="120" w:type="dxa"/>
            </w:tcMar>
            <w:vAlign w:val="center"/>
          </w:tcPr>
          <w:p>
            <w:pPr>
              <w:spacing w:after="0"/>
            </w:pPr>
            <w:r/>
            <w:r>
              <w:rPr>
                <w:rFonts w:ascii="Calibri" w:hAnsi="Calibri"/>
                <w:b w:val="0"/>
                <w:sz w:val="18"/>
              </w:rPr>
              <w:t>Interactive paths and recommendations use illustrative data.</w:t>
            </w:r>
          </w:p>
        </w:tc>
      </w:tr>
      <w:tr>
        <w:trPr>
          <w:cantSplit/>
        </w:trPr>
        <w:tc>
          <w:tcPr>
            <w:tcW w:type="dxa" w:w="2736"/>
            <w:shd w:fill="F8FAFC"/>
            <w:tcMar>
              <w:top w:w="80" w:type="dxa"/>
              <w:start w:w="120" w:type="dxa"/>
              <w:bottom w:w="80" w:type="dxa"/>
              <w:end w:w="120" w:type="dxa"/>
            </w:tcMar>
            <w:vAlign w:val="center"/>
          </w:tcPr>
          <w:p>
            <w:pPr>
              <w:spacing w:after="0"/>
            </w:pPr>
            <w:r/>
            <w:r>
              <w:rPr>
                <w:rFonts w:ascii="Calibri" w:hAnsi="Calibri"/>
                <w:b w:val="0"/>
                <w:sz w:val="18"/>
              </w:rPr>
              <w:t>Opportunities and applications</w:t>
            </w:r>
          </w:p>
        </w:tc>
        <w:tc>
          <w:tcPr>
            <w:tcW w:type="dxa" w:w="1944"/>
            <w:shd w:fill="F8FAFC"/>
            <w:tcMar>
              <w:top w:w="80" w:type="dxa"/>
              <w:start w:w="120" w:type="dxa"/>
              <w:bottom w:w="80" w:type="dxa"/>
              <w:end w:w="120" w:type="dxa"/>
            </w:tcMar>
            <w:vAlign w:val="center"/>
          </w:tcPr>
          <w:p>
            <w:pPr>
              <w:spacing w:after="0"/>
            </w:pPr>
            <w:r/>
            <w:r>
              <w:rPr>
                <w:rFonts w:ascii="Calibri" w:hAnsi="Calibri"/>
                <w:b w:val="0"/>
                <w:sz w:val="18"/>
              </w:rPr>
              <w:t>Demonstrated locally</w:t>
            </w:r>
          </w:p>
        </w:tc>
        <w:tc>
          <w:tcPr>
            <w:tcW w:type="dxa" w:w="4680"/>
            <w:shd w:fill="F8FAFC"/>
            <w:tcMar>
              <w:top w:w="80" w:type="dxa"/>
              <w:start w:w="120" w:type="dxa"/>
              <w:bottom w:w="80" w:type="dxa"/>
              <w:end w:w="120" w:type="dxa"/>
            </w:tcMar>
            <w:vAlign w:val="center"/>
          </w:tcPr>
          <w:p>
            <w:pPr>
              <w:spacing w:after="0"/>
            </w:pPr>
            <w:r/>
            <w:r>
              <w:rPr>
                <w:rFonts w:ascii="Calibri" w:hAnsi="Calibri"/>
                <w:b w:val="0"/>
                <w:sz w:val="18"/>
              </w:rPr>
              <w:t>No live job marketplace or production application exchange.</w:t>
            </w:r>
          </w:p>
        </w:tc>
      </w:tr>
      <w:tr>
        <w:trPr>
          <w:cantSplit/>
        </w:trPr>
        <w:tc>
          <w:tcPr>
            <w:tcW w:type="dxa" w:w="2736"/>
            <w:tcMar>
              <w:top w:w="80" w:type="dxa"/>
              <w:start w:w="120" w:type="dxa"/>
              <w:bottom w:w="80" w:type="dxa"/>
              <w:end w:w="120" w:type="dxa"/>
            </w:tcMar>
            <w:vAlign w:val="center"/>
          </w:tcPr>
          <w:p>
            <w:pPr>
              <w:spacing w:after="0"/>
            </w:pPr>
            <w:r/>
            <w:r>
              <w:rPr>
                <w:rFonts w:ascii="Calibri" w:hAnsi="Calibri"/>
                <w:b w:val="0"/>
                <w:sz w:val="18"/>
              </w:rPr>
              <w:t>Interview practice and AI Companion</w:t>
            </w:r>
          </w:p>
        </w:tc>
        <w:tc>
          <w:tcPr>
            <w:tcW w:type="dxa" w:w="1944"/>
            <w:tcMar>
              <w:top w:w="80" w:type="dxa"/>
              <w:start w:w="120" w:type="dxa"/>
              <w:bottom w:w="80" w:type="dxa"/>
              <w:end w:w="120" w:type="dxa"/>
            </w:tcMar>
            <w:vAlign w:val="center"/>
          </w:tcPr>
          <w:p>
            <w:pPr>
              <w:spacing w:after="0"/>
            </w:pPr>
            <w:r/>
            <w:r>
              <w:rPr>
                <w:rFonts w:ascii="Calibri" w:hAnsi="Calibri"/>
                <w:b w:val="0"/>
                <w:sz w:val="18"/>
              </w:rPr>
              <w:t>Demonstrated / optional AI</w:t>
            </w:r>
          </w:p>
        </w:tc>
        <w:tc>
          <w:tcPr>
            <w:tcW w:type="dxa" w:w="4680"/>
            <w:tcMar>
              <w:top w:w="80" w:type="dxa"/>
              <w:start w:w="120" w:type="dxa"/>
              <w:bottom w:w="80" w:type="dxa"/>
              <w:end w:w="120" w:type="dxa"/>
            </w:tcMar>
            <w:vAlign w:val="center"/>
          </w:tcPr>
          <w:p>
            <w:pPr>
              <w:spacing w:after="0"/>
            </w:pPr>
            <w:r/>
            <w:r>
              <w:rPr>
                <w:rFonts w:ascii="Calibri" w:hAnsi="Calibri"/>
                <w:b w:val="0"/>
                <w:sz w:val="18"/>
              </w:rPr>
              <w:t>Backend or model paths may be used; fallbacks and scripted states remain.</w:t>
            </w:r>
          </w:p>
        </w:tc>
      </w:tr>
      <w:tr>
        <w:trPr>
          <w:cantSplit/>
        </w:trPr>
        <w:tc>
          <w:tcPr>
            <w:tcW w:type="dxa" w:w="2736"/>
            <w:shd w:fill="F8FAFC"/>
            <w:tcMar>
              <w:top w:w="80" w:type="dxa"/>
              <w:start w:w="120" w:type="dxa"/>
              <w:bottom w:w="80" w:type="dxa"/>
              <w:end w:w="120" w:type="dxa"/>
            </w:tcMar>
            <w:vAlign w:val="center"/>
          </w:tcPr>
          <w:p>
            <w:pPr>
              <w:spacing w:after="0"/>
            </w:pPr>
            <w:r/>
            <w:r>
              <w:rPr>
                <w:rFonts w:ascii="Calibri" w:hAnsi="Calibri"/>
                <w:b w:val="0"/>
                <w:sz w:val="18"/>
              </w:rPr>
              <w:t>Communities and mentorships</w:t>
            </w:r>
          </w:p>
        </w:tc>
        <w:tc>
          <w:tcPr>
            <w:tcW w:type="dxa" w:w="1944"/>
            <w:shd w:fill="F8FAFC"/>
            <w:tcMar>
              <w:top w:w="80" w:type="dxa"/>
              <w:start w:w="120" w:type="dxa"/>
              <w:bottom w:w="80" w:type="dxa"/>
              <w:end w:w="120" w:type="dxa"/>
            </w:tcMar>
            <w:vAlign w:val="center"/>
          </w:tcPr>
          <w:p>
            <w:pPr>
              <w:spacing w:after="0"/>
            </w:pPr>
            <w:r/>
            <w:r>
              <w:rPr>
                <w:rFonts w:ascii="Calibri" w:hAnsi="Calibri"/>
                <w:b w:val="0"/>
                <w:sz w:val="18"/>
              </w:rPr>
              <w:t>Mixed</w:t>
            </w:r>
          </w:p>
        </w:tc>
        <w:tc>
          <w:tcPr>
            <w:tcW w:type="dxa" w:w="4680"/>
            <w:shd w:fill="F8FAFC"/>
            <w:tcMar>
              <w:top w:w="80" w:type="dxa"/>
              <w:start w:w="120" w:type="dxa"/>
              <w:bottom w:w="80" w:type="dxa"/>
              <w:end w:w="120" w:type="dxa"/>
            </w:tcMar>
            <w:vAlign w:val="center"/>
          </w:tcPr>
          <w:p>
            <w:pPr>
              <w:spacing w:after="0"/>
            </w:pPr>
            <w:r/>
            <w:r>
              <w:rPr>
                <w:rFonts w:ascii="Calibri" w:hAnsi="Calibri"/>
                <w:b w:val="0"/>
                <w:sz w:val="18"/>
              </w:rPr>
              <w:t>Community is richer; mentorship lifecycle is thinner.</w:t>
            </w:r>
          </w:p>
        </w:tc>
      </w:tr>
      <w:tr>
        <w:trPr>
          <w:cantSplit/>
        </w:trPr>
        <w:tc>
          <w:tcPr>
            <w:tcW w:type="dxa" w:w="2736"/>
            <w:tcMar>
              <w:top w:w="80" w:type="dxa"/>
              <w:start w:w="120" w:type="dxa"/>
              <w:bottom w:w="80" w:type="dxa"/>
              <w:end w:w="120" w:type="dxa"/>
            </w:tcMar>
            <w:vAlign w:val="center"/>
          </w:tcPr>
          <w:p>
            <w:pPr>
              <w:spacing w:after="0"/>
            </w:pPr>
            <w:r/>
            <w:r>
              <w:rPr>
                <w:rFonts w:ascii="Calibri" w:hAnsi="Calibri"/>
                <w:b w:val="0"/>
                <w:sz w:val="18"/>
              </w:rPr>
              <w:t>Employer discovery and pipeline</w:t>
            </w:r>
          </w:p>
        </w:tc>
        <w:tc>
          <w:tcPr>
            <w:tcW w:type="dxa" w:w="1944"/>
            <w:tcMar>
              <w:top w:w="80" w:type="dxa"/>
              <w:start w:w="120" w:type="dxa"/>
              <w:bottom w:w="80" w:type="dxa"/>
              <w:end w:w="120" w:type="dxa"/>
            </w:tcMar>
            <w:vAlign w:val="center"/>
          </w:tcPr>
          <w:p>
            <w:pPr>
              <w:spacing w:after="0"/>
            </w:pPr>
            <w:r/>
            <w:r>
              <w:rPr>
                <w:rFonts w:ascii="Calibri" w:hAnsi="Calibri"/>
                <w:b w:val="0"/>
                <w:sz w:val="18"/>
              </w:rPr>
              <w:t>Demonstrated / simulated data</w:t>
            </w:r>
          </w:p>
        </w:tc>
        <w:tc>
          <w:tcPr>
            <w:tcW w:type="dxa" w:w="4680"/>
            <w:tcMar>
              <w:top w:w="80" w:type="dxa"/>
              <w:start w:w="120" w:type="dxa"/>
              <w:bottom w:w="80" w:type="dxa"/>
              <w:end w:w="120" w:type="dxa"/>
            </w:tcMar>
            <w:vAlign w:val="center"/>
          </w:tcPr>
          <w:p>
            <w:pPr>
              <w:spacing w:after="0"/>
            </w:pPr>
            <w:r/>
            <w:r>
              <w:rPr>
                <w:rFonts w:ascii="Calibri" w:hAnsi="Calibri"/>
                <w:b w:val="0"/>
                <w:sz w:val="18"/>
              </w:rPr>
              <w:t>No validated matching, fairness proof, or production ATS integration.</w:t>
            </w:r>
          </w:p>
        </w:tc>
      </w:tr>
      <w:tr>
        <w:trPr>
          <w:cantSplit/>
        </w:trPr>
        <w:tc>
          <w:tcPr>
            <w:tcW w:type="dxa" w:w="2736"/>
            <w:shd w:fill="F8FAFC"/>
            <w:tcMar>
              <w:top w:w="80" w:type="dxa"/>
              <w:start w:w="120" w:type="dxa"/>
              <w:bottom w:w="80" w:type="dxa"/>
              <w:end w:w="120" w:type="dxa"/>
            </w:tcMar>
            <w:vAlign w:val="center"/>
          </w:tcPr>
          <w:p>
            <w:pPr>
              <w:spacing w:after="0"/>
            </w:pPr>
            <w:r/>
            <w:r>
              <w:rPr>
                <w:rFonts w:ascii="Calibri" w:hAnsi="Calibri"/>
                <w:b w:val="0"/>
                <w:sz w:val="18"/>
              </w:rPr>
              <w:t>University readiness and curriculum workflows</w:t>
            </w:r>
          </w:p>
        </w:tc>
        <w:tc>
          <w:tcPr>
            <w:tcW w:type="dxa" w:w="1944"/>
            <w:shd w:fill="F8FAFC"/>
            <w:tcMar>
              <w:top w:w="80" w:type="dxa"/>
              <w:start w:w="120" w:type="dxa"/>
              <w:bottom w:w="80" w:type="dxa"/>
              <w:end w:w="120" w:type="dxa"/>
            </w:tcMar>
            <w:vAlign w:val="center"/>
          </w:tcPr>
          <w:p>
            <w:pPr>
              <w:spacing w:after="0"/>
            </w:pPr>
            <w:r/>
            <w:r>
              <w:rPr>
                <w:rFonts w:ascii="Calibri" w:hAnsi="Calibri"/>
                <w:b w:val="0"/>
                <w:sz w:val="18"/>
              </w:rPr>
              <w:t>Demonstrated / simulated data</w:t>
            </w:r>
          </w:p>
        </w:tc>
        <w:tc>
          <w:tcPr>
            <w:tcW w:type="dxa" w:w="4680"/>
            <w:shd w:fill="F8FAFC"/>
            <w:tcMar>
              <w:top w:w="80" w:type="dxa"/>
              <w:start w:w="120" w:type="dxa"/>
              <w:bottom w:w="80" w:type="dxa"/>
              <w:end w:w="120" w:type="dxa"/>
            </w:tcMar>
            <w:vAlign w:val="center"/>
          </w:tcPr>
          <w:p>
            <w:pPr>
              <w:spacing w:after="0"/>
            </w:pPr>
            <w:r/>
            <w:r>
              <w:rPr>
                <w:rFonts w:ascii="Calibri" w:hAnsi="Calibri"/>
                <w:b w:val="0"/>
                <w:sz w:val="18"/>
              </w:rPr>
              <w:t>Signals, scores, and impact values are illustrative.</w:t>
            </w:r>
          </w:p>
        </w:tc>
      </w:tr>
      <w:tr>
        <w:trPr>
          <w:cantSplit/>
        </w:trPr>
        <w:tc>
          <w:tcPr>
            <w:tcW w:type="dxa" w:w="2736"/>
            <w:tcMar>
              <w:top w:w="80" w:type="dxa"/>
              <w:start w:w="120" w:type="dxa"/>
              <w:bottom w:w="80" w:type="dxa"/>
              <w:end w:w="120" w:type="dxa"/>
            </w:tcMar>
            <w:vAlign w:val="center"/>
          </w:tcPr>
          <w:p>
            <w:pPr>
              <w:spacing w:after="0"/>
            </w:pPr>
            <w:r/>
            <w:r>
              <w:rPr>
                <w:rFonts w:ascii="Calibri" w:hAnsi="Calibri"/>
                <w:b w:val="0"/>
                <w:sz w:val="18"/>
              </w:rPr>
              <w:t>Accreditation and AI Office</w:t>
            </w:r>
          </w:p>
        </w:tc>
        <w:tc>
          <w:tcPr>
            <w:tcW w:type="dxa" w:w="1944"/>
            <w:tcMar>
              <w:top w:w="80" w:type="dxa"/>
              <w:start w:w="120" w:type="dxa"/>
              <w:bottom w:w="80" w:type="dxa"/>
              <w:end w:w="120" w:type="dxa"/>
            </w:tcMar>
            <w:vAlign w:val="center"/>
          </w:tcPr>
          <w:p>
            <w:pPr>
              <w:spacing w:after="0"/>
            </w:pPr>
            <w:r/>
            <w:r>
              <w:rPr>
                <w:rFonts w:ascii="Calibri" w:hAnsi="Calibri"/>
                <w:b w:val="0"/>
                <w:sz w:val="18"/>
              </w:rPr>
              <w:t>Demonstrated interaction model</w:t>
            </w:r>
          </w:p>
        </w:tc>
        <w:tc>
          <w:tcPr>
            <w:tcW w:type="dxa" w:w="4680"/>
            <w:tcMar>
              <w:top w:w="80" w:type="dxa"/>
              <w:start w:w="120" w:type="dxa"/>
              <w:bottom w:w="80" w:type="dxa"/>
              <w:end w:w="120" w:type="dxa"/>
            </w:tcMar>
            <w:vAlign w:val="center"/>
          </w:tcPr>
          <w:p>
            <w:pPr>
              <w:spacing w:after="0"/>
            </w:pPr>
            <w:r/>
            <w:r>
              <w:rPr>
                <w:rFonts w:ascii="Calibri" w:hAnsi="Calibri"/>
                <w:b w:val="0"/>
                <w:sz w:val="18"/>
              </w:rPr>
              <w:t>Formal integrations, autonomous action, and production governance are future.</w:t>
            </w:r>
          </w:p>
        </w:tc>
      </w:tr>
      <w:tr>
        <w:trPr>
          <w:cantSplit/>
        </w:trPr>
        <w:tc>
          <w:tcPr>
            <w:tcW w:type="dxa" w:w="2736"/>
            <w:shd w:fill="F8FAFC"/>
            <w:tcMar>
              <w:top w:w="80" w:type="dxa"/>
              <w:start w:w="120" w:type="dxa"/>
              <w:bottom w:w="80" w:type="dxa"/>
              <w:end w:w="120" w:type="dxa"/>
            </w:tcMar>
            <w:vAlign w:val="center"/>
          </w:tcPr>
          <w:p>
            <w:pPr>
              <w:spacing w:after="0"/>
            </w:pPr>
            <w:r/>
            <w:r>
              <w:rPr>
                <w:rFonts w:ascii="Calibri" w:hAnsi="Calibri"/>
                <w:b w:val="0"/>
                <w:sz w:val="18"/>
              </w:rPr>
              <w:t>Cross-workspace network</w:t>
            </w:r>
          </w:p>
        </w:tc>
        <w:tc>
          <w:tcPr>
            <w:tcW w:type="dxa" w:w="1944"/>
            <w:shd w:fill="F8FAFC"/>
            <w:tcMar>
              <w:top w:w="80" w:type="dxa"/>
              <w:start w:w="120" w:type="dxa"/>
              <w:bottom w:w="80" w:type="dxa"/>
              <w:end w:w="120" w:type="dxa"/>
            </w:tcMar>
            <w:vAlign w:val="center"/>
          </w:tcPr>
          <w:p>
            <w:pPr>
              <w:spacing w:after="0"/>
            </w:pPr>
            <w:r/>
            <w:r>
              <w:rPr>
                <w:rFonts w:ascii="Calibri" w:hAnsi="Calibri"/>
                <w:b w:val="0"/>
                <w:sz w:val="18"/>
              </w:rPr>
              <w:t>Partial concept proof</w:t>
            </w:r>
          </w:p>
        </w:tc>
        <w:tc>
          <w:tcPr>
            <w:tcW w:type="dxa" w:w="4680"/>
            <w:shd w:fill="F8FAFC"/>
            <w:tcMar>
              <w:top w:w="80" w:type="dxa"/>
              <w:start w:w="120" w:type="dxa"/>
              <w:bottom w:w="80" w:type="dxa"/>
              <w:end w:w="120" w:type="dxa"/>
            </w:tcMar>
            <w:vAlign w:val="center"/>
          </w:tcPr>
          <w:p>
            <w:pPr>
              <w:spacing w:after="0"/>
            </w:pPr>
            <w:r/>
            <w:r>
              <w:rPr>
                <w:rFonts w:ascii="Calibri" w:hAnsi="Calibri"/>
                <w:b w:val="0"/>
                <w:sz w:val="18"/>
              </w:rPr>
              <w:t>Selected stores and handoffs exist; live shared intelligence does not.</w:t>
            </w:r>
          </w:p>
        </w:tc>
      </w:tr>
    </w:tbl>
    <w:p>
      <w:pPr>
        <w:spacing w:after="20"/>
      </w:pPr>
    </w:p>
    <w:p>
      <w:pPr>
        <w:pStyle w:val="Heading2"/>
      </w:pPr>
      <w:r>
        <w:t>9.1 Claims removed or corrected from Round 1</w:t>
      </w:r>
    </w:p>
    <w:p>
      <w:pPr>
        <w:pStyle w:val="ListBullet"/>
        <w:spacing w:after="80"/>
        <w:ind w:left="720" w:hanging="360"/>
      </w:pPr>
      <w:r>
        <w:t>Removed unsupported market-size and prevalence statistics.</w:t>
      </w:r>
    </w:p>
    <w:p>
      <w:pPr>
        <w:pStyle w:val="ListBullet"/>
        <w:spacing w:after="80"/>
        <w:ind w:left="720" w:hanging="360"/>
      </w:pPr>
      <w:r>
        <w:t>Replaced “verified evidence” with evidence-oriented or verification-model language.</w:t>
      </w:r>
    </w:p>
    <w:p>
      <w:pPr>
        <w:pStyle w:val="ListBullet"/>
        <w:spacing w:after="80"/>
        <w:ind w:left="720" w:hanging="360"/>
      </w:pPr>
      <w:r>
        <w:t>Removed the claim that Google ADK multi-agent orchestration is fully implemented across the product.</w:t>
      </w:r>
    </w:p>
    <w:p>
      <w:pPr>
        <w:pStyle w:val="ListBullet"/>
        <w:spacing w:after="80"/>
        <w:ind w:left="720" w:hanging="360"/>
      </w:pPr>
      <w:r>
        <w:t>Removed production Cloud Run, Cloud SQL, OAuth, SIS/LMS/ATS, and labour-market integration claims.</w:t>
      </w:r>
    </w:p>
    <w:p>
      <w:pPr>
        <w:pStyle w:val="ListBullet"/>
        <w:spacing w:after="80"/>
        <w:ind w:left="720" w:hanging="360"/>
      </w:pPr>
      <w:r>
        <w:t>Replaced predictive accuracy and measured-impact language with designed mechanisms and pilot metrics.</w:t>
      </w:r>
    </w:p>
    <w:p>
      <w:pPr>
        <w:pStyle w:val="ListBullet"/>
        <w:spacing w:after="80"/>
        <w:ind w:left="720" w:hanging="360"/>
      </w:pPr>
      <w:r>
        <w:t>Reframed competitive uniqueness and business-model claims as hypotheses requiring validation.</w:t>
      </w:r>
    </w:p>
    <w:p>
      <w:pPr>
        <w:pStyle w:val="Heading1"/>
      </w:pPr>
      <w:r>
        <w:t>10. Technical Architecture</w:t>
      </w:r>
    </w:p>
    <w:p>
      <w:pPr>
        <w:pStyle w:val="Heading2"/>
      </w:pPr>
      <w:r>
        <w:t>10.1 Frontend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shd w:fill="102A43"/>
            <w:tcMar>
              <w:top w:w="80" w:type="dxa"/>
              <w:start w:w="120" w:type="dxa"/>
              <w:bottom w:w="80" w:type="dxa"/>
              <w:end w:w="120" w:type="dxa"/>
            </w:tcMar>
            <w:vAlign w:val="center"/>
          </w:tcPr>
          <w:p>
            <w:pPr>
              <w:spacing w:after="0"/>
            </w:pPr>
            <w:r/>
            <w:r>
              <w:rPr>
                <w:rFonts w:ascii="Calibri" w:hAnsi="Calibri"/>
                <w:b/>
                <w:color w:val="FFFFFF"/>
                <w:sz w:val="18"/>
              </w:rPr>
              <w:t>Layer</w:t>
            </w:r>
          </w:p>
        </w:tc>
        <w:tc>
          <w:tcPr>
            <w:tcW w:type="dxa" w:w="7056"/>
            <w:shd w:fill="102A43"/>
            <w:tcMar>
              <w:top w:w="80" w:type="dxa"/>
              <w:start w:w="120" w:type="dxa"/>
              <w:bottom w:w="80" w:type="dxa"/>
              <w:end w:w="120" w:type="dxa"/>
            </w:tcMar>
            <w:vAlign w:val="center"/>
          </w:tcPr>
          <w:p>
            <w:pPr>
              <w:spacing w:after="0"/>
            </w:pPr>
            <w:r/>
            <w:r>
              <w:rPr>
                <w:rFonts w:ascii="Calibri" w:hAnsi="Calibri"/>
                <w:b/>
                <w:color w:val="FFFFFF"/>
                <w:sz w:val="18"/>
              </w:rPr>
              <w:t>Current implementation</w:t>
            </w:r>
          </w:p>
        </w:tc>
      </w:tr>
      <w:tr>
        <w:trPr>
          <w:cantSplit/>
        </w:trPr>
        <w:tc>
          <w:tcPr>
            <w:tcW w:type="dxa" w:w="2304"/>
            <w:tcMar>
              <w:top w:w="80" w:type="dxa"/>
              <w:start w:w="120" w:type="dxa"/>
              <w:bottom w:w="80" w:type="dxa"/>
              <w:end w:w="120" w:type="dxa"/>
            </w:tcMar>
            <w:vAlign w:val="center"/>
          </w:tcPr>
          <w:p>
            <w:pPr>
              <w:spacing w:after="0"/>
            </w:pPr>
            <w:r/>
            <w:r>
              <w:rPr>
                <w:rFonts w:ascii="Calibri" w:hAnsi="Calibri"/>
                <w:b w:val="0"/>
                <w:sz w:val="18"/>
              </w:rPr>
              <w:t>Framework</w:t>
            </w:r>
          </w:p>
        </w:tc>
        <w:tc>
          <w:tcPr>
            <w:tcW w:type="dxa" w:w="7056"/>
            <w:tcMar>
              <w:top w:w="80" w:type="dxa"/>
              <w:start w:w="120" w:type="dxa"/>
              <w:bottom w:w="80" w:type="dxa"/>
              <w:end w:w="120" w:type="dxa"/>
            </w:tcMar>
            <w:vAlign w:val="center"/>
          </w:tcPr>
          <w:p>
            <w:pPr>
              <w:spacing w:after="0"/>
            </w:pPr>
            <w:r/>
            <w:r>
              <w:rPr>
                <w:rFonts w:ascii="Calibri" w:hAnsi="Calibri"/>
                <w:b w:val="0"/>
                <w:sz w:val="18"/>
              </w:rPr>
              <w:t>React 19 with Vite 5.</w:t>
            </w:r>
          </w:p>
        </w:tc>
      </w:tr>
      <w:tr>
        <w:trPr>
          <w:cantSplit/>
        </w:trPr>
        <w:tc>
          <w:tcPr>
            <w:tcW w:type="dxa" w:w="2304"/>
            <w:shd w:fill="F8FAFC"/>
            <w:tcMar>
              <w:top w:w="80" w:type="dxa"/>
              <w:start w:w="120" w:type="dxa"/>
              <w:bottom w:w="80" w:type="dxa"/>
              <w:end w:w="120" w:type="dxa"/>
            </w:tcMar>
            <w:vAlign w:val="center"/>
          </w:tcPr>
          <w:p>
            <w:pPr>
              <w:spacing w:after="0"/>
            </w:pPr>
            <w:r/>
            <w:r>
              <w:rPr>
                <w:rFonts w:ascii="Calibri" w:hAnsi="Calibri"/>
                <w:b w:val="0"/>
                <w:sz w:val="18"/>
              </w:rPr>
              <w:t>Routing</w:t>
            </w:r>
          </w:p>
        </w:tc>
        <w:tc>
          <w:tcPr>
            <w:tcW w:type="dxa" w:w="7056"/>
            <w:shd w:fill="F8FAFC"/>
            <w:tcMar>
              <w:top w:w="80" w:type="dxa"/>
              <w:start w:w="120" w:type="dxa"/>
              <w:bottom w:w="80" w:type="dxa"/>
              <w:end w:w="120" w:type="dxa"/>
            </w:tcMar>
            <w:vAlign w:val="center"/>
          </w:tcPr>
          <w:p>
            <w:pPr>
              <w:spacing w:after="0"/>
            </w:pPr>
            <w:r/>
            <w:r>
              <w:rPr>
                <w:rFonts w:ascii="Calibri" w:hAnsi="Calibri"/>
                <w:b w:val="0"/>
                <w:sz w:val="18"/>
              </w:rPr>
              <w:t>React Router with role-protected Student, Employer, and University routes.</w:t>
            </w:r>
          </w:p>
        </w:tc>
      </w:tr>
      <w:tr>
        <w:trPr>
          <w:cantSplit/>
        </w:trPr>
        <w:tc>
          <w:tcPr>
            <w:tcW w:type="dxa" w:w="2304"/>
            <w:tcMar>
              <w:top w:w="80" w:type="dxa"/>
              <w:start w:w="120" w:type="dxa"/>
              <w:bottom w:w="80" w:type="dxa"/>
              <w:end w:w="120" w:type="dxa"/>
            </w:tcMar>
            <w:vAlign w:val="center"/>
          </w:tcPr>
          <w:p>
            <w:pPr>
              <w:spacing w:after="0"/>
            </w:pPr>
            <w:r/>
            <w:r>
              <w:rPr>
                <w:rFonts w:ascii="Calibri" w:hAnsi="Calibri"/>
                <w:b w:val="0"/>
                <w:sz w:val="18"/>
              </w:rPr>
              <w:t>Styling</w:t>
            </w:r>
          </w:p>
        </w:tc>
        <w:tc>
          <w:tcPr>
            <w:tcW w:type="dxa" w:w="7056"/>
            <w:tcMar>
              <w:top w:w="80" w:type="dxa"/>
              <w:start w:w="120" w:type="dxa"/>
              <w:bottom w:w="80" w:type="dxa"/>
              <w:end w:w="120" w:type="dxa"/>
            </w:tcMar>
            <w:vAlign w:val="center"/>
          </w:tcPr>
          <w:p>
            <w:pPr>
              <w:spacing w:after="0"/>
            </w:pPr>
            <w:r/>
            <w:r>
              <w:rPr>
                <w:rFonts w:ascii="Calibri" w:hAnsi="Calibri"/>
                <w:b w:val="0"/>
                <w:sz w:val="18"/>
              </w:rPr>
              <w:t>Tailwind CSS plus application-specific styles.</w:t>
            </w:r>
          </w:p>
        </w:tc>
      </w:tr>
      <w:tr>
        <w:trPr>
          <w:cantSplit/>
        </w:trPr>
        <w:tc>
          <w:tcPr>
            <w:tcW w:type="dxa" w:w="2304"/>
            <w:shd w:fill="F8FAFC"/>
            <w:tcMar>
              <w:top w:w="80" w:type="dxa"/>
              <w:start w:w="120" w:type="dxa"/>
              <w:bottom w:w="80" w:type="dxa"/>
              <w:end w:w="120" w:type="dxa"/>
            </w:tcMar>
            <w:vAlign w:val="center"/>
          </w:tcPr>
          <w:p>
            <w:pPr>
              <w:spacing w:after="0"/>
            </w:pPr>
            <w:r/>
            <w:r>
              <w:rPr>
                <w:rFonts w:ascii="Calibri" w:hAnsi="Calibri"/>
                <w:b w:val="0"/>
                <w:sz w:val="18"/>
              </w:rPr>
              <w:t>State</w:t>
            </w:r>
          </w:p>
        </w:tc>
        <w:tc>
          <w:tcPr>
            <w:tcW w:type="dxa" w:w="7056"/>
            <w:shd w:fill="F8FAFC"/>
            <w:tcMar>
              <w:top w:w="80" w:type="dxa"/>
              <w:start w:w="120" w:type="dxa"/>
              <w:bottom w:w="80" w:type="dxa"/>
              <w:end w:w="120" w:type="dxa"/>
            </w:tcMar>
            <w:vAlign w:val="center"/>
          </w:tcPr>
          <w:p>
            <w:pPr>
              <w:spacing w:after="0"/>
            </w:pPr>
            <w:r/>
            <w:r>
              <w:rPr>
                <w:rFonts w:ascii="Calibri" w:hAnsi="Calibri"/>
                <w:b w:val="0"/>
                <w:sz w:val="18"/>
              </w:rPr>
              <w:t>Zustand stores and local component state for selected cross-page workflows.</w:t>
            </w:r>
          </w:p>
        </w:tc>
      </w:tr>
      <w:tr>
        <w:trPr>
          <w:cantSplit/>
        </w:trPr>
        <w:tc>
          <w:tcPr>
            <w:tcW w:type="dxa" w:w="2304"/>
            <w:tcMar>
              <w:top w:w="80" w:type="dxa"/>
              <w:start w:w="120" w:type="dxa"/>
              <w:bottom w:w="80" w:type="dxa"/>
              <w:end w:w="120" w:type="dxa"/>
            </w:tcMar>
            <w:vAlign w:val="center"/>
          </w:tcPr>
          <w:p>
            <w:pPr>
              <w:spacing w:after="0"/>
            </w:pPr>
            <w:r/>
            <w:r>
              <w:rPr>
                <w:rFonts w:ascii="Calibri" w:hAnsi="Calibri"/>
                <w:b w:val="0"/>
                <w:sz w:val="18"/>
              </w:rPr>
              <w:t>Visualisation</w:t>
            </w:r>
          </w:p>
        </w:tc>
        <w:tc>
          <w:tcPr>
            <w:tcW w:type="dxa" w:w="7056"/>
            <w:tcMar>
              <w:top w:w="80" w:type="dxa"/>
              <w:start w:w="120" w:type="dxa"/>
              <w:bottom w:w="80" w:type="dxa"/>
              <w:end w:w="120" w:type="dxa"/>
            </w:tcMar>
            <w:vAlign w:val="center"/>
          </w:tcPr>
          <w:p>
            <w:pPr>
              <w:spacing w:after="0"/>
            </w:pPr>
            <w:r/>
            <w:r>
              <w:rPr>
                <w:rFonts w:ascii="Calibri" w:hAnsi="Calibri"/>
                <w:b w:val="0"/>
                <w:sz w:val="18"/>
              </w:rPr>
              <w:t>React Force Graph and custom React components.</w:t>
            </w:r>
          </w:p>
        </w:tc>
      </w:tr>
      <w:tr>
        <w:trPr>
          <w:cantSplit/>
        </w:trPr>
        <w:tc>
          <w:tcPr>
            <w:tcW w:type="dxa" w:w="2304"/>
            <w:shd w:fill="F8FAFC"/>
            <w:tcMar>
              <w:top w:w="80" w:type="dxa"/>
              <w:start w:w="120" w:type="dxa"/>
              <w:bottom w:w="80" w:type="dxa"/>
              <w:end w:w="120" w:type="dxa"/>
            </w:tcMar>
            <w:vAlign w:val="center"/>
          </w:tcPr>
          <w:p>
            <w:pPr>
              <w:spacing w:after="0"/>
            </w:pPr>
            <w:r/>
            <w:r>
              <w:rPr>
                <w:rFonts w:ascii="Calibri" w:hAnsi="Calibri"/>
                <w:b w:val="0"/>
                <w:sz w:val="18"/>
              </w:rPr>
              <w:t>Icons</w:t>
            </w:r>
          </w:p>
        </w:tc>
        <w:tc>
          <w:tcPr>
            <w:tcW w:type="dxa" w:w="7056"/>
            <w:shd w:fill="F8FAFC"/>
            <w:tcMar>
              <w:top w:w="80" w:type="dxa"/>
              <w:start w:w="120" w:type="dxa"/>
              <w:bottom w:w="80" w:type="dxa"/>
              <w:end w:w="120" w:type="dxa"/>
            </w:tcMar>
            <w:vAlign w:val="center"/>
          </w:tcPr>
          <w:p>
            <w:pPr>
              <w:spacing w:after="0"/>
            </w:pPr>
            <w:r/>
            <w:r>
              <w:rPr>
                <w:rFonts w:ascii="Calibri" w:hAnsi="Calibri"/>
                <w:b w:val="0"/>
                <w:sz w:val="18"/>
              </w:rPr>
              <w:t>Lucide React.</w:t>
            </w:r>
          </w:p>
        </w:tc>
      </w:tr>
    </w:tbl>
    <w:p>
      <w:pPr>
        <w:spacing w:after="20"/>
      </w:pPr>
    </w:p>
    <w:p>
      <w:pPr>
        <w:pStyle w:val="Heading2"/>
      </w:pPr>
      <w:r>
        <w:t>10.2 Backend</w:t>
      </w:r>
    </w:p>
    <w:p>
      <w:r>
        <w:t>The repository contains a partial FastAPI and SQLAlchemy backend with candidate, employer, and user routers, database models, migrations, and utilities. Candidate-facing service code references chat, interview-session, and add-experience paths. The frontend also includes local fallbacks when a backend endpoint or environment configuration is unavailable.</w:t>
      </w:r>
    </w:p>
    <w:p>
      <w:pPr>
        <w:pStyle w:val="Heading2"/>
      </w:pPr>
      <w:r>
        <w:t>10.3 Intelligence paths</w:t>
      </w:r>
    </w:p>
    <w:p>
      <w:pPr>
        <w:pStyle w:val="ListBullet"/>
        <w:spacing w:after="80"/>
        <w:ind w:left="720" w:hanging="360"/>
      </w:pPr>
      <w:r>
        <w:t>Deterministic and mock datasets drive many recommendations, scores, summaries, and workflow states.</w:t>
      </w:r>
    </w:p>
    <w:p>
      <w:pPr>
        <w:pStyle w:val="ListBullet"/>
        <w:spacing w:after="80"/>
        <w:ind w:left="720" w:hanging="360"/>
      </w:pPr>
      <w:r>
        <w:t>Selected frontend services can call candidate chat, interview, and experience-extraction endpoints.</w:t>
      </w:r>
    </w:p>
    <w:p>
      <w:pPr>
        <w:pStyle w:val="ListBullet"/>
        <w:spacing w:after="80"/>
        <w:ind w:left="720" w:hanging="360"/>
      </w:pPr>
      <w:r>
        <w:t>The University AI Office contains an optional direct model configuration path.</w:t>
      </w:r>
    </w:p>
    <w:p>
      <w:pPr>
        <w:pStyle w:val="ListBullet"/>
        <w:spacing w:after="80"/>
        <w:ind w:left="720" w:hanging="360"/>
      </w:pPr>
      <w:r>
        <w:t>Backend agent code and sub-agent experiments exist, but they should be treated as partial technical exploration rather than a complete production orchestration layer.</w:t>
      </w:r>
    </w:p>
    <w:p>
      <w:pPr>
        <w:pStyle w:val="Heading2"/>
      </w:pPr>
      <w:r>
        <w:t>10.4 Production requirements</w:t>
      </w:r>
    </w:p>
    <w:p>
      <w:r>
        <w:t>A production release would require secure identity, role and consent enforcement, durable storage, audit logs, provenance, data minimisation, integration contracts, model evaluation, observability, deployment hardening, and institutional governance.</w:t>
      </w:r>
    </w:p>
    <w:p>
      <w:pPr>
        <w:pStyle w:val="Heading1"/>
      </w:pPr>
      <w:r>
        <w:t>11. AI, Data, and Governance</w:t>
      </w:r>
    </w:p>
    <w:p>
      <w:pPr>
        <w:pStyle w:val="Heading2"/>
      </w:pPr>
      <w:r>
        <w:t>11.1 AI product principle</w:t>
      </w:r>
    </w:p>
    <w:p>
      <w:r>
        <w:t>AI should reduce navigation, synthesise context, and prepare decisions. It should not conceal uncertainty, substitute an opaque score for evidence, or execute consequential external actions without authority.</w:t>
      </w:r>
    </w:p>
    <w:p>
      <w:pPr>
        <w:pStyle w:val="Heading2"/>
      </w:pPr>
      <w:r>
        <w:t>11.2 Human-governed interaction</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464"/>
            <w:shd w:fill="102A43"/>
            <w:tcMar>
              <w:top w:w="80" w:type="dxa"/>
              <w:start w:w="120" w:type="dxa"/>
              <w:bottom w:w="80" w:type="dxa"/>
              <w:end w:w="120" w:type="dxa"/>
            </w:tcMar>
            <w:vAlign w:val="center"/>
          </w:tcPr>
          <w:p>
            <w:pPr>
              <w:spacing w:after="0"/>
            </w:pPr>
            <w:r/>
            <w:r>
              <w:rPr>
                <w:rFonts w:ascii="Calibri" w:hAnsi="Calibri"/>
                <w:b/>
                <w:color w:val="FFFFFF"/>
                <w:sz w:val="18"/>
              </w:rPr>
              <w:t>AI may prepare</w:t>
            </w:r>
          </w:p>
        </w:tc>
        <w:tc>
          <w:tcPr>
            <w:tcW w:type="dxa" w:w="4896"/>
            <w:shd w:fill="102A43"/>
            <w:tcMar>
              <w:top w:w="80" w:type="dxa"/>
              <w:start w:w="120" w:type="dxa"/>
              <w:bottom w:w="80" w:type="dxa"/>
              <w:end w:w="120" w:type="dxa"/>
            </w:tcMar>
            <w:vAlign w:val="center"/>
          </w:tcPr>
          <w:p>
            <w:pPr>
              <w:spacing w:after="0"/>
            </w:pPr>
            <w:r/>
            <w:r>
              <w:rPr>
                <w:rFonts w:ascii="Calibri" w:hAnsi="Calibri"/>
                <w:b/>
                <w:color w:val="FFFFFF"/>
                <w:sz w:val="18"/>
              </w:rPr>
              <w:t>Humans must control</w:t>
            </w:r>
          </w:p>
        </w:tc>
      </w:tr>
      <w:tr>
        <w:trPr>
          <w:cantSplit/>
        </w:trPr>
        <w:tc>
          <w:tcPr>
            <w:tcW w:type="dxa" w:w="4464"/>
            <w:tcMar>
              <w:top w:w="80" w:type="dxa"/>
              <w:start w:w="120" w:type="dxa"/>
              <w:bottom w:w="80" w:type="dxa"/>
              <w:end w:w="120" w:type="dxa"/>
            </w:tcMar>
            <w:vAlign w:val="center"/>
          </w:tcPr>
          <w:p>
            <w:pPr>
              <w:spacing w:after="0"/>
            </w:pPr>
            <w:r/>
            <w:r>
              <w:rPr>
                <w:rFonts w:ascii="Calibri" w:hAnsi="Calibri"/>
                <w:b w:val="0"/>
                <w:sz w:val="18"/>
              </w:rPr>
              <w:t>A next-action recommendation</w:t>
            </w:r>
          </w:p>
        </w:tc>
        <w:tc>
          <w:tcPr>
            <w:tcW w:type="dxa" w:w="4896"/>
            <w:tcMar>
              <w:top w:w="80" w:type="dxa"/>
              <w:start w:w="120" w:type="dxa"/>
              <w:bottom w:w="80" w:type="dxa"/>
              <w:end w:w="120" w:type="dxa"/>
            </w:tcMar>
            <w:vAlign w:val="center"/>
          </w:tcPr>
          <w:p>
            <w:pPr>
              <w:spacing w:after="0"/>
            </w:pPr>
            <w:r/>
            <w:r>
              <w:rPr>
                <w:rFonts w:ascii="Calibri" w:hAnsi="Calibri"/>
                <w:b w:val="0"/>
                <w:sz w:val="18"/>
              </w:rPr>
              <w:t>Whether the student accepts or shares it.</w:t>
            </w:r>
          </w:p>
        </w:tc>
      </w:tr>
      <w:tr>
        <w:trPr>
          <w:cantSplit/>
        </w:trPr>
        <w:tc>
          <w:tcPr>
            <w:tcW w:type="dxa" w:w="4464"/>
            <w:shd w:fill="F8FAFC"/>
            <w:tcMar>
              <w:top w:w="80" w:type="dxa"/>
              <w:start w:w="120" w:type="dxa"/>
              <w:bottom w:w="80" w:type="dxa"/>
              <w:end w:w="120" w:type="dxa"/>
            </w:tcMar>
            <w:vAlign w:val="center"/>
          </w:tcPr>
          <w:p>
            <w:pPr>
              <w:spacing w:after="0"/>
            </w:pPr>
            <w:r/>
            <w:r>
              <w:rPr>
                <w:rFonts w:ascii="Calibri" w:hAnsi="Calibri"/>
                <w:b w:val="0"/>
                <w:sz w:val="18"/>
              </w:rPr>
              <w:t>Candidate fit rationale and validation questions</w:t>
            </w:r>
          </w:p>
        </w:tc>
        <w:tc>
          <w:tcPr>
            <w:tcW w:type="dxa" w:w="4896"/>
            <w:shd w:fill="F8FAFC"/>
            <w:tcMar>
              <w:top w:w="80" w:type="dxa"/>
              <w:start w:w="120" w:type="dxa"/>
              <w:bottom w:w="80" w:type="dxa"/>
              <w:end w:w="120" w:type="dxa"/>
            </w:tcMar>
            <w:vAlign w:val="center"/>
          </w:tcPr>
          <w:p>
            <w:pPr>
              <w:spacing w:after="0"/>
            </w:pPr>
            <w:r/>
            <w:r>
              <w:rPr>
                <w:rFonts w:ascii="Calibri" w:hAnsi="Calibri"/>
                <w:b w:val="0"/>
                <w:sz w:val="18"/>
              </w:rPr>
              <w:t>Shortlist, rejection, interview, and hiring decisions.</w:t>
            </w:r>
          </w:p>
        </w:tc>
      </w:tr>
      <w:tr>
        <w:trPr>
          <w:cantSplit/>
        </w:trPr>
        <w:tc>
          <w:tcPr>
            <w:tcW w:type="dxa" w:w="4464"/>
            <w:tcMar>
              <w:top w:w="80" w:type="dxa"/>
              <w:start w:w="120" w:type="dxa"/>
              <w:bottom w:w="80" w:type="dxa"/>
              <w:end w:w="120" w:type="dxa"/>
            </w:tcMar>
            <w:vAlign w:val="center"/>
          </w:tcPr>
          <w:p>
            <w:pPr>
              <w:spacing w:after="0"/>
            </w:pPr>
            <w:r/>
            <w:r>
              <w:rPr>
                <w:rFonts w:ascii="Calibri" w:hAnsi="Calibri"/>
                <w:b w:val="0"/>
                <w:sz w:val="18"/>
              </w:rPr>
              <w:t>Intervention or curriculum options</w:t>
            </w:r>
          </w:p>
        </w:tc>
        <w:tc>
          <w:tcPr>
            <w:tcW w:type="dxa" w:w="4896"/>
            <w:tcMar>
              <w:top w:w="80" w:type="dxa"/>
              <w:start w:w="120" w:type="dxa"/>
              <w:bottom w:w="80" w:type="dxa"/>
              <w:end w:w="120" w:type="dxa"/>
            </w:tcMar>
            <w:vAlign w:val="center"/>
          </w:tcPr>
          <w:p>
            <w:pPr>
              <w:spacing w:after="0"/>
            </w:pPr>
            <w:r/>
            <w:r>
              <w:rPr>
                <w:rFonts w:ascii="Calibri" w:hAnsi="Calibri"/>
                <w:b w:val="0"/>
                <w:sz w:val="18"/>
              </w:rPr>
              <w:t>Programme priorities, owners, budgets, and implementation.</w:t>
            </w:r>
          </w:p>
        </w:tc>
      </w:tr>
      <w:tr>
        <w:trPr>
          <w:cantSplit/>
        </w:trPr>
        <w:tc>
          <w:tcPr>
            <w:tcW w:type="dxa" w:w="4464"/>
            <w:shd w:fill="F8FAFC"/>
            <w:tcMar>
              <w:top w:w="80" w:type="dxa"/>
              <w:start w:w="120" w:type="dxa"/>
              <w:bottom w:w="80" w:type="dxa"/>
              <w:end w:w="120" w:type="dxa"/>
            </w:tcMar>
            <w:vAlign w:val="center"/>
          </w:tcPr>
          <w:p>
            <w:pPr>
              <w:spacing w:after="0"/>
            </w:pPr>
            <w:r/>
            <w:r>
              <w:rPr>
                <w:rFonts w:ascii="Calibri" w:hAnsi="Calibri"/>
                <w:b w:val="0"/>
                <w:sz w:val="18"/>
              </w:rPr>
              <w:t>Accreditation evidence drafts</w:t>
            </w:r>
          </w:p>
        </w:tc>
        <w:tc>
          <w:tcPr>
            <w:tcW w:type="dxa" w:w="4896"/>
            <w:shd w:fill="F8FAFC"/>
            <w:tcMar>
              <w:top w:w="80" w:type="dxa"/>
              <w:start w:w="120" w:type="dxa"/>
              <w:bottom w:w="80" w:type="dxa"/>
              <w:end w:w="120" w:type="dxa"/>
            </w:tcMar>
            <w:vAlign w:val="center"/>
          </w:tcPr>
          <w:p>
            <w:pPr>
              <w:spacing w:after="0"/>
            </w:pPr>
            <w:r/>
            <w:r>
              <w:rPr>
                <w:rFonts w:ascii="Calibri" w:hAnsi="Calibri"/>
                <w:b w:val="0"/>
                <w:sz w:val="18"/>
              </w:rPr>
              <w:t>Formal claims, approval, and submission.</w:t>
            </w:r>
          </w:p>
        </w:tc>
      </w:tr>
      <w:tr>
        <w:trPr>
          <w:cantSplit/>
        </w:trPr>
        <w:tc>
          <w:tcPr>
            <w:tcW w:type="dxa" w:w="4464"/>
            <w:tcMar>
              <w:top w:w="80" w:type="dxa"/>
              <w:start w:w="120" w:type="dxa"/>
              <w:bottom w:w="80" w:type="dxa"/>
              <w:end w:w="120" w:type="dxa"/>
            </w:tcMar>
            <w:vAlign w:val="center"/>
          </w:tcPr>
          <w:p>
            <w:pPr>
              <w:spacing w:after="0"/>
            </w:pPr>
            <w:r/>
            <w:r>
              <w:rPr>
                <w:rFonts w:ascii="Calibri" w:hAnsi="Calibri"/>
                <w:b w:val="0"/>
                <w:sz w:val="18"/>
              </w:rPr>
              <w:t>Cross-department action brief</w:t>
            </w:r>
          </w:p>
        </w:tc>
        <w:tc>
          <w:tcPr>
            <w:tcW w:type="dxa" w:w="4896"/>
            <w:tcMar>
              <w:top w:w="80" w:type="dxa"/>
              <w:start w:w="120" w:type="dxa"/>
              <w:bottom w:w="80" w:type="dxa"/>
              <w:end w:w="120" w:type="dxa"/>
            </w:tcMar>
            <w:vAlign w:val="center"/>
          </w:tcPr>
          <w:p>
            <w:pPr>
              <w:spacing w:after="0"/>
            </w:pPr>
            <w:r/>
            <w:r>
              <w:rPr>
                <w:rFonts w:ascii="Calibri" w:hAnsi="Calibri"/>
                <w:b w:val="0"/>
                <w:sz w:val="18"/>
              </w:rPr>
              <w:t>Any external or consequential action.</w:t>
            </w:r>
          </w:p>
        </w:tc>
      </w:tr>
    </w:tbl>
    <w:p>
      <w:pPr>
        <w:spacing w:after="20"/>
      </w:pPr>
    </w:p>
    <w:p>
      <w:pPr>
        <w:pStyle w:val="Heading2"/>
      </w:pPr>
      <w:r>
        <w:t>11.3 Data and evidence requirements</w:t>
      </w:r>
    </w:p>
    <w:p>
      <w:pPr>
        <w:pStyle w:val="ListBullet"/>
        <w:spacing w:after="80"/>
        <w:ind w:left="720" w:hanging="360"/>
      </w:pPr>
      <w:r>
        <w:t>Student ownership, consent, correction, revocation, and visibility rules for each Career Memory item.</w:t>
      </w:r>
    </w:p>
    <w:p>
      <w:pPr>
        <w:pStyle w:val="ListBullet"/>
        <w:spacing w:after="80"/>
        <w:ind w:left="720" w:hanging="360"/>
      </w:pPr>
      <w:r>
        <w:t>Source, provenance, recency, confidence, and verification state for evidence.</w:t>
      </w:r>
    </w:p>
    <w:p>
      <w:pPr>
        <w:pStyle w:val="ListBullet"/>
        <w:spacing w:after="80"/>
        <w:ind w:left="720" w:hanging="360"/>
      </w:pPr>
      <w:r>
        <w:t>Clear separation between observed evidence, inferred recommendation, and user-entered claim.</w:t>
      </w:r>
    </w:p>
    <w:p>
      <w:pPr>
        <w:pStyle w:val="ListBullet"/>
        <w:spacing w:after="80"/>
        <w:ind w:left="720" w:hanging="360"/>
      </w:pPr>
      <w:r>
        <w:t>Role-based access, minimisation, retention, appeal, and auditability.</w:t>
      </w:r>
    </w:p>
    <w:p>
      <w:pPr>
        <w:pStyle w:val="ListBullet"/>
        <w:spacing w:after="80"/>
        <w:ind w:left="720" w:hanging="360"/>
      </w:pPr>
      <w:r>
        <w:t>Fairness and outcome validation before predictive or ranking claims.</w:t>
      </w:r>
    </w:p>
    <w:p>
      <w:pPr>
        <w:pStyle w:val="Heading1"/>
      </w:pPr>
      <w:r>
        <w:t>12. Strategic Value for Talentbank</w:t>
      </w:r>
    </w:p>
    <w:p>
      <w:r>
        <w:t>CareerOS could extend Talentbank’s relevance from individual career transactions into a longer evidence-and-action lifecycle.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shd w:fill="102A43"/>
            <w:tcMar>
              <w:top w:w="80" w:type="dxa"/>
              <w:start w:w="120" w:type="dxa"/>
              <w:bottom w:w="80" w:type="dxa"/>
              <w:end w:w="120" w:type="dxa"/>
            </w:tcMar>
            <w:vAlign w:val="center"/>
          </w:tcPr>
          <w:p>
            <w:pPr>
              <w:spacing w:after="0"/>
            </w:pPr>
            <w:r/>
            <w:r>
              <w:rPr>
                <w:rFonts w:ascii="Calibri" w:hAnsi="Calibri"/>
                <w:b/>
                <w:color w:val="FFFFFF"/>
                <w:sz w:val="18"/>
              </w:rPr>
              <w:t>Dimension</w:t>
            </w:r>
          </w:p>
        </w:tc>
        <w:tc>
          <w:tcPr>
            <w:tcW w:type="dxa" w:w="3672"/>
            <w:shd w:fill="102A43"/>
            <w:tcMar>
              <w:top w:w="80" w:type="dxa"/>
              <w:start w:w="120" w:type="dxa"/>
              <w:bottom w:w="80" w:type="dxa"/>
              <w:end w:w="120" w:type="dxa"/>
            </w:tcMar>
            <w:vAlign w:val="center"/>
          </w:tcPr>
          <w:p>
            <w:pPr>
              <w:spacing w:after="0"/>
            </w:pPr>
            <w:r/>
            <w:r>
              <w:rPr>
                <w:rFonts w:ascii="Calibri" w:hAnsi="Calibri"/>
                <w:b/>
                <w:color w:val="FFFFFF"/>
                <w:sz w:val="18"/>
              </w:rPr>
              <w:t>Potential strategic value</w:t>
            </w:r>
          </w:p>
        </w:tc>
        <w:tc>
          <w:tcPr>
            <w:tcW w:type="dxa" w:w="3888"/>
            <w:shd w:fill="102A43"/>
            <w:tcMar>
              <w:top w:w="80" w:type="dxa"/>
              <w:start w:w="120" w:type="dxa"/>
              <w:bottom w:w="80" w:type="dxa"/>
              <w:end w:w="120" w:type="dxa"/>
            </w:tcMar>
            <w:vAlign w:val="center"/>
          </w:tcPr>
          <w:p>
            <w:pPr>
              <w:spacing w:after="0"/>
            </w:pPr>
            <w:r/>
            <w:r>
              <w:rPr>
                <w:rFonts w:ascii="Calibri" w:hAnsi="Calibri"/>
                <w:b/>
                <w:color w:val="FFFFFF"/>
                <w:sz w:val="18"/>
              </w:rPr>
              <w:t>What must be validated</w:t>
            </w:r>
          </w:p>
        </w:tc>
      </w:tr>
      <w:tr>
        <w:trPr>
          <w:cantSplit/>
        </w:trPr>
        <w:tc>
          <w:tcPr>
            <w:tcW w:type="dxa" w:w="1800"/>
            <w:tcMar>
              <w:top w:w="80" w:type="dxa"/>
              <w:start w:w="120" w:type="dxa"/>
              <w:bottom w:w="80" w:type="dxa"/>
              <w:end w:w="120" w:type="dxa"/>
            </w:tcMar>
            <w:vAlign w:val="center"/>
          </w:tcPr>
          <w:p>
            <w:pPr>
              <w:spacing w:after="0"/>
            </w:pPr>
            <w:r/>
            <w:r>
              <w:rPr>
                <w:rFonts w:ascii="Calibri" w:hAnsi="Calibri"/>
                <w:b w:val="0"/>
                <w:sz w:val="18"/>
              </w:rPr>
              <w:t>Student lifecycle</w:t>
            </w:r>
          </w:p>
        </w:tc>
        <w:tc>
          <w:tcPr>
            <w:tcW w:type="dxa" w:w="3672"/>
            <w:tcMar>
              <w:top w:w="80" w:type="dxa"/>
              <w:start w:w="120" w:type="dxa"/>
              <w:bottom w:w="80" w:type="dxa"/>
              <w:end w:w="120" w:type="dxa"/>
            </w:tcMar>
            <w:vAlign w:val="center"/>
          </w:tcPr>
          <w:p>
            <w:pPr>
              <w:spacing w:after="0"/>
            </w:pPr>
            <w:r/>
            <w:r>
              <w:rPr>
                <w:rFonts w:ascii="Calibri" w:hAnsi="Calibri"/>
                <w:b w:val="0"/>
                <w:sz w:val="18"/>
              </w:rPr>
              <w:t>Engagement before, during, and after applications.</w:t>
            </w:r>
          </w:p>
        </w:tc>
        <w:tc>
          <w:tcPr>
            <w:tcW w:type="dxa" w:w="3888"/>
            <w:tcMar>
              <w:top w:w="80" w:type="dxa"/>
              <w:start w:w="120" w:type="dxa"/>
              <w:bottom w:w="80" w:type="dxa"/>
              <w:end w:w="120" w:type="dxa"/>
            </w:tcMar>
            <w:vAlign w:val="center"/>
          </w:tcPr>
          <w:p>
            <w:pPr>
              <w:spacing w:after="0"/>
            </w:pPr>
            <w:r/>
            <w:r>
              <w:rPr>
                <w:rFonts w:ascii="Calibri" w:hAnsi="Calibri"/>
                <w:b w:val="0"/>
                <w:sz w:val="18"/>
              </w:rPr>
              <w:t>Retention triggers, consent, and sustained evidence maintenance.</w:t>
            </w:r>
          </w:p>
        </w:tc>
      </w:tr>
      <w:tr>
        <w:trPr>
          <w:cantSplit/>
        </w:trPr>
        <w:tc>
          <w:tcPr>
            <w:tcW w:type="dxa" w:w="1800"/>
            <w:shd w:fill="F8FAFC"/>
            <w:tcMar>
              <w:top w:w="80" w:type="dxa"/>
              <w:start w:w="120" w:type="dxa"/>
              <w:bottom w:w="80" w:type="dxa"/>
              <w:end w:w="120" w:type="dxa"/>
            </w:tcMar>
            <w:vAlign w:val="center"/>
          </w:tcPr>
          <w:p>
            <w:pPr>
              <w:spacing w:after="0"/>
            </w:pPr>
            <w:r/>
            <w:r>
              <w:rPr>
                <w:rFonts w:ascii="Calibri" w:hAnsi="Calibri"/>
                <w:b w:val="0"/>
                <w:sz w:val="18"/>
              </w:rPr>
              <w:t>Employer offering</w:t>
            </w:r>
          </w:p>
        </w:tc>
        <w:tc>
          <w:tcPr>
            <w:tcW w:type="dxa" w:w="3672"/>
            <w:shd w:fill="F8FAFC"/>
            <w:tcMar>
              <w:top w:w="80" w:type="dxa"/>
              <w:start w:w="120" w:type="dxa"/>
              <w:bottom w:w="80" w:type="dxa"/>
              <w:end w:w="120" w:type="dxa"/>
            </w:tcMar>
            <w:vAlign w:val="center"/>
          </w:tcPr>
          <w:p>
            <w:pPr>
              <w:spacing w:after="0"/>
            </w:pPr>
            <w:r/>
            <w:r>
              <w:rPr>
                <w:rFonts w:ascii="Calibri" w:hAnsi="Calibri"/>
                <w:b w:val="0"/>
                <w:sz w:val="18"/>
              </w:rPr>
              <w:t>Discovery, warm pipeline recovery, engagement design, and reusable talent context.</w:t>
            </w:r>
          </w:p>
        </w:tc>
        <w:tc>
          <w:tcPr>
            <w:tcW w:type="dxa" w:w="3888"/>
            <w:shd w:fill="F8FAFC"/>
            <w:tcMar>
              <w:top w:w="80" w:type="dxa"/>
              <w:start w:w="120" w:type="dxa"/>
              <w:bottom w:w="80" w:type="dxa"/>
              <w:end w:w="120" w:type="dxa"/>
            </w:tcMar>
            <w:vAlign w:val="center"/>
          </w:tcPr>
          <w:p>
            <w:pPr>
              <w:spacing w:after="0"/>
            </w:pPr>
            <w:r/>
            <w:r>
              <w:rPr>
                <w:rFonts w:ascii="Calibri" w:hAnsi="Calibri"/>
                <w:b w:val="0"/>
                <w:sz w:val="18"/>
              </w:rPr>
              <w:t>Buyer urgency, trust, supply, and workflow integration.</w:t>
            </w:r>
          </w:p>
        </w:tc>
      </w:tr>
      <w:tr>
        <w:trPr>
          <w:cantSplit/>
        </w:trPr>
        <w:tc>
          <w:tcPr>
            <w:tcW w:type="dxa" w:w="1800"/>
            <w:tcMar>
              <w:top w:w="80" w:type="dxa"/>
              <w:start w:w="120" w:type="dxa"/>
              <w:bottom w:w="80" w:type="dxa"/>
              <w:end w:w="120" w:type="dxa"/>
            </w:tcMar>
            <w:vAlign w:val="center"/>
          </w:tcPr>
          <w:p>
            <w:pPr>
              <w:spacing w:after="0"/>
            </w:pPr>
            <w:r/>
            <w:r>
              <w:rPr>
                <w:rFonts w:ascii="Calibri" w:hAnsi="Calibri"/>
                <w:b w:val="0"/>
                <w:sz w:val="18"/>
              </w:rPr>
              <w:t>University offering</w:t>
            </w:r>
          </w:p>
        </w:tc>
        <w:tc>
          <w:tcPr>
            <w:tcW w:type="dxa" w:w="3672"/>
            <w:tcMar>
              <w:top w:w="80" w:type="dxa"/>
              <w:start w:w="120" w:type="dxa"/>
              <w:bottom w:w="80" w:type="dxa"/>
              <w:end w:w="120" w:type="dxa"/>
            </w:tcMar>
            <w:vAlign w:val="center"/>
          </w:tcPr>
          <w:p>
            <w:pPr>
              <w:spacing w:after="0"/>
            </w:pPr>
            <w:r/>
            <w:r>
              <w:rPr>
                <w:rFonts w:ascii="Calibri" w:hAnsi="Calibri"/>
                <w:b w:val="0"/>
                <w:sz w:val="18"/>
              </w:rPr>
              <w:t>A faculty-level employability operating layer.</w:t>
            </w:r>
          </w:p>
        </w:tc>
        <w:tc>
          <w:tcPr>
            <w:tcW w:type="dxa" w:w="3888"/>
            <w:tcMar>
              <w:top w:w="80" w:type="dxa"/>
              <w:start w:w="120" w:type="dxa"/>
              <w:bottom w:w="80" w:type="dxa"/>
              <w:end w:w="120" w:type="dxa"/>
            </w:tcMar>
            <w:vAlign w:val="center"/>
          </w:tcPr>
          <w:p>
            <w:pPr>
              <w:spacing w:after="0"/>
            </w:pPr>
            <w:r/>
            <w:r>
              <w:rPr>
                <w:rFonts w:ascii="Calibri" w:hAnsi="Calibri"/>
                <w:b w:val="0"/>
                <w:sz w:val="18"/>
              </w:rPr>
              <w:t>Budget ownership, implementation capacity, and measurable workflow value.</w:t>
            </w:r>
          </w:p>
        </w:tc>
      </w:tr>
      <w:tr>
        <w:trPr>
          <w:cantSplit/>
        </w:trPr>
        <w:tc>
          <w:tcPr>
            <w:tcW w:type="dxa" w:w="1800"/>
            <w:shd w:fill="F8FAFC"/>
            <w:tcMar>
              <w:top w:w="80" w:type="dxa"/>
              <w:start w:w="120" w:type="dxa"/>
              <w:bottom w:w="80" w:type="dxa"/>
              <w:end w:w="120" w:type="dxa"/>
            </w:tcMar>
            <w:vAlign w:val="center"/>
          </w:tcPr>
          <w:p>
            <w:pPr>
              <w:spacing w:after="0"/>
            </w:pPr>
            <w:r/>
            <w:r>
              <w:rPr>
                <w:rFonts w:ascii="Calibri" w:hAnsi="Calibri"/>
                <w:b w:val="0"/>
                <w:sz w:val="18"/>
              </w:rPr>
              <w:t>Network learning</w:t>
            </w:r>
          </w:p>
        </w:tc>
        <w:tc>
          <w:tcPr>
            <w:tcW w:type="dxa" w:w="3672"/>
            <w:shd w:fill="F8FAFC"/>
            <w:tcMar>
              <w:top w:w="80" w:type="dxa"/>
              <w:start w:w="120" w:type="dxa"/>
              <w:bottom w:w="80" w:type="dxa"/>
              <w:end w:w="120" w:type="dxa"/>
            </w:tcMar>
            <w:vAlign w:val="center"/>
          </w:tcPr>
          <w:p>
            <w:pPr>
              <w:spacing w:after="0"/>
            </w:pPr>
            <w:r/>
            <w:r>
              <w:rPr>
                <w:rFonts w:ascii="Calibri" w:hAnsi="Calibri"/>
                <w:b w:val="0"/>
                <w:sz w:val="18"/>
              </w:rPr>
              <w:t>Challenges and interventions create new evidence and relationships.</w:t>
            </w:r>
          </w:p>
        </w:tc>
        <w:tc>
          <w:tcPr>
            <w:tcW w:type="dxa" w:w="3888"/>
            <w:shd w:fill="F8FAFC"/>
            <w:tcMar>
              <w:top w:w="80" w:type="dxa"/>
              <w:start w:w="120" w:type="dxa"/>
              <w:bottom w:w="80" w:type="dxa"/>
              <w:end w:w="120" w:type="dxa"/>
            </w:tcMar>
            <w:vAlign w:val="center"/>
          </w:tcPr>
          <w:p>
            <w:pPr>
              <w:spacing w:after="0"/>
            </w:pPr>
            <w:r/>
            <w:r>
              <w:rPr>
                <w:rFonts w:ascii="Calibri" w:hAnsi="Calibri"/>
                <w:b w:val="0"/>
                <w:sz w:val="18"/>
              </w:rPr>
              <w:t>Legal rights, data-sharing boundaries, provenance, and governance.</w:t>
            </w:r>
          </w:p>
        </w:tc>
      </w:tr>
      <w:tr>
        <w:trPr>
          <w:cantSplit/>
        </w:trPr>
        <w:tc>
          <w:tcPr>
            <w:tcW w:type="dxa" w:w="1800"/>
            <w:tcMar>
              <w:top w:w="80" w:type="dxa"/>
              <w:start w:w="120" w:type="dxa"/>
              <w:bottom w:w="80" w:type="dxa"/>
              <w:end w:w="120" w:type="dxa"/>
            </w:tcMar>
            <w:vAlign w:val="center"/>
          </w:tcPr>
          <w:p>
            <w:pPr>
              <w:spacing w:after="0"/>
            </w:pPr>
            <w:r/>
            <w:r>
              <w:rPr>
                <w:rFonts w:ascii="Calibri" w:hAnsi="Calibri"/>
                <w:b w:val="0"/>
                <w:sz w:val="18"/>
              </w:rPr>
              <w:t>Defensibility</w:t>
            </w:r>
          </w:p>
        </w:tc>
        <w:tc>
          <w:tcPr>
            <w:tcW w:type="dxa" w:w="3672"/>
            <w:tcMar>
              <w:top w:w="80" w:type="dxa"/>
              <w:start w:w="120" w:type="dxa"/>
              <w:bottom w:w="80" w:type="dxa"/>
              <w:end w:w="120" w:type="dxa"/>
            </w:tcMar>
            <w:vAlign w:val="center"/>
          </w:tcPr>
          <w:p>
            <w:pPr>
              <w:spacing w:after="0"/>
            </w:pPr>
            <w:r/>
            <w:r>
              <w:rPr>
                <w:rFonts w:ascii="Calibri" w:hAnsi="Calibri"/>
                <w:b w:val="0"/>
                <w:sz w:val="18"/>
              </w:rPr>
              <w:t>Longitudinal context and operational history may become harder to replicate.</w:t>
            </w:r>
          </w:p>
        </w:tc>
        <w:tc>
          <w:tcPr>
            <w:tcW w:type="dxa" w:w="3888"/>
            <w:tcMar>
              <w:top w:w="80" w:type="dxa"/>
              <w:start w:w="120" w:type="dxa"/>
              <w:bottom w:w="80" w:type="dxa"/>
              <w:end w:w="120" w:type="dxa"/>
            </w:tcMar>
            <w:vAlign w:val="center"/>
          </w:tcPr>
          <w:p>
            <w:pPr>
              <w:spacing w:after="0"/>
            </w:pPr>
            <w:r/>
            <w:r>
              <w:rPr>
                <w:rFonts w:ascii="Calibri" w:hAnsi="Calibri"/>
                <w:b w:val="0"/>
                <w:sz w:val="18"/>
              </w:rPr>
              <w:t>Real adoption, permissioned data, outcomes, and distribution.</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EEF4FA"/>
            <w:tcMar>
              <w:top w:w="140" w:type="dxa"/>
              <w:start w:w="180" w:type="dxa"/>
              <w:bottom w:w="140" w:type="dxa"/>
              <w:end w:w="180" w:type="dxa"/>
            </w:tcMar>
          </w:tcPr>
          <w:p>
            <w:pPr>
              <w:spacing w:after="0"/>
            </w:pPr>
            <w:r/>
            <w:r>
              <w:rPr>
                <w:b/>
                <w:color w:val="2E74B5"/>
              </w:rPr>
              <w:t xml:space="preserve">Strategic boundary  </w:t>
            </w:r>
            <w:r>
              <w:t>The repository does not prove Talentbank partnerships, proprietary data access, customer demand, or the right to combine student, employer, and university records. Strategic fit is a hypothesis for leadership validation.</w:t>
            </w:r>
          </w:p>
        </w:tc>
      </w:tr>
    </w:tbl>
    <w:p>
      <w:pPr>
        <w:spacing w:after="20"/>
      </w:pPr>
    </w:p>
    <w:p>
      <w:pPr>
        <w:pStyle w:val="Heading1"/>
      </w:pPr>
      <w:r>
        <w:t>13. Pilot and Validation Plan</w:t>
      </w:r>
    </w:p>
    <w:p>
      <w:pPr>
        <w:pStyle w:val="Heading2"/>
      </w:pPr>
      <w:r>
        <w:t>13.1 Pilot sequence</w:t>
      </w:r>
    </w:p>
    <w:p>
      <w:pPr>
        <w:pStyle w:val="ListNumber"/>
        <w:spacing w:after="80"/>
        <w:ind w:left="720" w:hanging="360"/>
      </w:pPr>
      <w:r>
        <w:t>Select one faculty, cohort, and employability owner.</w:t>
      </w:r>
    </w:p>
    <w:p>
      <w:pPr>
        <w:pStyle w:val="ListNumber"/>
        <w:spacing w:after="80"/>
        <w:ind w:left="720" w:hanging="360"/>
      </w:pPr>
      <w:r>
        <w:t>Agree on two safe, actionable capability gaps.</w:t>
      </w:r>
    </w:p>
    <w:p>
      <w:pPr>
        <w:pStyle w:val="ListNumber"/>
        <w:spacing w:after="80"/>
        <w:ind w:left="720" w:hanging="360"/>
      </w:pPr>
      <w:r>
        <w:t>Import a minimum controlled cohort dataset with explicit consent and manual verification.</w:t>
      </w:r>
    </w:p>
    <w:p>
      <w:pPr>
        <w:pStyle w:val="ListNumber"/>
        <w:spacing w:after="80"/>
        <w:ind w:left="720" w:hanging="360"/>
      </w:pPr>
      <w:r>
        <w:t>Run one or two employer-backed interventions.</w:t>
      </w:r>
    </w:p>
    <w:p>
      <w:pPr>
        <w:pStyle w:val="ListNumber"/>
        <w:spacing w:after="80"/>
        <w:ind w:left="720" w:hanging="360"/>
      </w:pPr>
      <w:r>
        <w:t>Capture student participation and evidence updates.</w:t>
      </w:r>
    </w:p>
    <w:p>
      <w:pPr>
        <w:pStyle w:val="ListNumber"/>
        <w:spacing w:after="80"/>
        <w:ind w:left="720" w:hanging="360"/>
      </w:pPr>
      <w:r>
        <w:t>Review employer validation and warm-pipeline usefulness.</w:t>
      </w:r>
    </w:p>
    <w:p>
      <w:pPr>
        <w:pStyle w:val="ListNumber"/>
        <w:spacing w:after="80"/>
        <w:ind w:left="720" w:hanging="360"/>
      </w:pPr>
      <w:r>
        <w:t>Produce one faculty action and evidence summary.</w:t>
      </w:r>
    </w:p>
    <w:p>
      <w:pPr>
        <w:pStyle w:val="ListNumber"/>
        <w:spacing w:after="80"/>
        <w:ind w:left="720" w:hanging="360"/>
      </w:pPr>
      <w:r>
        <w:t>Conduct governance, fairness, and user-trust review before expansion.</w:t>
      </w:r>
    </w:p>
    <w:p>
      <w:pPr>
        <w:pStyle w:val="Heading2"/>
      </w:pPr>
      <w:r>
        <w:t>13.2 Metrics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944"/>
            <w:shd w:fill="102A43"/>
            <w:tcMar>
              <w:top w:w="80" w:type="dxa"/>
              <w:start w:w="120" w:type="dxa"/>
              <w:bottom w:w="80" w:type="dxa"/>
              <w:end w:w="120" w:type="dxa"/>
            </w:tcMar>
            <w:vAlign w:val="center"/>
          </w:tcPr>
          <w:p>
            <w:pPr>
              <w:spacing w:after="0"/>
            </w:pPr>
            <w:r/>
            <w:r>
              <w:rPr>
                <w:rFonts w:ascii="Calibri" w:hAnsi="Calibri"/>
                <w:b/>
                <w:color w:val="FFFFFF"/>
                <w:sz w:val="18"/>
              </w:rPr>
              <w:t>Area</w:t>
            </w:r>
          </w:p>
        </w:tc>
        <w:tc>
          <w:tcPr>
            <w:tcW w:type="dxa" w:w="7416"/>
            <w:shd w:fill="102A43"/>
            <w:tcMar>
              <w:top w:w="80" w:type="dxa"/>
              <w:start w:w="120" w:type="dxa"/>
              <w:bottom w:w="80" w:type="dxa"/>
              <w:end w:w="120" w:type="dxa"/>
            </w:tcMar>
            <w:vAlign w:val="center"/>
          </w:tcPr>
          <w:p>
            <w:pPr>
              <w:spacing w:after="0"/>
            </w:pPr>
            <w:r/>
            <w:r>
              <w:rPr>
                <w:rFonts w:ascii="Calibri" w:hAnsi="Calibri"/>
                <w:b/>
                <w:color w:val="FFFFFF"/>
                <w:sz w:val="18"/>
              </w:rPr>
              <w:t>Pilot metric</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sz w:val="18"/>
              </w:rPr>
              <w:t>Activation</w:t>
            </w:r>
          </w:p>
        </w:tc>
        <w:tc>
          <w:tcPr>
            <w:tcW w:type="dxa" w:w="7416"/>
            <w:tcMar>
              <w:top w:w="80" w:type="dxa"/>
              <w:start w:w="120" w:type="dxa"/>
              <w:bottom w:w="80" w:type="dxa"/>
              <w:end w:w="120" w:type="dxa"/>
            </w:tcMar>
            <w:vAlign w:val="center"/>
          </w:tcPr>
          <w:p>
            <w:pPr>
              <w:spacing w:after="0"/>
            </w:pPr>
            <w:r/>
            <w:r>
              <w:rPr>
                <w:rFonts w:ascii="Calibri" w:hAnsi="Calibri"/>
                <w:b w:val="0"/>
                <w:sz w:val="18"/>
              </w:rPr>
              <w:t>Eligible-student activation and Career Memory evidence completion.</w:t>
            </w:r>
          </w:p>
        </w:tc>
      </w:tr>
      <w:tr>
        <w:trPr>
          <w:cantSplit/>
        </w:trPr>
        <w:tc>
          <w:tcPr>
            <w:tcW w:type="dxa" w:w="1944"/>
            <w:shd w:fill="F8FAFC"/>
            <w:tcMar>
              <w:top w:w="80" w:type="dxa"/>
              <w:start w:w="120" w:type="dxa"/>
              <w:bottom w:w="80" w:type="dxa"/>
              <w:end w:w="120" w:type="dxa"/>
            </w:tcMar>
            <w:vAlign w:val="center"/>
          </w:tcPr>
          <w:p>
            <w:pPr>
              <w:spacing w:after="0"/>
            </w:pPr>
            <w:r/>
            <w:r>
              <w:rPr>
                <w:rFonts w:ascii="Calibri" w:hAnsi="Calibri"/>
                <w:b w:val="0"/>
                <w:sz w:val="18"/>
              </w:rPr>
              <w:t>Action</w:t>
            </w:r>
          </w:p>
        </w:tc>
        <w:tc>
          <w:tcPr>
            <w:tcW w:type="dxa" w:w="7416"/>
            <w:shd w:fill="F8FAFC"/>
            <w:tcMar>
              <w:top w:w="80" w:type="dxa"/>
              <w:start w:w="120" w:type="dxa"/>
              <w:bottom w:w="80" w:type="dxa"/>
              <w:end w:w="120" w:type="dxa"/>
            </w:tcMar>
            <w:vAlign w:val="center"/>
          </w:tcPr>
          <w:p>
            <w:pPr>
              <w:spacing w:after="0"/>
            </w:pPr>
            <w:r/>
            <w:r>
              <w:rPr>
                <w:rFonts w:ascii="Calibri" w:hAnsi="Calibri"/>
                <w:b w:val="0"/>
                <w:sz w:val="18"/>
              </w:rPr>
              <w:t>Intervention uptake, completion, and time from gap detection to action.</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sz w:val="18"/>
              </w:rPr>
              <w:t>Employer</w:t>
            </w:r>
          </w:p>
        </w:tc>
        <w:tc>
          <w:tcPr>
            <w:tcW w:type="dxa" w:w="7416"/>
            <w:tcMar>
              <w:top w:w="80" w:type="dxa"/>
              <w:start w:w="120" w:type="dxa"/>
              <w:bottom w:w="80" w:type="dxa"/>
              <w:end w:w="120" w:type="dxa"/>
            </w:tcMar>
            <w:vAlign w:val="center"/>
          </w:tcPr>
          <w:p>
            <w:pPr>
              <w:spacing w:after="0"/>
            </w:pPr>
            <w:r/>
            <w:r>
              <w:rPr>
                <w:rFonts w:ascii="Calibri" w:hAnsi="Calibri"/>
                <w:b w:val="0"/>
                <w:sz w:val="18"/>
              </w:rPr>
              <w:t>Partner participation, qualified challenge performers, and warm-candidate follow-up.</w:t>
            </w:r>
          </w:p>
        </w:tc>
      </w:tr>
      <w:tr>
        <w:trPr>
          <w:cantSplit/>
        </w:trPr>
        <w:tc>
          <w:tcPr>
            <w:tcW w:type="dxa" w:w="1944"/>
            <w:shd w:fill="F8FAFC"/>
            <w:tcMar>
              <w:top w:w="80" w:type="dxa"/>
              <w:start w:w="120" w:type="dxa"/>
              <w:bottom w:w="80" w:type="dxa"/>
              <w:end w:w="120" w:type="dxa"/>
            </w:tcMar>
            <w:vAlign w:val="center"/>
          </w:tcPr>
          <w:p>
            <w:pPr>
              <w:spacing w:after="0"/>
            </w:pPr>
            <w:r/>
            <w:r>
              <w:rPr>
                <w:rFonts w:ascii="Calibri" w:hAnsi="Calibri"/>
                <w:b w:val="0"/>
                <w:sz w:val="18"/>
              </w:rPr>
              <w:t>University</w:t>
            </w:r>
          </w:p>
        </w:tc>
        <w:tc>
          <w:tcPr>
            <w:tcW w:type="dxa" w:w="7416"/>
            <w:shd w:fill="F8FAFC"/>
            <w:tcMar>
              <w:top w:w="80" w:type="dxa"/>
              <w:start w:w="120" w:type="dxa"/>
              <w:bottom w:w="80" w:type="dxa"/>
              <w:end w:w="120" w:type="dxa"/>
            </w:tcMar>
            <w:vAlign w:val="center"/>
          </w:tcPr>
          <w:p>
            <w:pPr>
              <w:spacing w:after="0"/>
            </w:pPr>
            <w:r/>
            <w:r>
              <w:rPr>
                <w:rFonts w:ascii="Calibri" w:hAnsi="Calibri"/>
                <w:b w:val="0"/>
                <w:sz w:val="18"/>
              </w:rPr>
              <w:t>Staff time to produce an action/evidence summary and follow-through completion.</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sz w:val="18"/>
              </w:rPr>
              <w:t>Trust</w:t>
            </w:r>
          </w:p>
        </w:tc>
        <w:tc>
          <w:tcPr>
            <w:tcW w:type="dxa" w:w="7416"/>
            <w:tcMar>
              <w:top w:w="80" w:type="dxa"/>
              <w:start w:w="120" w:type="dxa"/>
              <w:bottom w:w="80" w:type="dxa"/>
              <w:end w:w="120" w:type="dxa"/>
            </w:tcMar>
            <w:vAlign w:val="center"/>
          </w:tcPr>
          <w:p>
            <w:pPr>
              <w:spacing w:after="0"/>
            </w:pPr>
            <w:r/>
            <w:r>
              <w:rPr>
                <w:rFonts w:ascii="Calibri" w:hAnsi="Calibri"/>
                <w:b w:val="0"/>
                <w:sz w:val="18"/>
              </w:rPr>
              <w:t>Consent comprehension, evidence correction requests, user confidence, and fairness concerns.</w:t>
            </w:r>
          </w:p>
        </w:tc>
      </w:tr>
      <w:tr>
        <w:trPr>
          <w:cantSplit/>
        </w:trPr>
        <w:tc>
          <w:tcPr>
            <w:tcW w:type="dxa" w:w="1944"/>
            <w:shd w:fill="F8FAFC"/>
            <w:tcMar>
              <w:top w:w="80" w:type="dxa"/>
              <w:start w:w="120" w:type="dxa"/>
              <w:bottom w:w="80" w:type="dxa"/>
              <w:end w:w="120" w:type="dxa"/>
            </w:tcMar>
            <w:vAlign w:val="center"/>
          </w:tcPr>
          <w:p>
            <w:pPr>
              <w:spacing w:after="0"/>
            </w:pPr>
            <w:r/>
            <w:r>
              <w:rPr>
                <w:rFonts w:ascii="Calibri" w:hAnsi="Calibri"/>
                <w:b w:val="0"/>
                <w:sz w:val="18"/>
              </w:rPr>
              <w:t>Retention</w:t>
            </w:r>
          </w:p>
        </w:tc>
        <w:tc>
          <w:tcPr>
            <w:tcW w:type="dxa" w:w="7416"/>
            <w:shd w:fill="F8FAFC"/>
            <w:tcMar>
              <w:top w:w="80" w:type="dxa"/>
              <w:start w:w="120" w:type="dxa"/>
              <w:bottom w:w="80" w:type="dxa"/>
              <w:end w:w="120" w:type="dxa"/>
            </w:tcMar>
            <w:vAlign w:val="center"/>
          </w:tcPr>
          <w:p>
            <w:pPr>
              <w:spacing w:after="0"/>
            </w:pPr>
            <w:r/>
            <w:r>
              <w:rPr>
                <w:rFonts w:ascii="Calibri" w:hAnsi="Calibri"/>
                <w:b w:val="0"/>
                <w:sz w:val="18"/>
              </w:rPr>
              <w:t>Return behaviour after deadlines, practice, rejection, intervention, or new evidence.</w:t>
            </w:r>
          </w:p>
        </w:tc>
      </w:tr>
    </w:tbl>
    <w:p>
      <w:pPr>
        <w:spacing w:after="20"/>
      </w:pPr>
    </w:p>
    <w:p>
      <w:pPr>
        <w:pStyle w:val="Heading2"/>
      </w:pPr>
      <w:r>
        <w:t>13.3 Success criterion</w:t>
      </w:r>
    </w:p>
    <w:tbl>
      <w:tblPr>
        <w:tblW w:type="auto" w:w="0"/>
        <w:jc w:val="center"/>
        <w:tblLayout w:type="fixed"/>
        <w:tblLook w:firstColumn="1" w:firstRow="1" w:lastColumn="0" w:lastRow="0" w:noHBand="0" w:noVBand="1" w:val="04A0"/>
      </w:tblPr>
      <w:tblGrid>
        <w:gridCol w:w="9360"/>
      </w:tblGrid>
      <w:tr>
        <w:tc>
          <w:tcPr>
            <w:tcW w:type="dxa" w:w="9360"/>
            <w:shd w:fill="EEF4FA"/>
            <w:tcMar>
              <w:top w:w="140" w:type="dxa"/>
              <w:start w:w="180" w:type="dxa"/>
              <w:bottom w:w="140" w:type="dxa"/>
              <w:end w:w="180" w:type="dxa"/>
            </w:tcMar>
          </w:tcPr>
          <w:p>
            <w:pPr>
              <w:spacing w:after="0"/>
            </w:pPr>
            <w:r/>
            <w:r>
              <w:rPr>
                <w:b/>
                <w:color w:val="2E74B5"/>
              </w:rPr>
              <w:t xml:space="preserve">Prove the workflow before the network  </w:t>
            </w:r>
            <w:r>
              <w:t>The pilot should demonstrate that preserved evidence leads to a clearer next decision and completed action. It should not attempt to prove national-scale intelligence, predictive accuracy, or a complete marketplace.</w:t>
            </w:r>
          </w:p>
        </w:tc>
      </w:tr>
    </w:tbl>
    <w:p>
      <w:pPr>
        <w:spacing w:after="20"/>
      </w:pPr>
    </w:p>
    <w:p>
      <w:pPr>
        <w:pStyle w:val="Heading1"/>
      </w:pPr>
      <w:r>
        <w:t>14. Product Roadmap</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shd w:fill="102A43"/>
            <w:tcMar>
              <w:top w:w="80" w:type="dxa"/>
              <w:start w:w="120" w:type="dxa"/>
              <w:bottom w:w="80" w:type="dxa"/>
              <w:end w:w="120" w:type="dxa"/>
            </w:tcMar>
            <w:vAlign w:val="center"/>
          </w:tcPr>
          <w:p>
            <w:pPr>
              <w:spacing w:after="0"/>
            </w:pPr>
            <w:r/>
            <w:r>
              <w:rPr>
                <w:rFonts w:ascii="Calibri" w:hAnsi="Calibri"/>
                <w:b/>
                <w:color w:val="FFFFFF"/>
                <w:sz w:val="18"/>
              </w:rPr>
              <w:t>Stage</w:t>
            </w:r>
          </w:p>
        </w:tc>
        <w:tc>
          <w:tcPr>
            <w:tcW w:type="dxa" w:w="4536"/>
            <w:shd w:fill="102A43"/>
            <w:tcMar>
              <w:top w:w="80" w:type="dxa"/>
              <w:start w:w="120" w:type="dxa"/>
              <w:bottom w:w="80" w:type="dxa"/>
              <w:end w:w="120" w:type="dxa"/>
            </w:tcMar>
            <w:vAlign w:val="center"/>
          </w:tcPr>
          <w:p>
            <w:pPr>
              <w:spacing w:after="0"/>
            </w:pPr>
            <w:r/>
            <w:r>
              <w:rPr>
                <w:rFonts w:ascii="Calibri" w:hAnsi="Calibri"/>
                <w:b/>
                <w:color w:val="FFFFFF"/>
                <w:sz w:val="18"/>
              </w:rPr>
              <w:t>Product focus</w:t>
            </w:r>
          </w:p>
        </w:tc>
        <w:tc>
          <w:tcPr>
            <w:tcW w:type="dxa" w:w="3024"/>
            <w:shd w:fill="102A43"/>
            <w:tcMar>
              <w:top w:w="80" w:type="dxa"/>
              <w:start w:w="120" w:type="dxa"/>
              <w:bottom w:w="80" w:type="dxa"/>
              <w:end w:w="120" w:type="dxa"/>
            </w:tcMar>
            <w:vAlign w:val="center"/>
          </w:tcPr>
          <w:p>
            <w:pPr>
              <w:spacing w:after="0"/>
            </w:pPr>
            <w:r/>
            <w:r>
              <w:rPr>
                <w:rFonts w:ascii="Calibri" w:hAnsi="Calibri"/>
                <w:b/>
                <w:color w:val="FFFFFF"/>
                <w:sz w:val="18"/>
              </w:rPr>
              <w:t>Exit criteria</w:t>
            </w:r>
          </w:p>
        </w:tc>
      </w:tr>
      <w:tr>
        <w:trPr>
          <w:cantSplit/>
        </w:trPr>
        <w:tc>
          <w:tcPr>
            <w:tcW w:type="dxa" w:w="1800"/>
            <w:tcMar>
              <w:top w:w="80" w:type="dxa"/>
              <w:start w:w="120" w:type="dxa"/>
              <w:bottom w:w="80" w:type="dxa"/>
              <w:end w:w="120" w:type="dxa"/>
            </w:tcMar>
            <w:vAlign w:val="center"/>
          </w:tcPr>
          <w:p>
            <w:pPr>
              <w:spacing w:after="0"/>
            </w:pPr>
            <w:r/>
            <w:r>
              <w:rPr>
                <w:rFonts w:ascii="Calibri" w:hAnsi="Calibri"/>
                <w:b w:val="0"/>
                <w:sz w:val="18"/>
              </w:rPr>
              <w:t>Now — Round 2 prototype</w:t>
            </w:r>
          </w:p>
        </w:tc>
        <w:tc>
          <w:tcPr>
            <w:tcW w:type="dxa" w:w="4536"/>
            <w:tcMar>
              <w:top w:w="80" w:type="dxa"/>
              <w:start w:w="120" w:type="dxa"/>
              <w:bottom w:w="80" w:type="dxa"/>
              <w:end w:w="120" w:type="dxa"/>
            </w:tcMar>
            <w:vAlign w:val="center"/>
          </w:tcPr>
          <w:p>
            <w:pPr>
              <w:spacing w:after="0"/>
            </w:pPr>
            <w:r/>
            <w:r>
              <w:rPr>
                <w:rFonts w:ascii="Calibri" w:hAnsi="Calibri"/>
                <w:b w:val="0"/>
                <w:sz w:val="18"/>
              </w:rPr>
              <w:t>Stabilise three workspaces, reliable demo paths, truth labels, and selected handoffs.</w:t>
            </w:r>
          </w:p>
        </w:tc>
        <w:tc>
          <w:tcPr>
            <w:tcW w:type="dxa" w:w="3024"/>
            <w:tcMar>
              <w:top w:w="80" w:type="dxa"/>
              <w:start w:w="120" w:type="dxa"/>
              <w:bottom w:w="80" w:type="dxa"/>
              <w:end w:w="120" w:type="dxa"/>
            </w:tcMar>
            <w:vAlign w:val="center"/>
          </w:tcPr>
          <w:p>
            <w:pPr>
              <w:spacing w:after="0"/>
            </w:pPr>
            <w:r/>
            <w:r>
              <w:rPr>
                <w:rFonts w:ascii="Calibri" w:hAnsi="Calibri"/>
                <w:b w:val="0"/>
                <w:sz w:val="18"/>
              </w:rPr>
              <w:t>Consistent build, reliable flows, no unsupported claims, known fallback behaviour.</w:t>
            </w:r>
          </w:p>
        </w:tc>
      </w:tr>
      <w:tr>
        <w:trPr>
          <w:cantSplit/>
        </w:trPr>
        <w:tc>
          <w:tcPr>
            <w:tcW w:type="dxa" w:w="1800"/>
            <w:shd w:fill="F8FAFC"/>
            <w:tcMar>
              <w:top w:w="80" w:type="dxa"/>
              <w:start w:w="120" w:type="dxa"/>
              <w:bottom w:w="80" w:type="dxa"/>
              <w:end w:w="120" w:type="dxa"/>
            </w:tcMar>
            <w:vAlign w:val="center"/>
          </w:tcPr>
          <w:p>
            <w:pPr>
              <w:spacing w:after="0"/>
            </w:pPr>
            <w:r/>
            <w:r>
              <w:rPr>
                <w:rFonts w:ascii="Calibri" w:hAnsi="Calibri"/>
                <w:b w:val="0"/>
                <w:sz w:val="18"/>
              </w:rPr>
              <w:t>Pilot readiness</w:t>
            </w:r>
          </w:p>
        </w:tc>
        <w:tc>
          <w:tcPr>
            <w:tcW w:type="dxa" w:w="4536"/>
            <w:shd w:fill="F8FAFC"/>
            <w:tcMar>
              <w:top w:w="80" w:type="dxa"/>
              <w:start w:w="120" w:type="dxa"/>
              <w:bottom w:w="80" w:type="dxa"/>
              <w:end w:w="120" w:type="dxa"/>
            </w:tcMar>
            <w:vAlign w:val="center"/>
          </w:tcPr>
          <w:p>
            <w:pPr>
              <w:spacing w:after="0"/>
            </w:pPr>
            <w:r/>
            <w:r>
              <w:rPr>
                <w:rFonts w:ascii="Calibri" w:hAnsi="Calibri"/>
                <w:b w:val="0"/>
                <w:sz w:val="18"/>
              </w:rPr>
              <w:t>Consent, role access, provenance, auditability, controlled import, and pilot instrumentation.</w:t>
            </w:r>
          </w:p>
        </w:tc>
        <w:tc>
          <w:tcPr>
            <w:tcW w:type="dxa" w:w="3024"/>
            <w:shd w:fill="F8FAFC"/>
            <w:tcMar>
              <w:top w:w="80" w:type="dxa"/>
              <w:start w:w="120" w:type="dxa"/>
              <w:bottom w:w="80" w:type="dxa"/>
              <w:end w:w="120" w:type="dxa"/>
            </w:tcMar>
            <w:vAlign w:val="center"/>
          </w:tcPr>
          <w:p>
            <w:pPr>
              <w:spacing w:after="0"/>
            </w:pPr>
            <w:r/>
            <w:r>
              <w:rPr>
                <w:rFonts w:ascii="Calibri" w:hAnsi="Calibri"/>
                <w:b w:val="0"/>
                <w:sz w:val="18"/>
              </w:rPr>
              <w:t>Approved data model, governance review, pilot owner, baseline measures.</w:t>
            </w:r>
          </w:p>
        </w:tc>
      </w:tr>
      <w:tr>
        <w:trPr>
          <w:cantSplit/>
        </w:trPr>
        <w:tc>
          <w:tcPr>
            <w:tcW w:type="dxa" w:w="1800"/>
            <w:tcMar>
              <w:top w:w="80" w:type="dxa"/>
              <w:start w:w="120" w:type="dxa"/>
              <w:bottom w:w="80" w:type="dxa"/>
              <w:end w:w="120" w:type="dxa"/>
            </w:tcMar>
            <w:vAlign w:val="center"/>
          </w:tcPr>
          <w:p>
            <w:pPr>
              <w:spacing w:after="0"/>
            </w:pPr>
            <w:r/>
            <w:r>
              <w:rPr>
                <w:rFonts w:ascii="Calibri" w:hAnsi="Calibri"/>
                <w:b w:val="0"/>
                <w:sz w:val="18"/>
              </w:rPr>
              <w:t>Bounded pilot</w:t>
            </w:r>
          </w:p>
        </w:tc>
        <w:tc>
          <w:tcPr>
            <w:tcW w:type="dxa" w:w="4536"/>
            <w:tcMar>
              <w:top w:w="80" w:type="dxa"/>
              <w:start w:w="120" w:type="dxa"/>
              <w:bottom w:w="80" w:type="dxa"/>
              <w:end w:w="120" w:type="dxa"/>
            </w:tcMar>
            <w:vAlign w:val="center"/>
          </w:tcPr>
          <w:p>
            <w:pPr>
              <w:spacing w:after="0"/>
            </w:pPr>
            <w:r/>
            <w:r>
              <w:rPr>
                <w:rFonts w:ascii="Calibri" w:hAnsi="Calibri"/>
                <w:b w:val="0"/>
                <w:sz w:val="18"/>
              </w:rPr>
              <w:t>Faculty intervention loop with employer participation and student evidence.</w:t>
            </w:r>
          </w:p>
        </w:tc>
        <w:tc>
          <w:tcPr>
            <w:tcW w:type="dxa" w:w="3024"/>
            <w:tcMar>
              <w:top w:w="80" w:type="dxa"/>
              <w:start w:w="120" w:type="dxa"/>
              <w:bottom w:w="80" w:type="dxa"/>
              <w:end w:w="120" w:type="dxa"/>
            </w:tcMar>
            <w:vAlign w:val="center"/>
          </w:tcPr>
          <w:p>
            <w:pPr>
              <w:spacing w:after="0"/>
            </w:pPr>
            <w:r/>
            <w:r>
              <w:rPr>
                <w:rFonts w:ascii="Calibri" w:hAnsi="Calibri"/>
                <w:b w:val="0"/>
                <w:sz w:val="18"/>
              </w:rPr>
              <w:t>Measured activation, follow-through, staff effort, trust, and workflow usefulness.</w:t>
            </w:r>
          </w:p>
        </w:tc>
      </w:tr>
      <w:tr>
        <w:trPr>
          <w:cantSplit/>
        </w:trPr>
        <w:tc>
          <w:tcPr>
            <w:tcW w:type="dxa" w:w="1800"/>
            <w:shd w:fill="F8FAFC"/>
            <w:tcMar>
              <w:top w:w="80" w:type="dxa"/>
              <w:start w:w="120" w:type="dxa"/>
              <w:bottom w:w="80" w:type="dxa"/>
              <w:end w:w="120" w:type="dxa"/>
            </w:tcMar>
            <w:vAlign w:val="center"/>
          </w:tcPr>
          <w:p>
            <w:pPr>
              <w:spacing w:after="0"/>
            </w:pPr>
            <w:r/>
            <w:r>
              <w:rPr>
                <w:rFonts w:ascii="Calibri" w:hAnsi="Calibri"/>
                <w:b w:val="0"/>
                <w:sz w:val="18"/>
              </w:rPr>
              <w:t>Post-pilot expansion</w:t>
            </w:r>
          </w:p>
        </w:tc>
        <w:tc>
          <w:tcPr>
            <w:tcW w:type="dxa" w:w="4536"/>
            <w:shd w:fill="F8FAFC"/>
            <w:tcMar>
              <w:top w:w="80" w:type="dxa"/>
              <w:start w:w="120" w:type="dxa"/>
              <w:bottom w:w="80" w:type="dxa"/>
              <w:end w:w="120" w:type="dxa"/>
            </w:tcMar>
            <w:vAlign w:val="center"/>
          </w:tcPr>
          <w:p>
            <w:pPr>
              <w:spacing w:after="0"/>
            </w:pPr>
            <w:r/>
            <w:r>
              <w:rPr>
                <w:rFonts w:ascii="Calibri" w:hAnsi="Calibri"/>
                <w:b w:val="0"/>
                <w:sz w:val="18"/>
              </w:rPr>
              <w:t>Deeper readiness, collaboration, employer pipeline, alumni, and accreditation workflows.</w:t>
            </w:r>
          </w:p>
        </w:tc>
        <w:tc>
          <w:tcPr>
            <w:tcW w:type="dxa" w:w="3024"/>
            <w:shd w:fill="F8FAFC"/>
            <w:tcMar>
              <w:top w:w="80" w:type="dxa"/>
              <w:start w:w="120" w:type="dxa"/>
              <w:bottom w:w="80" w:type="dxa"/>
              <w:end w:w="120" w:type="dxa"/>
            </w:tcMar>
            <w:vAlign w:val="center"/>
          </w:tcPr>
          <w:p>
            <w:pPr>
              <w:spacing w:after="0"/>
            </w:pPr>
            <w:r/>
            <w:r>
              <w:rPr>
                <w:rFonts w:ascii="Calibri" w:hAnsi="Calibri"/>
                <w:b w:val="0"/>
                <w:sz w:val="18"/>
              </w:rPr>
              <w:t>Evidence that each expansion solves a paid operational problem.</w:t>
            </w:r>
          </w:p>
        </w:tc>
      </w:tr>
      <w:tr>
        <w:trPr>
          <w:cantSplit/>
        </w:trPr>
        <w:tc>
          <w:tcPr>
            <w:tcW w:type="dxa" w:w="1800"/>
            <w:tcMar>
              <w:top w:w="80" w:type="dxa"/>
              <w:start w:w="120" w:type="dxa"/>
              <w:bottom w:w="80" w:type="dxa"/>
              <w:end w:w="120" w:type="dxa"/>
            </w:tcMar>
            <w:vAlign w:val="center"/>
          </w:tcPr>
          <w:p>
            <w:pPr>
              <w:spacing w:after="0"/>
            </w:pPr>
            <w:r/>
            <w:r>
              <w:rPr>
                <w:rFonts w:ascii="Calibri" w:hAnsi="Calibri"/>
                <w:b w:val="0"/>
                <w:sz w:val="18"/>
              </w:rPr>
              <w:t>Future network</w:t>
            </w:r>
          </w:p>
        </w:tc>
        <w:tc>
          <w:tcPr>
            <w:tcW w:type="dxa" w:w="4536"/>
            <w:tcMar>
              <w:top w:w="80" w:type="dxa"/>
              <w:start w:w="120" w:type="dxa"/>
              <w:bottom w:w="80" w:type="dxa"/>
              <w:end w:w="120" w:type="dxa"/>
            </w:tcMar>
            <w:vAlign w:val="center"/>
          </w:tcPr>
          <w:p>
            <w:pPr>
              <w:spacing w:after="0"/>
            </w:pPr>
            <w:r/>
            <w:r>
              <w:rPr>
                <w:rFonts w:ascii="Calibri" w:hAnsi="Calibri"/>
                <w:b w:val="0"/>
                <w:sz w:val="18"/>
              </w:rPr>
              <w:t>Permissioned integrations and longitudinal outcome learning.</w:t>
            </w:r>
          </w:p>
        </w:tc>
        <w:tc>
          <w:tcPr>
            <w:tcW w:type="dxa" w:w="3024"/>
            <w:tcMar>
              <w:top w:w="80" w:type="dxa"/>
              <w:start w:w="120" w:type="dxa"/>
              <w:bottom w:w="80" w:type="dxa"/>
              <w:end w:w="120" w:type="dxa"/>
            </w:tcMar>
            <w:vAlign w:val="center"/>
          </w:tcPr>
          <w:p>
            <w:pPr>
              <w:spacing w:after="0"/>
            </w:pPr>
            <w:r/>
            <w:r>
              <w:rPr>
                <w:rFonts w:ascii="Calibri" w:hAnsi="Calibri"/>
                <w:b w:val="0"/>
                <w:sz w:val="18"/>
              </w:rPr>
              <w:t>Secure integration, validated models, clear governance, and demonstrated demand.</w:t>
            </w:r>
          </w:p>
        </w:tc>
      </w:tr>
    </w:tbl>
    <w:p>
      <w:pPr>
        <w:spacing w:after="20"/>
      </w:pPr>
    </w:p>
    <w:p>
      <w:pPr>
        <w:pStyle w:val="Heading2"/>
      </w:pPr>
      <w:r>
        <w:t>14.1 Priority product improvements</w:t>
      </w:r>
    </w:p>
    <w:p>
      <w:pPr>
        <w:pStyle w:val="ListBullet"/>
        <w:spacing w:after="80"/>
        <w:ind w:left="720" w:hanging="360"/>
      </w:pPr>
      <w:r>
        <w:t>Add persistent demo-data and simulated-action labels to scores, sends, exports, and agent outputs.</w:t>
      </w:r>
    </w:p>
    <w:p>
      <w:pPr>
        <w:pStyle w:val="ListBullet"/>
        <w:spacing w:after="80"/>
        <w:ind w:left="720" w:hanging="360"/>
      </w:pPr>
      <w:r>
        <w:t>Complete one challenge → Career Memory → employer profile → university outcome story.</w:t>
      </w:r>
    </w:p>
    <w:p>
      <w:pPr>
        <w:pStyle w:val="ListBullet"/>
        <w:spacing w:after="80"/>
        <w:ind w:left="720" w:hanging="360"/>
      </w:pPr>
      <w:r>
        <w:t>Add evidence provenance and recency to employer-visible context.</w:t>
      </w:r>
    </w:p>
    <w:p>
      <w:pPr>
        <w:pStyle w:val="ListBullet"/>
        <w:spacing w:after="80"/>
        <w:ind w:left="720" w:hanging="360"/>
      </w:pPr>
      <w:r>
        <w:t>Strengthen rejection-to-diagnosis and mentorship-to-Memory loops or keep them secondary.</w:t>
      </w:r>
    </w:p>
    <w:p>
      <w:pPr>
        <w:pStyle w:val="ListBullet"/>
        <w:spacing w:after="80"/>
        <w:ind w:left="720" w:hanging="360"/>
      </w:pPr>
      <w:r>
        <w:t>Make current-cohort intervention explicit on Curriculum–Market Alignment.</w:t>
      </w:r>
    </w:p>
    <w:p>
      <w:pPr>
        <w:pStyle w:val="ListBullet"/>
        <w:spacing w:after="80"/>
        <w:ind w:left="720" w:hanging="360"/>
      </w:pPr>
      <w:r>
        <w:t>Show accreditation reuse with source, period, owner, and validity.</w:t>
      </w:r>
    </w:p>
    <w:p>
      <w:pPr>
        <w:pStyle w:val="ListBullet"/>
        <w:spacing w:after="80"/>
        <w:ind w:left="720" w:hanging="360"/>
      </w:pPr>
      <w:r>
        <w:t>Clarify source, prepared action, required approval, and external effect inside the AI Office.</w:t>
      </w:r>
    </w:p>
    <w:p>
      <w:pPr>
        <w:pStyle w:val="Heading1"/>
      </w:pPr>
      <w:r>
        <w:t>15. Setup and Demo Guidance</w:t>
      </w:r>
    </w:p>
    <w:p>
      <w:pPr>
        <w:pStyle w:val="Heading2"/>
      </w:pPr>
      <w:r>
        <w:t>15.1 Frontend</w:t>
      </w:r>
    </w:p>
    <w:p>
      <w:pPr>
        <w:pStyle w:val="ListBullet"/>
        <w:spacing w:after="80"/>
        <w:ind w:left="720" w:hanging="360"/>
      </w:pPr>
      <w:r>
        <w:t>Install dependencies: npm install</w:t>
      </w:r>
    </w:p>
    <w:p>
      <w:pPr>
        <w:pStyle w:val="ListBullet"/>
        <w:spacing w:after="80"/>
        <w:ind w:left="720" w:hanging="360"/>
      </w:pPr>
      <w:r>
        <w:t>Start development: npm.cmd run dev</w:t>
      </w:r>
    </w:p>
    <w:p>
      <w:pPr>
        <w:pStyle w:val="ListBullet"/>
        <w:spacing w:after="80"/>
        <w:ind w:left="720" w:hanging="360"/>
      </w:pPr>
      <w:r>
        <w:t>Production build check: npm.cmd run build</w:t>
      </w:r>
    </w:p>
    <w:p>
      <w:pPr>
        <w:pStyle w:val="ListBullet"/>
        <w:spacing w:after="80"/>
        <w:ind w:left="720" w:hanging="360"/>
      </w:pPr>
      <w:r>
        <w:t>Open the local Vite URL and choose the intended workspace through the landing flow.</w:t>
      </w:r>
    </w:p>
    <w:p>
      <w:pPr>
        <w:pStyle w:val="Heading2"/>
      </w:pPr>
      <w:r>
        <w:t>15.2 Backend</w:t>
      </w:r>
    </w:p>
    <w:p>
      <w:r>
        <w:t>The backend is partial and environment-dependent. Configure database and model credentials locally before running FastAPI services. Demo planning should define whether the frontend uses a live endpoint or its deterministic fallback and avoid switching state during a judged walkthrough.</w:t>
      </w:r>
    </w:p>
    <w:p>
      <w:pPr>
        <w:pStyle w:val="Heading2"/>
      </w:pPr>
      <w:r>
        <w:t>15.3 Recommended stable demo</w:t>
      </w:r>
    </w:p>
    <w:p>
      <w:pPr>
        <w:pStyle w:val="ListNumber"/>
        <w:spacing w:after="80"/>
        <w:ind w:left="720" w:hanging="360"/>
      </w:pPr>
      <w:r>
        <w:t>Student: Career Memory → Career Intelligence → one preparation or opportunity action.</w:t>
      </w:r>
    </w:p>
    <w:p>
      <w:pPr>
        <w:pStyle w:val="ListNumber"/>
        <w:spacing w:after="80"/>
        <w:ind w:left="720" w:hanging="360"/>
      </w:pPr>
      <w:r>
        <w:t>Employer: evidence-aware candidate detail → targeted validation → Campus Pipeline reactivation.</w:t>
      </w:r>
    </w:p>
    <w:p>
      <w:pPr>
        <w:pStyle w:val="ListNumber"/>
        <w:spacing w:after="80"/>
        <w:ind w:left="720" w:hanging="360"/>
      </w:pPr>
      <w:r>
        <w:t>University: curriculum/readiness gap → current-cohort intervention → evidence pack / Accreditation Hub.</w:t>
      </w:r>
    </w:p>
    <w:p>
      <w:pPr>
        <w:pStyle w:val="ListNumber"/>
        <w:spacing w:after="80"/>
        <w:ind w:left="720" w:hanging="360"/>
      </w:pPr>
      <w:r>
        <w:t>AI Office close: prepared action with explicit human approval and simulated-status language.</w:t>
      </w:r>
    </w:p>
    <w:p>
      <w:pPr>
        <w:pStyle w:val="Heading2"/>
      </w:pPr>
      <w:r>
        <w:t>15.4 Avoid in the main demo</w:t>
      </w:r>
    </w:p>
    <w:p>
      <w:r>
        <w:t>Avoid placeholder settings/help routes, legacy aliases, unsupported exports, unconfigured backend calls, generic metrics without provenance, and any interaction that implies a live external send or production integration.</w:t>
      </w:r>
    </w:p>
    <w:p>
      <w:pPr>
        <w:pStyle w:val="Heading1"/>
      </w:pPr>
      <w:r>
        <w:t>Appendix A. Route and Capability Inventory</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584"/>
            <w:shd w:fill="102A43"/>
            <w:tcMar>
              <w:top w:w="80" w:type="dxa"/>
              <w:start w:w="120" w:type="dxa"/>
              <w:bottom w:w="80" w:type="dxa"/>
              <w:end w:w="120" w:type="dxa"/>
            </w:tcMar>
            <w:vAlign w:val="center"/>
          </w:tcPr>
          <w:p>
            <w:pPr>
              <w:spacing w:after="0"/>
            </w:pPr>
            <w:r/>
            <w:r>
              <w:rPr>
                <w:rFonts w:ascii="Calibri" w:hAnsi="Calibri"/>
                <w:b/>
                <w:color w:val="FFFFFF"/>
                <w:sz w:val="18"/>
              </w:rPr>
              <w:t>Workspace</w:t>
            </w:r>
          </w:p>
        </w:tc>
        <w:tc>
          <w:tcPr>
            <w:tcW w:type="dxa" w:w="7776"/>
            <w:shd w:fill="102A43"/>
            <w:tcMar>
              <w:top w:w="80" w:type="dxa"/>
              <w:start w:w="120" w:type="dxa"/>
              <w:bottom w:w="80" w:type="dxa"/>
              <w:end w:w="120" w:type="dxa"/>
            </w:tcMar>
            <w:vAlign w:val="center"/>
          </w:tcPr>
          <w:p>
            <w:pPr>
              <w:spacing w:after="0"/>
            </w:pPr>
            <w:r/>
            <w:r>
              <w:rPr>
                <w:rFonts w:ascii="Calibri" w:hAnsi="Calibri"/>
                <w:b/>
                <w:color w:val="FFFFFF"/>
                <w:sz w:val="18"/>
              </w:rPr>
              <w:t>Current primary routes</w:t>
            </w:r>
          </w:p>
        </w:tc>
      </w:tr>
      <w:tr>
        <w:trPr>
          <w:cantSplit/>
        </w:trPr>
        <w:tc>
          <w:tcPr>
            <w:tcW w:type="dxa" w:w="1584"/>
            <w:tcMar>
              <w:top w:w="80" w:type="dxa"/>
              <w:start w:w="120" w:type="dxa"/>
              <w:bottom w:w="80" w:type="dxa"/>
              <w:end w:w="120" w:type="dxa"/>
            </w:tcMar>
            <w:vAlign w:val="center"/>
          </w:tcPr>
          <w:p>
            <w:pPr>
              <w:spacing w:after="0"/>
            </w:pPr>
            <w:r/>
            <w:r>
              <w:rPr>
                <w:rFonts w:ascii="Calibri" w:hAnsi="Calibri"/>
                <w:b w:val="0"/>
                <w:sz w:val="18"/>
              </w:rPr>
              <w:t>Student</w:t>
            </w:r>
          </w:p>
        </w:tc>
        <w:tc>
          <w:tcPr>
            <w:tcW w:type="dxa" w:w="7776"/>
            <w:tcMar>
              <w:top w:w="80" w:type="dxa"/>
              <w:start w:w="120" w:type="dxa"/>
              <w:bottom w:w="80" w:type="dxa"/>
              <w:end w:w="120" w:type="dxa"/>
            </w:tcMar>
            <w:vAlign w:val="center"/>
          </w:tcPr>
          <w:p>
            <w:pPr>
              <w:spacing w:after="0"/>
            </w:pPr>
            <w:r/>
            <w:r>
              <w:rPr>
                <w:rFonts w:ascii="Calibri" w:hAnsi="Calibri"/>
                <w:b w:val="0"/>
                <w:sz w:val="18"/>
              </w:rPr>
              <w:t>/student/home; /student/profile; /student/intelligence; /student/opportunities; /student/applications; /student/communities; /student/mentorships; /student/skill-development; /student/ai-companion</w:t>
            </w:r>
          </w:p>
        </w:tc>
      </w:tr>
      <w:tr>
        <w:trPr>
          <w:cantSplit/>
        </w:trPr>
        <w:tc>
          <w:tcPr>
            <w:tcW w:type="dxa" w:w="1584"/>
            <w:shd w:fill="F8FAFC"/>
            <w:tcMar>
              <w:top w:w="80" w:type="dxa"/>
              <w:start w:w="120" w:type="dxa"/>
              <w:bottom w:w="80" w:type="dxa"/>
              <w:end w:w="120" w:type="dxa"/>
            </w:tcMar>
            <w:vAlign w:val="center"/>
          </w:tcPr>
          <w:p>
            <w:pPr>
              <w:spacing w:after="0"/>
            </w:pPr>
            <w:r/>
            <w:r>
              <w:rPr>
                <w:rFonts w:ascii="Calibri" w:hAnsi="Calibri"/>
                <w:b w:val="0"/>
                <w:sz w:val="18"/>
              </w:rPr>
              <w:t>Employer</w:t>
            </w:r>
          </w:p>
        </w:tc>
        <w:tc>
          <w:tcPr>
            <w:tcW w:type="dxa" w:w="7776"/>
            <w:shd w:fill="F8FAFC"/>
            <w:tcMar>
              <w:top w:w="80" w:type="dxa"/>
              <w:start w:w="120" w:type="dxa"/>
              <w:bottom w:w="80" w:type="dxa"/>
              <w:end w:w="120" w:type="dxa"/>
            </w:tcMar>
            <w:vAlign w:val="center"/>
          </w:tcPr>
          <w:p>
            <w:pPr>
              <w:spacing w:after="0"/>
            </w:pPr>
            <w:r/>
            <w:r>
              <w:rPr>
                <w:rFonts w:ascii="Calibri" w:hAnsi="Calibri"/>
                <w:b w:val="0"/>
                <w:sz w:val="18"/>
              </w:rPr>
              <w:t>/employer/home; /employer/talent; /employer/talent-discovery; /employer/posting; /employer/campus-pipeline; /employer/analytics; /employer/candidates; /employer/marketplace</w:t>
            </w:r>
          </w:p>
        </w:tc>
      </w:tr>
      <w:tr>
        <w:trPr>
          <w:cantSplit/>
        </w:trPr>
        <w:tc>
          <w:tcPr>
            <w:tcW w:type="dxa" w:w="1584"/>
            <w:tcMar>
              <w:top w:w="80" w:type="dxa"/>
              <w:start w:w="120" w:type="dxa"/>
              <w:bottom w:w="80" w:type="dxa"/>
              <w:end w:w="120" w:type="dxa"/>
            </w:tcMar>
            <w:vAlign w:val="center"/>
          </w:tcPr>
          <w:p>
            <w:pPr>
              <w:spacing w:after="0"/>
            </w:pPr>
            <w:r/>
            <w:r>
              <w:rPr>
                <w:rFonts w:ascii="Calibri" w:hAnsi="Calibri"/>
                <w:b w:val="0"/>
                <w:sz w:val="18"/>
              </w:rPr>
              <w:t>University</w:t>
            </w:r>
          </w:p>
        </w:tc>
        <w:tc>
          <w:tcPr>
            <w:tcW w:type="dxa" w:w="7776"/>
            <w:tcMar>
              <w:top w:w="80" w:type="dxa"/>
              <w:start w:w="120" w:type="dxa"/>
              <w:bottom w:w="80" w:type="dxa"/>
              <w:end w:w="120" w:type="dxa"/>
            </w:tcMar>
            <w:vAlign w:val="center"/>
          </w:tcPr>
          <w:p>
            <w:pPr>
              <w:spacing w:after="0"/>
            </w:pPr>
            <w:r/>
            <w:r>
              <w:rPr>
                <w:rFonts w:ascii="Calibri" w:hAnsi="Calibri"/>
                <w:b w:val="0"/>
                <w:sz w:val="18"/>
              </w:rPr>
              <w:t>/university/overview; /university/student-readiness; /university/curriculum-alignment; /university/alumni-signals; /university/collaboration; /university/accreditation</w:t>
            </w:r>
          </w:p>
        </w:tc>
      </w:tr>
      <w:tr>
        <w:trPr>
          <w:cantSplit/>
        </w:trPr>
        <w:tc>
          <w:tcPr>
            <w:tcW w:type="dxa" w:w="1584"/>
            <w:shd w:fill="F8FAFC"/>
            <w:tcMar>
              <w:top w:w="80" w:type="dxa"/>
              <w:start w:w="120" w:type="dxa"/>
              <w:bottom w:w="80" w:type="dxa"/>
              <w:end w:w="120" w:type="dxa"/>
            </w:tcMar>
            <w:vAlign w:val="center"/>
          </w:tcPr>
          <w:p>
            <w:pPr>
              <w:spacing w:after="0"/>
            </w:pPr>
            <w:r/>
            <w:r>
              <w:rPr>
                <w:rFonts w:ascii="Calibri" w:hAnsi="Calibri"/>
                <w:b w:val="0"/>
                <w:sz w:val="18"/>
              </w:rPr>
              <w:t>Legacy / placeholders</w:t>
            </w:r>
          </w:p>
        </w:tc>
        <w:tc>
          <w:tcPr>
            <w:tcW w:type="dxa" w:w="7776"/>
            <w:shd w:fill="F8FAFC"/>
            <w:tcMar>
              <w:top w:w="80" w:type="dxa"/>
              <w:start w:w="120" w:type="dxa"/>
              <w:bottom w:w="80" w:type="dxa"/>
              <w:end w:w="120" w:type="dxa"/>
            </w:tcMar>
            <w:vAlign w:val="center"/>
          </w:tcPr>
          <w:p>
            <w:pPr>
              <w:spacing w:after="0"/>
            </w:pPr>
            <w:r/>
            <w:r>
              <w:rPr>
                <w:rFonts w:ascii="Calibri" w:hAnsi="Calibri"/>
                <w:b w:val="0"/>
                <w:sz w:val="18"/>
              </w:rPr>
              <w:t>Several redirects and placeholder settings, reports, learning, and help routes remain in the repository and should not define the product narrative.</w:t>
            </w:r>
          </w:p>
        </w:tc>
      </w:tr>
    </w:tbl>
    <w:p>
      <w:pPr>
        <w:spacing w:after="20"/>
      </w:pPr>
    </w:p>
    <w:p>
      <w:pPr>
        <w:pStyle w:val="Heading2"/>
      </w:pPr>
      <w:r>
        <w:t>Backend surface observed</w:t>
      </w:r>
    </w:p>
    <w:p>
      <w:r>
        <w:t>FastAPI includes user, candidate, and employer routers in backend/app/app.py. Additional router files and agent experiments are present, but not every file is included in the active application or connected to the Round 2 frontend.</w:t>
      </w:r>
    </w:p>
    <w:p>
      <w:pPr>
        <w:pStyle w:val="Heading1"/>
      </w:pPr>
      <w:r>
        <w:t>Appendix B. Claim Language</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952"/>
            <w:shd w:fill="102A43"/>
            <w:tcMar>
              <w:top w:w="80" w:type="dxa"/>
              <w:start w:w="120" w:type="dxa"/>
              <w:bottom w:w="80" w:type="dxa"/>
              <w:end w:w="120" w:type="dxa"/>
            </w:tcMar>
            <w:vAlign w:val="center"/>
          </w:tcPr>
          <w:p>
            <w:pPr>
              <w:spacing w:after="0"/>
            </w:pPr>
            <w:r/>
            <w:r>
              <w:rPr>
                <w:rFonts w:ascii="Calibri" w:hAnsi="Calibri"/>
                <w:b/>
                <w:color w:val="FFFFFF"/>
                <w:sz w:val="18"/>
              </w:rPr>
              <w:t>Avoid</w:t>
            </w:r>
          </w:p>
        </w:tc>
        <w:tc>
          <w:tcPr>
            <w:tcW w:type="dxa" w:w="6408"/>
            <w:shd w:fill="102A43"/>
            <w:tcMar>
              <w:top w:w="80" w:type="dxa"/>
              <w:start w:w="120" w:type="dxa"/>
              <w:bottom w:w="80" w:type="dxa"/>
              <w:end w:w="120" w:type="dxa"/>
            </w:tcMar>
            <w:vAlign w:val="center"/>
          </w:tcPr>
          <w:p>
            <w:pPr>
              <w:spacing w:after="0"/>
            </w:pPr>
            <w:r/>
            <w:r>
              <w:rPr>
                <w:rFonts w:ascii="Calibri" w:hAnsi="Calibri"/>
                <w:b/>
                <w:color w:val="FFFFFF"/>
                <w:sz w:val="18"/>
              </w:rPr>
              <w:t>Use instead</w:t>
            </w:r>
          </w:p>
        </w:tc>
      </w:tr>
      <w:tr>
        <w:trPr>
          <w:cantSplit/>
        </w:trPr>
        <w:tc>
          <w:tcPr>
            <w:tcW w:type="dxa" w:w="2952"/>
            <w:tcMar>
              <w:top w:w="80" w:type="dxa"/>
              <w:start w:w="120" w:type="dxa"/>
              <w:bottom w:w="80" w:type="dxa"/>
              <w:end w:w="120" w:type="dxa"/>
            </w:tcMar>
            <w:vAlign w:val="center"/>
          </w:tcPr>
          <w:p>
            <w:pPr>
              <w:spacing w:after="0"/>
            </w:pPr>
            <w:r/>
            <w:r>
              <w:rPr>
                <w:rFonts w:ascii="Calibri" w:hAnsi="Calibri"/>
                <w:b w:val="0"/>
                <w:sz w:val="18"/>
              </w:rPr>
              <w:t>Verified evidence</w:t>
            </w:r>
          </w:p>
        </w:tc>
        <w:tc>
          <w:tcPr>
            <w:tcW w:type="dxa" w:w="6408"/>
            <w:tcMar>
              <w:top w:w="80" w:type="dxa"/>
              <w:start w:w="120" w:type="dxa"/>
              <w:bottom w:w="80" w:type="dxa"/>
              <w:end w:w="120" w:type="dxa"/>
            </w:tcMar>
            <w:vAlign w:val="center"/>
          </w:tcPr>
          <w:p>
            <w:pPr>
              <w:spacing w:after="0"/>
            </w:pPr>
            <w:r/>
            <w:r>
              <w:rPr>
                <w:rFonts w:ascii="Calibri" w:hAnsi="Calibri"/>
                <w:b w:val="0"/>
                <w:sz w:val="18"/>
              </w:rPr>
              <w:t>Evidence-oriented profile; the interface models verification and provenance.</w:t>
            </w:r>
          </w:p>
        </w:tc>
      </w:tr>
      <w:tr>
        <w:trPr>
          <w:cantSplit/>
        </w:trPr>
        <w:tc>
          <w:tcPr>
            <w:tcW w:type="dxa" w:w="2952"/>
            <w:shd w:fill="F8FAFC"/>
            <w:tcMar>
              <w:top w:w="80" w:type="dxa"/>
              <w:start w:w="120" w:type="dxa"/>
              <w:bottom w:w="80" w:type="dxa"/>
              <w:end w:w="120" w:type="dxa"/>
            </w:tcMar>
            <w:vAlign w:val="center"/>
          </w:tcPr>
          <w:p>
            <w:pPr>
              <w:spacing w:after="0"/>
            </w:pPr>
            <w:r/>
            <w:r>
              <w:rPr>
                <w:rFonts w:ascii="Calibri" w:hAnsi="Calibri"/>
                <w:b w:val="0"/>
                <w:sz w:val="18"/>
              </w:rPr>
              <w:t>AI predicts success</w:t>
            </w:r>
          </w:p>
        </w:tc>
        <w:tc>
          <w:tcPr>
            <w:tcW w:type="dxa" w:w="6408"/>
            <w:shd w:fill="F8FAFC"/>
            <w:tcMar>
              <w:top w:w="80" w:type="dxa"/>
              <w:start w:w="120" w:type="dxa"/>
              <w:bottom w:w="80" w:type="dxa"/>
              <w:end w:w="120" w:type="dxa"/>
            </w:tcMar>
            <w:vAlign w:val="center"/>
          </w:tcPr>
          <w:p>
            <w:pPr>
              <w:spacing w:after="0"/>
            </w:pPr>
            <w:r/>
            <w:r>
              <w:rPr>
                <w:rFonts w:ascii="Calibri" w:hAnsi="Calibri"/>
                <w:b w:val="0"/>
                <w:sz w:val="18"/>
              </w:rPr>
              <w:t>AI-supported recommendation; predictive accuracy is not validated.</w:t>
            </w:r>
          </w:p>
        </w:tc>
      </w:tr>
      <w:tr>
        <w:trPr>
          <w:cantSplit/>
        </w:trPr>
        <w:tc>
          <w:tcPr>
            <w:tcW w:type="dxa" w:w="2952"/>
            <w:tcMar>
              <w:top w:w="80" w:type="dxa"/>
              <w:start w:w="120" w:type="dxa"/>
              <w:bottom w:w="80" w:type="dxa"/>
              <w:end w:w="120" w:type="dxa"/>
            </w:tcMar>
            <w:vAlign w:val="center"/>
          </w:tcPr>
          <w:p>
            <w:pPr>
              <w:spacing w:after="0"/>
            </w:pPr>
            <w:r/>
            <w:r>
              <w:rPr>
                <w:rFonts w:ascii="Calibri" w:hAnsi="Calibri"/>
                <w:b w:val="0"/>
                <w:sz w:val="18"/>
              </w:rPr>
              <w:t>Shared intelligence network</w:t>
            </w:r>
          </w:p>
        </w:tc>
        <w:tc>
          <w:tcPr>
            <w:tcW w:type="dxa" w:w="6408"/>
            <w:tcMar>
              <w:top w:w="80" w:type="dxa"/>
              <w:start w:w="120" w:type="dxa"/>
              <w:bottom w:w="80" w:type="dxa"/>
              <w:end w:w="120" w:type="dxa"/>
            </w:tcMar>
            <w:vAlign w:val="center"/>
          </w:tcPr>
          <w:p>
            <w:pPr>
              <w:spacing w:after="0"/>
            </w:pPr>
            <w:r/>
            <w:r>
              <w:rPr>
                <w:rFonts w:ascii="Calibri" w:hAnsi="Calibri"/>
                <w:b w:val="0"/>
                <w:sz w:val="18"/>
              </w:rPr>
              <w:t>The architecture proposes a shared network; current workflows mostly use local or mock state.</w:t>
            </w:r>
          </w:p>
        </w:tc>
      </w:tr>
      <w:tr>
        <w:trPr>
          <w:cantSplit/>
        </w:trPr>
        <w:tc>
          <w:tcPr>
            <w:tcW w:type="dxa" w:w="2952"/>
            <w:shd w:fill="F8FAFC"/>
            <w:tcMar>
              <w:top w:w="80" w:type="dxa"/>
              <w:start w:w="120" w:type="dxa"/>
              <w:bottom w:w="80" w:type="dxa"/>
              <w:end w:w="120" w:type="dxa"/>
            </w:tcMar>
            <w:vAlign w:val="center"/>
          </w:tcPr>
          <w:p>
            <w:pPr>
              <w:spacing w:after="0"/>
            </w:pPr>
            <w:r/>
            <w:r>
              <w:rPr>
                <w:rFonts w:ascii="Calibri" w:hAnsi="Calibri"/>
                <w:b w:val="0"/>
                <w:sz w:val="18"/>
              </w:rPr>
              <w:t>Saves time / improves ROI</w:t>
            </w:r>
          </w:p>
        </w:tc>
        <w:tc>
          <w:tcPr>
            <w:tcW w:type="dxa" w:w="6408"/>
            <w:shd w:fill="F8FAFC"/>
            <w:tcMar>
              <w:top w:w="80" w:type="dxa"/>
              <w:start w:w="120" w:type="dxa"/>
              <w:bottom w:w="80" w:type="dxa"/>
              <w:end w:w="120" w:type="dxa"/>
            </w:tcMar>
            <w:vAlign w:val="center"/>
          </w:tcPr>
          <w:p>
            <w:pPr>
              <w:spacing w:after="0"/>
            </w:pPr>
            <w:r/>
            <w:r>
              <w:rPr>
                <w:rFonts w:ascii="Calibri" w:hAnsi="Calibri"/>
                <w:b w:val="0"/>
                <w:sz w:val="18"/>
              </w:rPr>
              <w:t>Designed to reduce repeated work; measure time and economic value in a pilot.</w:t>
            </w:r>
          </w:p>
        </w:tc>
      </w:tr>
      <w:tr>
        <w:trPr>
          <w:cantSplit/>
        </w:trPr>
        <w:tc>
          <w:tcPr>
            <w:tcW w:type="dxa" w:w="2952"/>
            <w:tcMar>
              <w:top w:w="80" w:type="dxa"/>
              <w:start w:w="120" w:type="dxa"/>
              <w:bottom w:w="80" w:type="dxa"/>
              <w:end w:w="120" w:type="dxa"/>
            </w:tcMar>
            <w:vAlign w:val="center"/>
          </w:tcPr>
          <w:p>
            <w:pPr>
              <w:spacing w:after="0"/>
            </w:pPr>
            <w:r/>
            <w:r>
              <w:rPr>
                <w:rFonts w:ascii="Calibri" w:hAnsi="Calibri"/>
                <w:b w:val="0"/>
                <w:sz w:val="18"/>
              </w:rPr>
              <w:t>Autonomous AI employees</w:t>
            </w:r>
          </w:p>
        </w:tc>
        <w:tc>
          <w:tcPr>
            <w:tcW w:type="dxa" w:w="6408"/>
            <w:tcMar>
              <w:top w:w="80" w:type="dxa"/>
              <w:start w:w="120" w:type="dxa"/>
              <w:bottom w:w="80" w:type="dxa"/>
              <w:end w:w="120" w:type="dxa"/>
            </w:tcMar>
            <w:vAlign w:val="center"/>
          </w:tcPr>
          <w:p>
            <w:pPr>
              <w:spacing w:after="0"/>
            </w:pPr>
            <w:r/>
            <w:r>
              <w:rPr>
                <w:rFonts w:ascii="Calibri" w:hAnsi="Calibri"/>
                <w:b w:val="0"/>
                <w:sz w:val="18"/>
              </w:rPr>
              <w:t>Specialised assistant interaction with human approval; autonomy is future-facing.</w:t>
            </w:r>
          </w:p>
        </w:tc>
      </w:tr>
      <w:tr>
        <w:trPr>
          <w:cantSplit/>
        </w:trPr>
        <w:tc>
          <w:tcPr>
            <w:tcW w:type="dxa" w:w="2952"/>
            <w:shd w:fill="F8FAFC"/>
            <w:tcMar>
              <w:top w:w="80" w:type="dxa"/>
              <w:start w:w="120" w:type="dxa"/>
              <w:bottom w:w="80" w:type="dxa"/>
              <w:end w:w="120" w:type="dxa"/>
            </w:tcMar>
            <w:vAlign w:val="center"/>
          </w:tcPr>
          <w:p>
            <w:pPr>
              <w:spacing w:after="0"/>
            </w:pPr>
            <w:r/>
            <w:r>
              <w:rPr>
                <w:rFonts w:ascii="Calibri" w:hAnsi="Calibri"/>
                <w:b w:val="0"/>
                <w:sz w:val="18"/>
              </w:rPr>
              <w:t>Automated accreditation</w:t>
            </w:r>
          </w:p>
        </w:tc>
        <w:tc>
          <w:tcPr>
            <w:tcW w:type="dxa" w:w="6408"/>
            <w:shd w:fill="F8FAFC"/>
            <w:tcMar>
              <w:top w:w="80" w:type="dxa"/>
              <w:start w:w="120" w:type="dxa"/>
              <w:bottom w:w="80" w:type="dxa"/>
              <w:end w:w="120" w:type="dxa"/>
            </w:tcMar>
            <w:vAlign w:val="center"/>
          </w:tcPr>
          <w:p>
            <w:pPr>
              <w:spacing w:after="0"/>
            </w:pPr>
            <w:r/>
            <w:r>
              <w:rPr>
                <w:rFonts w:ascii="Calibri" w:hAnsi="Calibri"/>
                <w:b w:val="0"/>
                <w:sz w:val="18"/>
              </w:rPr>
              <w:t>Accreditation readiness, evidence reuse, ownership, and draft preparation.</w:t>
            </w:r>
          </w:p>
        </w:tc>
      </w:tr>
      <w:tr>
        <w:trPr>
          <w:cantSplit/>
        </w:trPr>
        <w:tc>
          <w:tcPr>
            <w:tcW w:type="dxa" w:w="2952"/>
            <w:tcMar>
              <w:top w:w="80" w:type="dxa"/>
              <w:start w:w="120" w:type="dxa"/>
              <w:bottom w:w="80" w:type="dxa"/>
              <w:end w:w="120" w:type="dxa"/>
            </w:tcMar>
            <w:vAlign w:val="center"/>
          </w:tcPr>
          <w:p>
            <w:pPr>
              <w:spacing w:after="0"/>
            </w:pPr>
            <w:r/>
            <w:r>
              <w:rPr>
                <w:rFonts w:ascii="Calibri" w:hAnsi="Calibri"/>
                <w:b w:val="0"/>
                <w:sz w:val="18"/>
              </w:rPr>
              <w:t>Talentbank advantage</w:t>
            </w:r>
          </w:p>
        </w:tc>
        <w:tc>
          <w:tcPr>
            <w:tcW w:type="dxa" w:w="6408"/>
            <w:tcMar>
              <w:top w:w="80" w:type="dxa"/>
              <w:start w:w="120" w:type="dxa"/>
              <w:bottom w:w="80" w:type="dxa"/>
              <w:end w:w="120" w:type="dxa"/>
            </w:tcMar>
            <w:vAlign w:val="center"/>
          </w:tcPr>
          <w:p>
            <w:pPr>
              <w:spacing w:after="0"/>
            </w:pPr>
            <w:r/>
            <w:r>
              <w:rPr>
                <w:rFonts w:ascii="Calibri" w:hAnsi="Calibri"/>
                <w:b w:val="0"/>
                <w:sz w:val="18"/>
              </w:rPr>
              <w:t>Potential strategic fit pending validation of assets, rights, demand, and distribution.</w:t>
            </w:r>
          </w:p>
        </w:tc>
      </w:tr>
      <w:tr>
        <w:trPr>
          <w:cantSplit/>
        </w:trPr>
        <w:tc>
          <w:tcPr>
            <w:tcW w:type="dxa" w:w="2952"/>
            <w:shd w:fill="F8FAFC"/>
            <w:tcMar>
              <w:top w:w="80" w:type="dxa"/>
              <w:start w:w="120" w:type="dxa"/>
              <w:bottom w:w="80" w:type="dxa"/>
              <w:end w:w="120" w:type="dxa"/>
            </w:tcMar>
            <w:vAlign w:val="center"/>
          </w:tcPr>
          <w:p>
            <w:pPr>
              <w:spacing w:after="0"/>
            </w:pPr>
            <w:r/>
            <w:r>
              <w:rPr>
                <w:rFonts w:ascii="Calibri" w:hAnsi="Calibri"/>
                <w:b w:val="0"/>
                <w:sz w:val="18"/>
              </w:rPr>
              <w:t>Customers / partnerships / adoption</w:t>
            </w:r>
          </w:p>
        </w:tc>
        <w:tc>
          <w:tcPr>
            <w:tcW w:type="dxa" w:w="6408"/>
            <w:shd w:fill="F8FAFC"/>
            <w:tcMar>
              <w:top w:w="80" w:type="dxa"/>
              <w:start w:w="120" w:type="dxa"/>
              <w:bottom w:w="80" w:type="dxa"/>
              <w:end w:w="120" w:type="dxa"/>
            </w:tcMar>
            <w:vAlign w:val="center"/>
          </w:tcPr>
          <w:p>
            <w:pPr>
              <w:spacing w:after="0"/>
            </w:pPr>
            <w:r/>
            <w:r>
              <w:rPr>
                <w:rFonts w:ascii="Calibri" w:hAnsi="Calibri"/>
                <w:b w:val="0"/>
                <w:sz w:val="18"/>
              </w:rPr>
              <w:t>Do not claim unless documented evidence is provided.</w:t>
            </w:r>
          </w:p>
        </w:tc>
      </w:tr>
    </w:tbl>
    <w:p>
      <w:pPr>
        <w:spacing w:after="20"/>
      </w:pPr>
    </w:p>
    <w:p>
      <w:pPr>
        <w:pStyle w:val="Heading2"/>
      </w:pPr>
      <w:r>
        <w:t>Source basis</w:t>
      </w:r>
    </w:p>
    <w:p>
      <w:pPr>
        <w:pStyle w:val="ListBullet"/>
        <w:spacing w:after="80"/>
        <w:ind w:left="720" w:hanging="360"/>
      </w:pPr>
      <w:r>
        <w:t>CareerOS Deep Value Discovery, docs/pitch/CAREEROS_DEEP_VALUE_DISCOVERY.md.</w:t>
      </w:r>
    </w:p>
    <w:p>
      <w:pPr>
        <w:pStyle w:val="ListBullet"/>
        <w:spacing w:after="80"/>
        <w:ind w:left="720" w:hanging="360"/>
      </w:pPr>
      <w:r>
        <w:t>Round 1 submission, [Team GongBaiWan] CareerOS_Documentation_V1.pdf.</w:t>
      </w:r>
    </w:p>
    <w:p>
      <w:pPr>
        <w:pStyle w:val="ListBullet"/>
        <w:spacing w:after="80"/>
        <w:ind w:left="720" w:hanging="360"/>
      </w:pPr>
      <w:r>
        <w:t>Refined editable documentation source, CareerOS_Product_Documentation_Refined.docx.</w:t>
      </w:r>
    </w:p>
    <w:p>
      <w:pPr>
        <w:pStyle w:val="ListBullet"/>
        <w:spacing w:after="80"/>
        <w:ind w:left="720" w:hanging="360"/>
      </w:pPr>
      <w:r>
        <w:t>Current repository routes, components, stores, services, mock data, and backend files inspected in July 2026.</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Talentbank AI Hackathon 2026  ·  Product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F6B7A"/>
        <w:sz w:val="16"/>
      </w:rPr>
      <w:t>CAREEROS  ·  ROUND 2 PRODUCT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pPr>
    <w:rPr>
      <w:rFonts w:ascii="Calibri" w:hAnsi="Calibri"/>
      <w:b/>
      <w:color w:val="102A4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CareerOS Product Documentation — Round 2</dc:title>
  <dc:subject>Product documentation grounded in the current CareerOS prototype</dc:subject>
  <dc:creator>Team GongBaiWan</dc:creator>
  <cp:keywords>CareerOS, Talentbank, product documentation, Round 2</cp:keywords>
  <dc:description>generated by python-docx</dc:description>
  <cp:lastModifiedBy/>
  <cp:revision>1</cp:revision>
  <dcterms:created xsi:type="dcterms:W3CDTF">2013-12-23T23:15:00Z</dcterms:created>
  <dcterms:modified xsi:type="dcterms:W3CDTF">2013-12-23T23:15:00Z</dcterms:modified>
  <cp:category/>
</cp:coreProperties>
</file>