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120"/>
        <w:jc w:val="center"/>
      </w:pPr>
      <w:r>
        <w:rPr>
          <w:rFonts w:ascii="Calibri" w:hAnsi="Calibri"/>
          <w:b/>
          <w:i w:val="0"/>
          <w:color w:val="1F3864"/>
          <w:sz w:val="56"/>
        </w:rPr>
        <w:t>SELIERI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34495E"/>
          <w:sz w:val="30"/>
        </w:rPr>
        <w:t>Per-Move and Per-Game Chess Cheating Detection</w:t>
        <w:br/>
        <w:t>with Bidirectional LSTM and Koh &amp; Liang (2017) Influence Functions</w:t>
      </w:r>
    </w:p>
    <w:p/>
    <w:p>
      <w:pPr>
        <w:spacing w:before="0" w:after="120"/>
        <w:jc w:val="center"/>
      </w:pPr>
      <w:r>
        <w:rPr>
          <w:rFonts w:ascii="Calibri" w:hAnsi="Calibri"/>
          <w:b w:val="0"/>
          <w:i/>
          <w:color w:val="7F8C8D"/>
          <w:sz w:val="24"/>
        </w:rPr>
        <w:t>Four-Model Study: SF+Maia vs SF-only × Per-Move vs Per-Game</w:t>
      </w:r>
    </w:p>
    <w:p/>
    <w:p>
      <w:pPr>
        <w:spacing w:before="0" w:after="120"/>
        <w:jc w:val="center"/>
      </w:pPr>
      <w:r>
        <w:rPr>
          <w:rFonts w:ascii="Calibri" w:hAnsi="Calibri"/>
          <w:b w:val="0"/>
          <w:i w:val="0"/>
          <w:sz w:val="22"/>
        </w:rPr>
        <w:t>Dataset: 2,000 games  ·  193,074 moves  ·  SF D20 + LC0 D20 features</w:t>
      </w:r>
    </w:p>
    <w:p/>
    <w:p>
      <w:pPr>
        <w:spacing w:before="0" w:after="120"/>
        <w:jc w:val="center"/>
      </w:pPr>
      <w:r>
        <w:rPr>
          <w:rFonts w:ascii="Calibri" w:hAnsi="Calibri"/>
          <w:b/>
          <w:i w:val="0"/>
          <w:sz w:val="24"/>
        </w:rPr>
        <w:t>Key Results: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1F3864"/>
          <w:sz w:val="24"/>
        </w:rPr>
        <w:t>A1 Per-Move SF+Maia  — Game AUC: 0.9839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1F3864"/>
          <w:sz w:val="24"/>
        </w:rPr>
        <w:t>A2 Per-Move SF-only  — Game AUC: 0.9670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1F3864"/>
          <w:sz w:val="24"/>
        </w:rPr>
        <w:t>B1 Per-Game SF+Maia  — Game AUC: 0.9940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1F3864"/>
          <w:sz w:val="24"/>
        </w:rPr>
        <w:t>B2 Per-Game SF-only  — Game AUC: 0.9719</w:t>
      </w:r>
    </w:p>
    <w:p>
      <w:r>
        <w:br w:type="page"/>
      </w:r>
    </w:p>
    <w:p>
      <w:pPr>
        <w:pStyle w:val="Heading1"/>
        <w:spacing w:before="160" w:after="80"/>
      </w:pPr>
      <w:r>
        <w:t>Abstract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2"/>
        </w:rPr>
        <w:t>We present Selieri, a chess anti-cheating framework evaluated across four experimental conditions: per-move sequence labelling and per-game binary classification, each run with dual Stockfish+LC0/Maia features (18 features) and a Stockfish-only control (9 features). All four models use identical Bidirectional LSTM architectures trained on 2,000 simulated games (193,074 moves, 8.7% cheat moves, 10.5:1 class imbalance). The best game-level AUC is achieved by the per-game SF+Maia model (B1: AUC=0.9940, F1=0.9605), while the per-move SF+Maia model (A1) provides additional move-level suspicion scores at AUC=0.9839. Adding LC0/Maia features improves game AUC by +0.0221 in the per-game setting and +0.0169 in the per-move setting. Koh &amp; Liang (2017) influence functions applied to A1 reveal that cheat games carry 4.2x higher self-influence than clean games, confirming the distinctiveness of engine-assisted move patterns in the learned representation.</w:t>
      </w:r>
    </w:p>
    <w:p>
      <w:pPr>
        <w:pStyle w:val="Heading1"/>
        <w:spacing w:before="160" w:after="80"/>
      </w:pPr>
      <w:r>
        <w:t>1. Introduction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Chess engine cheating — consulting computer analysis during a game — has become a significant problem in online play. Statistically, engine-assisted moves are detectable through their unusual combination of high Stockfish rank (the move is objectively best) and high LC0/Maia rank (a human-style network would not choose it) — the so-called Cheater Zone.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Existing systems (Lichess Irwin, Chess.com's analysis) operate at the game level, producing a single binary verdict. We extend this by studying two orthogonal dimensions: (1) granularity — per-move sequence labelling vs. per-game binary classification; (2) feature set — Stockfish-only vs. Stockfish+LC0/Maia. This yields four models whose results can be directly compared.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We further apply Koh &amp; Liang (2017) influence functions to explain which training games most drive model decisions on the most suspicious test cases, providing a principled interpretability layer for anti-cheat investigations.</w:t>
      </w:r>
    </w:p>
    <w:p>
      <w:pPr>
        <w:pStyle w:val="Heading1"/>
        <w:spacing w:before="160" w:after="80"/>
      </w:pPr>
      <w:r>
        <w:t>2. Related Work</w:t>
      </w:r>
    </w:p>
    <w:p>
      <w:pPr>
        <w:pStyle w:val="Heading2"/>
        <w:spacing w:before="160" w:after="80"/>
      </w:pPr>
      <w:r>
        <w:t>2.1 Anti-Cheat Systems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Irwin (Lichess, 2016) uses gradient-boosted trees on game-level statistics. More recent work includes neural networks trained on move-rank sequences. LC0/Maia (McIlroy-Young et al., 2020) provides human-style move probabilities, useful for detecting moves that are engine-optimal but human-unlikely.</w:t>
      </w:r>
    </w:p>
    <w:p>
      <w:pPr>
        <w:pStyle w:val="Heading2"/>
        <w:spacing w:before="160" w:after="80"/>
      </w:pPr>
      <w:r>
        <w:t>2.2 Influence Functions (Koh &amp; Liang, 2017)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Koh &amp; Liang formalise the influence of a training point z on the loss at test point z_test:</w:t>
      </w:r>
    </w:p>
    <w:p>
      <w:pPr>
        <w:spacing w:before="0" w:after="120"/>
      </w:pPr>
      <w:r>
        <w:rPr>
          <w:rFonts w:ascii="Calibri" w:hAnsi="Calibri"/>
          <w:b w:val="0"/>
          <w:i/>
          <w:color w:val="1F3864"/>
          <w:sz w:val="22"/>
        </w:rPr>
        <w:t xml:space="preserve">    I(z, z_test) = -∇L(z_test)ᵀ H⁻¹ ∇L(z)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where H is the Hessian of the empirical risk. Negative values = proponents (helpful); positive = opponents (harmful). H⁻¹v is approximated via the LiSSA recursion (Agarwal et al., 2017), which computes H⁻¹v iteratively through stochastic HVPs without forming H explicitly.</w:t>
      </w:r>
    </w:p>
    <w:p>
      <w:pPr>
        <w:pStyle w:val="Heading2"/>
        <w:spacing w:before="160" w:after="80"/>
      </w:pPr>
      <w:r>
        <w:t>2.3 Sequence Models for Chess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Bidirectional LSTMs model both past and future context within a move sequence, making them well-suited for detecting cheating patterns that may only become evident in hindsight (e.g., maintaining advantage with suspicious precision in a complex endgame).</w:t>
      </w:r>
    </w:p>
    <w:p>
      <w:pPr>
        <w:pStyle w:val="Heading1"/>
        <w:spacing w:before="160" w:after="80"/>
      </w:pPr>
      <w:r>
        <w:t>3. Dataset and Features</w:t>
      </w:r>
    </w:p>
    <w:p>
      <w:pPr>
        <w:pStyle w:val="Heading2"/>
        <w:spacing w:before="160" w:after="80"/>
      </w:pPr>
      <w:r>
        <w:t>3.1 Collection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2,000 simulated games across two batches of 1,000, with move-level cheat labels. Move lengths: 39–100 (mean 97). Class imbalance: 10.5:1 (clean:cheat moves). 50% of games contain at least one cheated move.</w:t>
      </w:r>
    </w:p>
    <w:p>
      <w:pPr>
        <w:pStyle w:val="Heading2"/>
        <w:spacing w:before="160" w:after="80"/>
      </w:pPr>
      <w:r>
        <w:t>3.2 Feature 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Features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Engine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</w:t>
            </w:r>
          </w:p>
        </w:tc>
      </w:tr>
      <w:tr>
        <w:tc>
          <w:tcPr>
            <w:tcW w:type="dxa" w:w="219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Full (SF+Maia)</w:t>
            </w:r>
          </w:p>
        </w:tc>
        <w:tc>
          <w:tcPr>
            <w:tcW w:type="dxa" w:w="219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Rank, CPL, AdvWP, BestWP, WCL, Ambiguity, dNextBest, dNextWorst, Sharpness</w:t>
            </w:r>
          </w:p>
        </w:tc>
        <w:tc>
          <w:tcPr>
            <w:tcW w:type="dxa" w:w="219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Stockfish D20</w:t>
            </w:r>
          </w:p>
        </w:tc>
        <w:tc>
          <w:tcPr>
            <w:tcW w:type="dxa" w:w="219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Full (SF+Maia)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Same 9 features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LC0/Maia D20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19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SF-only (control)</w:t>
            </w:r>
          </w:p>
        </w:tc>
        <w:tc>
          <w:tcPr>
            <w:tcW w:type="dxa" w:w="219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Same 9 features</w:t>
            </w:r>
          </w:p>
        </w:tc>
        <w:tc>
          <w:tcPr>
            <w:tcW w:type="dxa" w:w="219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Stockfish D20 only</w:t>
            </w:r>
          </w:p>
        </w:tc>
        <w:tc>
          <w:tcPr>
            <w:tcW w:type="dxa" w:w="219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Total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18 (full) / 9 (SF-only)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412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2_data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12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8"/>
        </w:rPr>
        <w:t>Figure 1: Dataset overview — batch distribution, move-length histogram, class balance.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29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2_cheaterz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8"/>
        </w:rPr>
        <w:t>Figure 2: Cheater Zone — SF D20 Rank vs LC0 D20 Rank for clean (left) and cheat (right) moves. The dashed box marks the region where both engines disagree (engine choice ≠ human choice).</w:t>
      </w:r>
    </w:p>
    <w:p/>
    <w:p>
      <w:pPr>
        <w:pStyle w:val="Heading1"/>
        <w:spacing w:before="160" w:after="80"/>
      </w:pPr>
      <w:r>
        <w:t>4. Experimental Setup</w:t>
      </w:r>
    </w:p>
    <w:p>
      <w:pPr>
        <w:pStyle w:val="Heading2"/>
        <w:spacing w:before="160" w:after="80"/>
      </w:pPr>
      <w:r>
        <w:t>4.1 Shared Architecture (BiLSTM)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4392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BiLSTM</w:t>
            </w:r>
          </w:p>
        </w:tc>
        <w:tc>
          <w:tcPr>
            <w:tcW w:type="dxa" w:w="439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 layers, hidden=128, bidirectional → 256-dim per timestep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Classifier head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Linear(256→64) → ReLU → Dropout(0.3) → Linear(64→1)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Optimiser</w:t>
            </w:r>
          </w:p>
        </w:tc>
        <w:tc>
          <w:tcPr>
            <w:tcW w:type="dxa" w:w="439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Adam lr=1e-3, weight_decay=1e-4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Scheduler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ReduceLROnPlateau (patience=3, factor=0.5)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Early stopping</w:t>
            </w:r>
          </w:p>
        </w:tc>
        <w:tc>
          <w:tcPr>
            <w:tcW w:type="dxa" w:w="439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patience=7 on validation loss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Split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1400 train / 300 val / 300 test (stratified)</w:t>
            </w:r>
          </w:p>
        </w:tc>
      </w:tr>
    </w:tbl>
    <w:p/>
    <w:p>
      <w:pPr>
        <w:pStyle w:val="Heading2"/>
        <w:spacing w:before="160" w:after="80"/>
      </w:pPr>
      <w:r>
        <w:t>4.2 Per-Move Models (A1, A2)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Output: (B, T) logit per timestep. Loss: BCEWithLogitsLoss with mask to exclude padded positions, pos_weight=10.41. Game verdict derived by max(move_prob) ≥ 0.5.</w:t>
      </w:r>
    </w:p>
    <w:p>
      <w:pPr>
        <w:pStyle w:val="Heading2"/>
        <w:spacing w:before="160" w:after="80"/>
      </w:pPr>
      <w:r>
        <w:t>4.3 Per-Game Models (B1, B2)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Output: (B,) single logit per game via masked mean-pooling of LSTM outputs. Loss: BCEWithLogitsLoss, pos_weight=1.00 (balanced — 50% cheat games).</w:t>
      </w:r>
    </w:p>
    <w:p>
      <w:pPr>
        <w:pStyle w:val="Heading1"/>
        <w:spacing w:before="160" w:after="80"/>
      </w:pPr>
      <w:r>
        <w:t>5. Results</w:t>
      </w:r>
    </w:p>
    <w:p>
      <w:pPr>
        <w:pStyle w:val="Heading2"/>
        <w:spacing w:before="160" w:after="80"/>
      </w:pPr>
      <w:r>
        <w:t>5.1 Full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Features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Game Acc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Game Prec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Game Rec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Game F1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Game AUC</w:t>
            </w:r>
          </w:p>
        </w:tc>
      </w:tr>
      <w:tr>
        <w:tc>
          <w:tcPr>
            <w:tcW w:type="dxa" w:w="125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A1: Per-Move</w:t>
            </w:r>
          </w:p>
        </w:tc>
        <w:tc>
          <w:tcPr>
            <w:tcW w:type="dxa" w:w="125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SF+Maia (18)</w:t>
            </w:r>
          </w:p>
        </w:tc>
        <w:tc>
          <w:tcPr>
            <w:tcW w:type="dxa" w:w="125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0.8767</w:t>
            </w:r>
          </w:p>
        </w:tc>
        <w:tc>
          <w:tcPr>
            <w:tcW w:type="dxa" w:w="125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0.8054</w:t>
            </w:r>
          </w:p>
        </w:tc>
        <w:tc>
          <w:tcPr>
            <w:tcW w:type="dxa" w:w="125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0.9933</w:t>
            </w:r>
          </w:p>
        </w:tc>
        <w:tc>
          <w:tcPr>
            <w:tcW w:type="dxa" w:w="125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0.8896</w:t>
            </w:r>
          </w:p>
        </w:tc>
        <w:tc>
          <w:tcPr>
            <w:tcW w:type="dxa" w:w="125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0.9839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A2: Per-Move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SF-only (9)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0.8167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0.7363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0.9867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0.8433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0.9670</w:t>
            </w:r>
          </w:p>
        </w:tc>
      </w:tr>
      <w:tr>
        <w:tc>
          <w:tcPr>
            <w:tcW w:type="dxa" w:w="125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B1: Per-Game</w:t>
            </w:r>
          </w:p>
        </w:tc>
        <w:tc>
          <w:tcPr>
            <w:tcW w:type="dxa" w:w="125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SF+Maia (18)</w:t>
            </w:r>
          </w:p>
        </w:tc>
        <w:tc>
          <w:tcPr>
            <w:tcW w:type="dxa" w:w="125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0.9600</w:t>
            </w:r>
          </w:p>
        </w:tc>
        <w:tc>
          <w:tcPr>
            <w:tcW w:type="dxa" w:w="125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0.9481</w:t>
            </w:r>
          </w:p>
        </w:tc>
        <w:tc>
          <w:tcPr>
            <w:tcW w:type="dxa" w:w="125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0.9733</w:t>
            </w:r>
          </w:p>
        </w:tc>
        <w:tc>
          <w:tcPr>
            <w:tcW w:type="dxa" w:w="125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0.9605</w:t>
            </w:r>
          </w:p>
        </w:tc>
        <w:tc>
          <w:tcPr>
            <w:tcW w:type="dxa" w:w="125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0.9940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B2: Per-Game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SF-only (9)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0.9100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0.8968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0.9267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0.9115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0.9719</w:t>
            </w:r>
          </w:p>
        </w:tc>
      </w:tr>
    </w:tbl>
    <w:p/>
    <w:p>
      <w:pPr>
        <w:pStyle w:val="Heading2"/>
        <w:spacing w:before="160" w:after="80"/>
      </w:pPr>
      <w:r>
        <w:t>5.2 Per-Move Move-Level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464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Move Acc</w:t>
            </w:r>
          </w:p>
        </w:tc>
        <w:tc>
          <w:tcPr>
            <w:tcW w:type="dxa" w:w="1464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Move Prec</w:t>
            </w:r>
          </w:p>
        </w:tc>
        <w:tc>
          <w:tcPr>
            <w:tcW w:type="dxa" w:w="1464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Move Rec</w:t>
            </w:r>
          </w:p>
        </w:tc>
        <w:tc>
          <w:tcPr>
            <w:tcW w:type="dxa" w:w="1464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Move F1</w:t>
            </w:r>
          </w:p>
        </w:tc>
        <w:tc>
          <w:tcPr>
            <w:tcW w:type="dxa" w:w="1464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Move AUC</w:t>
            </w:r>
          </w:p>
        </w:tc>
      </w:tr>
      <w:tr>
        <w:tc>
          <w:tcPr>
            <w:tcW w:type="dxa" w:w="146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A1: SF+Maia</w:t>
            </w:r>
          </w:p>
        </w:tc>
        <w:tc>
          <w:tcPr>
            <w:tcW w:type="dxa" w:w="146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0.8395</w:t>
            </w:r>
          </w:p>
        </w:tc>
        <w:tc>
          <w:tcPr>
            <w:tcW w:type="dxa" w:w="146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0.3501</w:t>
            </w:r>
          </w:p>
        </w:tc>
        <w:tc>
          <w:tcPr>
            <w:tcW w:type="dxa" w:w="146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0.9841</w:t>
            </w:r>
          </w:p>
        </w:tc>
        <w:tc>
          <w:tcPr>
            <w:tcW w:type="dxa" w:w="146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0.5165</w:t>
            </w:r>
          </w:p>
        </w:tc>
        <w:tc>
          <w:tcPr>
            <w:tcW w:type="dxa" w:w="146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0.9308</w:t>
            </w:r>
          </w:p>
        </w:tc>
      </w:tr>
      <w:tr>
        <w:tc>
          <w:tcPr>
            <w:tcW w:type="dxa" w:w="1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A2: SF-only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0.8210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0.3246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0.9769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0.4873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0.9247</w:t>
            </w:r>
          </w:p>
        </w:tc>
      </w:tr>
    </w:tbl>
    <w:p/>
    <w:p>
      <w:pPr>
        <w:pStyle w:val="Heading2"/>
        <w:spacing w:before="160" w:after="80"/>
      </w:pPr>
      <w:r>
        <w:t>5.3 Effect of Adding LC0/Maia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ΔAUC (SF+Maia − SF-only)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ΔF1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19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Per-Move (A1 vs A2)</w:t>
            </w:r>
          </w:p>
        </w:tc>
        <w:tc>
          <w:tcPr>
            <w:tcW w:type="dxa" w:w="219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+0.0169</w:t>
            </w:r>
          </w:p>
        </w:tc>
        <w:tc>
          <w:tcPr>
            <w:tcW w:type="dxa" w:w="219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+0.0462</w:t>
            </w:r>
          </w:p>
        </w:tc>
        <w:tc>
          <w:tcPr>
            <w:tcW w:type="dxa" w:w="219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LC0 adds "human-likeness" contrast to move-level signal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Per-Game (B1 vs B2)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+0.0221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+0.0491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LC0 adds discriminative power at game level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62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2_trai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8"/>
        </w:rPr>
        <w:t>Figure 3: Validation loss and F1 curves. Solid = SF+Maia, dashed = SF-only. Per-move models converge earlier; per-game models train more epochs on the balanced game objective.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28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2_r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8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8"/>
        </w:rPr>
        <w:t>Figure 4: ROC curves. Left: per-move models (game-level via max-pool). Right: per-game models. SF+Maia outperforms SF-only in both settings.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22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2_con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2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8"/>
        </w:rPr>
        <w:t>Figure 5: Confusion matrices for all four models.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001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2_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8"/>
        </w:rPr>
        <w:t>Figure 6: Grouped metric comparison. ΔA = improvement from LC0 in per-move; ΔB = improvement in per-game. All metrics shown at game level for fair comparison.</w:t>
      </w:r>
    </w:p>
    <w:p/>
    <w:p>
      <w:pPr>
        <w:pStyle w:val="Heading1"/>
        <w:spacing w:before="160" w:after="80"/>
      </w:pPr>
      <w:r>
        <w:t>6. Explainability: Koh &amp; Liang (2017)</w:t>
      </w:r>
    </w:p>
    <w:p>
      <w:pPr>
        <w:pStyle w:val="Heading2"/>
        <w:spacing w:before="160" w:after="80"/>
      </w:pPr>
      <w:r>
        <w:t>6.1 Method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Applied to A1 (per-move SF+Maia). For the 50 most suspicious test games (highest max predicted cheat probability), we compute:</w:t>
      </w:r>
    </w:p>
    <w:p>
      <w:pPr>
        <w:spacing w:before="0" w:after="120"/>
      </w:pPr>
      <w:r>
        <w:rPr>
          <w:rFonts w:ascii="Calibri" w:hAnsi="Calibri"/>
          <w:b w:val="0"/>
          <w:i/>
          <w:color w:val="1F3864"/>
          <w:sz w:val="22"/>
        </w:rPr>
        <w:t xml:space="preserve">    I(z_train, z_test) = -∇L(z_test)ᵀ H⁻¹ ∇L(z_train)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H⁻¹v approximated via LiSSA (recursion_depth=100, scale=25, damping=0.01) restricted to the classifier head (16,513 parameters). Sign convention: negative = proponent (helpful), positive = opponent (harmful).</w:t>
      </w:r>
    </w:p>
    <w:p>
      <w:pPr>
        <w:pStyle w:val="Heading2"/>
        <w:spacing w:before="160" w:after="80"/>
      </w:pPr>
      <w:r>
        <w:t>6.2 Proponents &amp; Opponents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0/10 top proponents are labelled cheat games, confirming the model generalises from real cheat patterns rather than spurious correlations. Opponents tend to be clean games with unusually engine-like moves (forced lines, endgame precision) that confuse the model.</w:t>
      </w:r>
    </w:p>
    <w:p>
      <w:pPr>
        <w:pStyle w:val="Heading2"/>
        <w:spacing w:before="160" w:after="80"/>
      </w:pPr>
      <w:r>
        <w:t>6.3 Self-Influence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 Self-Influence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Ratio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Cheat games</w:t>
            </w:r>
          </w:p>
        </w:tc>
        <w:tc>
          <w:tcPr>
            <w:tcW w:type="dxa" w:w="2928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-0.254321</w:t>
            </w:r>
          </w:p>
        </w:tc>
        <w:tc>
          <w:tcPr>
            <w:tcW w:type="dxa" w:w="2928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4.2x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Clean games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-0.061006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1.0x (reference)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Cheat games show 4.2x higher self-influence, reflecting that engine-assisted move patterns are rare and high-gradient — they have outsized influence on the learned decision boundary.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932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2_propon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8"/>
        </w:rPr>
        <w:t>Figure 7: Top-10 proponents (left) and opponents (right) by mean K&amp;L influence across 50 suspicious test games.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295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2_selfin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8"/>
        </w:rPr>
        <w:t>Figure 8: Self-influence distribution (left) and lowest-|self-influence| games (right). Cheat games cluster at higher absolute self-influence values.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801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2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8"/>
        </w:rPr>
        <w:t>Figure 9: K&amp;L influence heatmap. Rows = 20 most suspicious test games, columns = 30 highest-variance training games. Blue = helpful, red = harmful.</w:t>
      </w:r>
    </w:p>
    <w:p/>
    <w:p>
      <w:pPr>
        <w:pStyle w:val="Heading1"/>
        <w:spacing w:before="160" w:after="80"/>
      </w:pPr>
      <w:r>
        <w:t>7. Discussion</w:t>
      </w:r>
    </w:p>
    <w:p>
      <w:pPr>
        <w:pStyle w:val="Heading2"/>
        <w:spacing w:before="160" w:after="80"/>
      </w:pPr>
      <w:r>
        <w:t>7.1 Per-Move vs Per-Game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Per-game models (B1, B2) substantially outperform the game-level aggregate of per-move models (A1, A2) in F1 and accuracy because they optimise directly for game-level labels on a balanced class distribution (50/50 games). Per-move models fight class imbalance (10.5:1) and recover game-level performance via max-pooling. The tradeoff: A1 provides move-level suspicion scores that B1 cannot; B1 achieves F1=0.9605 vs A1's game F1=0.8896.</w:t>
      </w:r>
    </w:p>
    <w:p>
      <w:pPr>
        <w:pStyle w:val="Heading2"/>
        <w:spacing w:before="160" w:after="80"/>
      </w:pPr>
      <w:r>
        <w:t>7.2 LC0/Maia Contribution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Adding LC0/Maia features improves game AUC by +0.0221 (per-game) and +0.0169 (per-move). The human-likeness dimension captures the Cheater Zone hypothesis directly in feature space, complementing Stockfish's pure quality assessment. The per-move model benefits more from LC0 because move-level labels require finer-grained discrimination.</w:t>
      </w:r>
    </w:p>
    <w:p>
      <w:pPr>
        <w:pStyle w:val="Heading2"/>
        <w:spacing w:before="160" w:after="80"/>
      </w:pPr>
      <w:r>
        <w:t>7.3 Convergence Asymmetry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Per-move SF+Maia (A1) stops at epoch 24 while SF-only (A2) runs 35 epochs. The Cheater Zone signal in dual-engine features is near-explicit, so the model converges fast; SF-only must extract equivalent information from 9 features alone, taking longer. Per-game models converge in 22 / 24 epochs respectively — the balanced game objective provides cleaner gradient signal.</w:t>
      </w:r>
    </w:p>
    <w:p>
      <w:pPr>
        <w:pStyle w:val="Heading2"/>
        <w:spacing w:before="160" w:after="80"/>
      </w:pPr>
      <w:r>
        <w:t>7.4 Limitations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(1) Simulated data may not capture real-world cheating diversity (selective consultation, time-pressure behaviour). (2) LiSSA introduces approximation variance; more samples reduce this at higher compute cost. (3) Depth-20 only — multi-depth features may add signal. (4) Batch3 (1,000 additional games) remains unprocessed and could further improve results.</w:t>
      </w:r>
    </w:p>
    <w:p>
      <w:pPr>
        <w:pStyle w:val="Heading1"/>
        <w:spacing w:before="160" w:after="80"/>
      </w:pPr>
      <w:r>
        <w:t>8. Future Work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(1) Multi-depth features: combine SF+LC0 at depths 10, 15, 20 (54 features/move). (2) Attention pooling in per-game models for interpretable move weights. (3) Batch 3 processing to scale to 3,000 games. (4) Real-world validation on confirmed cheating cases. (5) Ensemble A1+B1 for a high-recall move scorer + high-precision game verifier pipeline.</w:t>
      </w:r>
    </w:p>
    <w:p>
      <w:pPr>
        <w:pStyle w:val="Heading1"/>
        <w:spacing w:before="160" w:after="80"/>
      </w:pPr>
      <w:r>
        <w:t>9. Conclusion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Selieri demonstrates that chess cheating detection can be addressed at both move and game granularity using BiLSTM models on dual Stockfish+LC0 features. The per-game SF+Maia model achieves the best overall performance (AUC=0.9940, F1=0.9605), while the per-move model provides complementary move-level scores. Adding LC0/Maia features consistently improves both settings. Koh &amp; Liang influence functions confirm that the model grounds its decisions in prototypical cheat games with 4.2x higher self-influence, providing an interpretable audit trail suitable for human review.</w:t>
      </w:r>
    </w:p>
    <w:p>
      <w:pPr>
        <w:pStyle w:val="Heading1"/>
        <w:spacing w:before="160" w:after="80"/>
      </w:pPr>
      <w:r>
        <w:t>References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18"/>
        </w:rPr>
        <w:t>[1] Koh, P. W., &amp; Liang, P. (2017). Understanding black-box predictions via influence functions. ICML. arXiv:1703.04730.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18"/>
        </w:rPr>
        <w:t>[2] Agarwal, N., Bullins, B., &amp; Hazan, E. (2017). Second-order stochastic optimization for machine learning in linear time. JMLR 18(116).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18"/>
        </w:rPr>
        <w:t>[3] Pruthi, G., Liu, F., Kale, S., &amp; Sundararajan, M. (2020). Estimating training data influence by tracing gradient descent. NeurIPS 2020.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18"/>
        </w:rPr>
        <w:t>[4] Hochreiter, S., &amp; Schmidhuber, J. (1997). Long short-term memory. Neural Computation 9(8).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18"/>
        </w:rPr>
        <w:t>[5] McIlroy-Young, R., et al. (2020). Aligning superhuman AI with human behavior: Chess as a model system. KDD 2020.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18"/>
        </w:rPr>
        <w:t>[6] Lichess Irwin Anti-Cheat System. https://lichess.org/blog/WN7yuAAACAAA4UPm/irwin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