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Customer Payment Journal Controls </w:t>
        <w:br/>
        <w:t>Reference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Customer Payment Journal Controls)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Customer Payment Journal Controls)</w:t>
            </w:r>
            <w:r>
              <w:tab/>
              <w:fldChar w:fldCharType="begin"/>
              <w:instrText xml:space="preserve"> PAGEREF _Toc241664368 \h </w:instrText>
              <w:fldChar w:fldCharType="separate"/>
              <w:t>8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Customer Payment Journal Controls)</w:t>
            </w:r>
            <w:r>
              <w:tab/>
              <w:fldChar w:fldCharType="begin"/>
              <w:instrText xml:space="preserve"> PAGEREF _Toc241664374 \h </w:instrText>
              <w:fldChar w:fldCharType="separate"/>
              <w:t>9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10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2"/>
            <w:r>
              <w:rPr>
                <w:sz w:val="18"/>
                <w:szCs w:val="18"/>
              </w:rPr>
              <w:t xml:space="preserve">SME review draft created from the PG master template. Built from the Part 2 notes; not yet checked against the recording, validated or approved.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Customer Payment Journal Controls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Customer Payment Journal Controls)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reference lists the controls that apply when you prepare a </w:t>
      </w:r>
      <w:r>
        <w:rPr>
          <w:b/>
        </w:rPr>
        <w:t xml:space="preserve">Customer payment journal</w:t>
      </w:r>
      <w:r>
        <w:t xml:space="preserve"> (CPJL) to transfer funds between customer accounts, distribute a parent-account payment across child accounts, or restore a written-off or overpayment amount. It includes only the controls demonstrated in Part 2 of the AR Training D365 session. The steps are in the three guides listed in Part 2.</w:t>
      </w:r>
    </w:p>
    <w:p w14:paraId="3E52AE2F" w14:textId="77777777" w:rsidR="0070372A" w:rsidRDefault="003052D2">
      <w:pPr>
        <w:pStyle w:val="PGBodyText"/>
      </w:pPr>
      <w:commentRangeStart w:id="3"/>
      <w:r>
        <w:t xml:space="preserve">Posting permission, approval, checking the result after posting, and correcting or reversing a posted journal are not covered until confirmed.</w:t>
      </w:r>
      <w:commentRangeEnd w:id="3"/>
      <w:r>
        <w:rPr>
          <w:rStyle w:val="CommentReference"/>
        </w:rPr>
        <w:commentReference w:id="3"/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r>
        <w:t xml:space="preserve">You are preparing a CPJL to transfer or restore customer funds.</w:t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Accounts Receivable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To be confirmed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 xml:space="preserve">The controls apply to these processes: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3D8CBC33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 xml:space="preserve">1</w:t>
            </w:r>
          </w:p>
        </w:tc>
        <w:tc>
          <w:tcPr>
            <w:tcW w:w="2070" w:type="dxa"/>
          </w:tcPr>
          <w:p w14:paraId="7EDA4591" w14:textId="1C7ACCE5" w:rsidR="00DA126D" w:rsidRPr="00D718B1" w:rsidRDefault="00D215A8" w:rsidP="00DA126D">
            <w:pPr>
              <w:rPr>
                <w:szCs w:val="20"/>
              </w:rPr>
            </w:pPr>
            <w:hyperlink w:anchor="PG_REF_Guides">
              <w:r>
                <w:rPr>
                  <w:rStyle w:val="Hyperlink"/>
                </w:rPr>
                <w:t xml:space="preserve">AR Collections Customer Account Transfers</w:t>
              </w:r>
            </w:hyperlink>
          </w:p>
        </w:tc>
        <w:tc>
          <w:tcPr>
            <w:tcW w:w="2250" w:type="dxa"/>
          </w:tcPr>
          <w:p w14:paraId="293D596F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To be confirmed</w:t>
            </w:r>
          </w:p>
        </w:tc>
        <w:tc>
          <w:tcPr>
            <w:tcW w:w="2970" w:type="dxa"/>
          </w:tcPr>
          <w:p w14:paraId="1919870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payment is on the wrong customer account, or funds must move to a confirmed related account</w:t>
            </w:r>
          </w:p>
        </w:tc>
        <w:tc>
          <w:tcPr>
            <w:tcW w:w="1242" w:type="dxa"/>
          </w:tcPr>
          <w:p w14:paraId="139EF969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425421E2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 xml:space="preserve">2</w:t>
            </w:r>
          </w:p>
        </w:tc>
        <w:tc>
          <w:tcPr>
            <w:tcW w:w="2070" w:type="dxa"/>
          </w:tcPr>
          <w:p w14:paraId="67C08360" w14:textId="1C7ACCE5" w:rsidR="00DA126D" w:rsidRPr="00D718B1" w:rsidRDefault="00D215A8" w:rsidP="00DA126D">
            <w:pPr>
              <w:rPr>
                <w:szCs w:val="20"/>
              </w:rPr>
            </w:pPr>
            <w:hyperlink w:anchor="PG_REF_Guides">
              <w:r>
                <w:rPr>
                  <w:rStyle w:val="Hyperlink"/>
                </w:rPr>
                <w:t xml:space="preserve">AR Collections Parent Payment Distribution</w:t>
              </w:r>
            </w:hyperlink>
          </w:p>
        </w:tc>
        <w:tc>
          <w:tcPr>
            <w:tcW w:w="2250" w:type="dxa"/>
          </w:tcPr>
          <w:p w14:paraId="61F68782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To be confirmed</w:t>
            </w:r>
          </w:p>
        </w:tc>
        <w:tc>
          <w:tcPr>
            <w:tcW w:w="2970" w:type="dxa"/>
          </w:tcPr>
          <w:p w14:paraId="298B416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payment on a parent account must be distributed to confirmed child accounts</w:t>
            </w:r>
          </w:p>
        </w:tc>
        <w:tc>
          <w:tcPr>
            <w:tcW w:w="1242" w:type="dxa"/>
          </w:tcPr>
          <w:p w14:paraId="4EAD6F7E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21C4EC29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 xml:space="preserve">3</w:t>
            </w:r>
          </w:p>
        </w:tc>
        <w:tc>
          <w:tcPr>
            <w:tcW w:w="2070" w:type="dxa"/>
          </w:tcPr>
          <w:p w14:paraId="50F49CDC" w14:textId="1C7ACCE5" w:rsidR="00DA126D" w:rsidRPr="00D718B1" w:rsidRDefault="00D215A8" w:rsidP="00DA126D">
            <w:pPr>
              <w:rPr>
                <w:szCs w:val="20"/>
              </w:rPr>
            </w:pPr>
            <w:hyperlink w:anchor="PG_REF_Guides">
              <w:r>
                <w:rPr>
                  <w:rStyle w:val="Hyperlink"/>
                </w:rPr>
                <w:t xml:space="preserve">AR Collections Overpayment and Write-Off Restoration</w:t>
              </w:r>
            </w:hyperlink>
          </w:p>
        </w:tc>
        <w:tc>
          <w:tcPr>
            <w:tcW w:w="2250" w:type="dxa"/>
          </w:tcPr>
          <w:p w14:paraId="69036069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To be confirmed</w:t>
            </w:r>
          </w:p>
        </w:tc>
        <w:tc>
          <w:tcPr>
            <w:tcW w:w="2970" w:type="dxa"/>
          </w:tcPr>
          <w:p w14:paraId="58512DA2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an overpayment or written-off amount must be put back on a customer account</w:t>
            </w:r>
          </w:p>
        </w:tc>
        <w:tc>
          <w:tcPr>
            <w:tcW w:w="1242" w:type="dxa"/>
          </w:tcPr>
          <w:p w14:paraId="3D74DA81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commentRangeStart w:id="5"/>
      <w:r>
        <w:t xml:space="preserve">The business roles that prepare and post these journals are not yet confirmed.</w:t>
      </w:r>
      <w:commentRangeEnd w:id="5"/>
      <w:r>
        <w:rPr>
          <w:rStyle w:val="CommentReference"/>
        </w:rPr>
        <w:commentReference w:id="5"/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To be confirmed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A24217F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REF_Guides" w:history="1">
              <w:r>
                <w:rPr>
                  <w:rStyle w:val="Hyperlink"/>
                  <w:sz w:val="18"/>
                  <w:szCs w:val="18"/>
                </w:rPr>
                <w:t xml:space="preserve">AR Collections Customer Account Transfers</w:t>
              </w:r>
            </w:hyperlink>
          </w:p>
        </w:tc>
        <w:tc>
          <w:tcPr>
            <w:tcW w:w="1170" w:type="dxa"/>
          </w:tcPr>
          <w:p w14:paraId="74B4182A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7C60435E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REF_Guides" w:history="1">
              <w:r>
                <w:rPr>
                  <w:rStyle w:val="Hyperlink"/>
                  <w:sz w:val="18"/>
                  <w:szCs w:val="18"/>
                </w:rPr>
                <w:t xml:space="preserve">AR Collections Parent Payment Distribution</w:t>
              </w:r>
            </w:hyperlink>
          </w:p>
        </w:tc>
        <w:tc>
          <w:tcPr>
            <w:tcW w:w="1170" w:type="dxa"/>
          </w:tcPr>
          <w:p w14:paraId="3B55758F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23A5190C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REF_Guides" w:history="1">
              <w:r>
                <w:rPr>
                  <w:rStyle w:val="Hyperlink"/>
                  <w:sz w:val="18"/>
                  <w:szCs w:val="18"/>
                </w:rPr>
                <w:t xml:space="preserve">AR Collections Overpayment and Write-Off Restoration</w:t>
              </w:r>
            </w:hyperlink>
          </w:p>
        </w:tc>
        <w:tc>
          <w:tcPr>
            <w:tcW w:w="1170" w:type="dxa"/>
          </w:tcPr>
          <w:p w14:paraId="40567EEA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These controls apply to every CPJL entry in the three guides, unless a row says otherwise. The amounts used in the training are examples only, not thresholds.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Journal set-up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Control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What to do</w:t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716E980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Use CPJL</w:t>
            </w:r>
          </w:p>
        </w:tc>
        <w:tc>
          <w:tcPr>
            <w:tcW w:w="6647" w:type="dxa"/>
          </w:tcPr>
          <w:p w14:paraId="60E6221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Use the Customer payment journal (CPJL) to transfer funds between customer accounts and to restore written-off or overpayment amounts.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76173603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Describe the journal and every line</w:t>
            </w:r>
          </w:p>
        </w:tc>
        <w:tc>
          <w:tcPr>
            <w:tcW w:w="6647" w:type="dxa"/>
          </w:tcPr>
          <w:p w14:paraId="75B85B27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Enter a clear description on the journal and on each line, including the relevant customer code, so the entry can be identified in each customer's history.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4D72ABAD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Use the right date</w:t>
            </w:r>
          </w:p>
        </w:tc>
        <w:tc>
          <w:tcPr>
            <w:tcW w:w="6647" w:type="dxa"/>
          </w:tcPr>
          <w:p w14:paraId="4571F9C9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8"/>
            <w:r>
              <w:rPr>
                <w:rFonts w:cs="Segoe UI"/>
                <w:szCs w:val="20"/>
              </w:rPr>
              <w:t xml:space="preserve">The current date is the default. A wrong-account correction may use the original customer payment date when appropriate. Use a prior-period date only when it is required and the period is open.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7F152E7E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Keep the original currency</w:t>
            </w:r>
          </w:p>
        </w:tc>
        <w:tc>
          <w:tcPr>
            <w:tcW w:w="6647" w:type="dxa"/>
          </w:tcPr>
          <w:p w14:paraId="1BA5FBC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9"/>
            <w:r>
              <w:rPr>
                <w:rFonts w:cs="Segoe UI"/>
                <w:szCs w:val="20"/>
              </w:rPr>
              <w:t xml:space="preserve">Enter every line in the currency of the original payment or transaction.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Line coding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Control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What to do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420CBB67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Debit to remove, credit to return</w:t>
            </w:r>
          </w:p>
        </w:tc>
        <w:tc>
          <w:tcPr>
            <w:tcW w:w="6647" w:type="dxa"/>
          </w:tcPr>
          <w:p w14:paraId="12498FB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0"/>
            <w:r>
              <w:rPr>
                <w:rFonts w:cs="Segoe UI"/>
                <w:szCs w:val="20"/>
              </w:rPr>
              <w:t xml:space="preserve">Funds removed from a customer account are a debit. Funds placed on a customer account are a credit.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1F5B0ED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Offset to the correct ledger account</w:t>
            </w:r>
          </w:p>
        </w:tc>
        <w:tc>
          <w:tcPr>
            <w:tcW w:w="6647" w:type="dxa"/>
          </w:tcPr>
          <w:p w14:paraId="76EB0CB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1"/>
            <w:r>
              <w:rPr>
                <w:rFonts w:cs="Segoe UI"/>
                <w:szCs w:val="20"/>
              </w:rPr>
              <w:t xml:space="preserve">Set </w:t>
            </w:r>
            <w:r>
              <w:rPr>
                <w:b/>
                <w:rFonts w:cs="Segoe UI"/>
                <w:szCs w:val="20"/>
              </w:rPr>
              <w:t xml:space="preserve">Offset account type</w:t>
            </w:r>
            <w:r>
              <w:rPr>
                <w:rFonts w:cs="Segoe UI"/>
                <w:szCs w:val="20"/>
              </w:rPr>
              <w:t xml:space="preserve"> to </w:t>
            </w:r>
            <w:r>
              <w:rPr>
                <w:b/>
                <w:rFonts w:cs="Segoe UI"/>
                <w:szCs w:val="20"/>
              </w:rPr>
              <w:t xml:space="preserve">Ledger</w:t>
            </w:r>
            <w:r>
              <w:rPr>
                <w:rFonts w:cs="Segoe UI"/>
                <w:szCs w:val="20"/>
              </w:rPr>
              <w:t xml:space="preserve">. For a transfer between customer accounts, use the bank-to-bank transfer clearing account, never a bank account. For a restoration, use the Overpayment ledger.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733A4C0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Leave unsupported fields blank</w:t>
            </w:r>
          </w:p>
        </w:tc>
        <w:tc>
          <w:tcPr>
            <w:tcW w:w="6647" w:type="dxa"/>
          </w:tcPr>
          <w:p w14:paraId="1BD24FC6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2"/>
            <w:r>
              <w:rPr>
                <w:rFonts w:cs="Segoe UI"/>
                <w:szCs w:val="20"/>
              </w:rPr>
              <w:t xml:space="preserve">For a restoration, do not enter financial tags, an invoice number or a bank account.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3E1D5C0A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Keep pre-populated dimensions</w:t>
            </w:r>
          </w:p>
        </w:tc>
        <w:tc>
          <w:tcPr>
            <w:tcW w:w="6647" w:type="dxa"/>
          </w:tcPr>
          <w:p w14:paraId="65507033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3"/>
            <w:r>
              <w:rPr>
                <w:rFonts w:cs="Segoe UI"/>
                <w:szCs w:val="20"/>
              </w:rPr>
              <w:t xml:space="preserve">For a restoration, do not change the financial dimensions that fill in automatically.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5248BB2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Complete each line before the next</w:t>
            </w:r>
          </w:p>
        </w:tc>
        <w:tc>
          <w:tcPr>
            <w:tcW w:w="6647" w:type="dxa"/>
          </w:tcPr>
          <w:p w14:paraId="21723C7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4"/>
            <w:r>
              <w:rPr>
                <w:rFonts w:cs="Segoe UI"/>
                <w:szCs w:val="20"/>
              </w:rPr>
              <w:t xml:space="preserve">Tab through every field in a line before you start the next one, so that fields such as the voucher fill in correctly.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</w:tr>
    </w:tbl>
    <w:p w14:paraId="09343606" w14:textId="77777777" w:rsidR="00813B08" w:rsidRDefault="00813B08" w:rsidP="00813B08"/>
    <w:p w14:paraId="65B70B7A" w14:textId="77777777" w:rsidR="00813B08" w:rsidRDefault="00813B08" w:rsidP="00813B08">
      <w:pPr>
        <w:pStyle w:val="Heading5"/>
      </w:pPr>
      <w:r>
        <w:t xml:space="preserve">Validation and posting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2B6248BA" w14:textId="77777777" w:rsidR="00813B08" w:rsidRPr="00E0202A" w:rsidRDefault="00813B08" w:rsidP="00813B08">
            <w:pPr>
              <w:pStyle w:val="Table-Heading"/>
            </w:pPr>
            <w:r>
              <w:t xml:space="preserve">Control</w:t>
            </w:r>
          </w:p>
        </w:tc>
        <w:tc>
          <w:tcPr>
            <w:tcW w:w="6647" w:type="dxa"/>
            <w:shd w:val="clear" w:color="auto" w:fill="1D1765"/>
          </w:tcPr>
          <w:p w14:paraId="5E23EB3A" w14:textId="77777777" w:rsidR="00813B08" w:rsidRPr="00E0202A" w:rsidRDefault="00813B08" w:rsidP="00813B08">
            <w:pPr>
              <w:pStyle w:val="Table-Heading"/>
            </w:pPr>
            <w:r>
              <w:t xml:space="preserve">What to do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3A899DB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Balance the journal</w:t>
            </w:r>
          </w:p>
        </w:tc>
        <w:tc>
          <w:tcPr>
            <w:tcW w:w="6647" w:type="dxa"/>
          </w:tcPr>
          <w:p w14:paraId="6CFEC76E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5"/>
            <w:r>
              <w:rPr>
                <w:rFonts w:cs="Segoe UI"/>
                <w:szCs w:val="20"/>
              </w:rPr>
              <w:t xml:space="preserve">For a transfer or distribution, total debits must equal total credits. In a distribution, the child credits must add up to the parent debit.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6A9B6491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Simulate before posting</w:t>
            </w:r>
          </w:p>
        </w:tc>
        <w:tc>
          <w:tcPr>
            <w:tcW w:w="6647" w:type="dxa"/>
          </w:tcPr>
          <w:p w14:paraId="4476C649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6"/>
            <w:r>
              <w:rPr>
                <w:rFonts w:cs="Segoe UI"/>
                <w:szCs w:val="20"/>
              </w:rPr>
              <w:t xml:space="preserve">Run Simulate Posting. A blue result means the journal is ready to post. A red result shows errors to read and correct. If you cannot resolve an error, log a request through the D365 issue form (see </w:t>
            </w:r>
            <w:r>
              <w:rPr>
                <w:b/>
                <w:rFonts w:cs="Segoe UI"/>
                <w:szCs w:val="20"/>
              </w:rPr>
              <w:t xml:space="preserve">Additional Resources</w:t>
            </w:r>
            <w:r>
              <w:rPr>
                <w:rFonts w:cs="Segoe UI"/>
                <w:szCs w:val="20"/>
              </w:rPr>
              <w:t xml:space="preserve">).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2D27B7FE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Post only when complete and validated</w:t>
            </w:r>
          </w:p>
        </w:tc>
        <w:tc>
          <w:tcPr>
            <w:tcW w:w="6647" w:type="dxa"/>
          </w:tcPr>
          <w:p w14:paraId="1A780068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7"/>
            <w:r>
              <w:rPr>
                <w:rFonts w:cs="Segoe UI"/>
                <w:szCs w:val="20"/>
              </w:rPr>
              <w:t xml:space="preserve">Post only after every line is complete, the journal balances and Simulate Posting succeeds.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</w:tr>
    </w:tbl>
    <w:p w14:paraId="2045C702" w14:textId="77777777" w:rsidR="00813B08" w:rsidRDefault="00813B08" w:rsidP="00813B08"/>
    <w:p w14:paraId="2C134581" w14:textId="77777777" w:rsidR="00813B08" w:rsidRDefault="00813B08" w:rsidP="00813B08">
      <w:pPr>
        <w:pStyle w:val="Heading5"/>
      </w:pPr>
      <w:r>
        <w:t xml:space="preserve">Allocations and amounts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33A7F5CA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1CF540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642B10B6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Partial allocation</w:t>
            </w:r>
          </w:p>
        </w:tc>
        <w:tc>
          <w:tcPr>
            <w:tcW w:w="6647" w:type="dxa"/>
          </w:tcPr>
          <w:p w14:paraId="739AB1D8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8"/>
            <w:r>
              <w:rPr>
                <w:rFonts w:cs="Segoe UI"/>
                <w:szCs w:val="20"/>
              </w:rPr>
              <w:t xml:space="preserve">In a parent-account distribution, move only the confirmed amount. The rest stays on the parent account, with a note that explains its purpose.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338294C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Example amounts</w:t>
            </w:r>
          </w:p>
        </w:tc>
        <w:tc>
          <w:tcPr>
            <w:tcW w:w="6647" w:type="dxa"/>
          </w:tcPr>
          <w:p w14:paraId="6D07023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The training uses example amounts: $100, and a $10,000 receipt with $8,000 distributed and $2,000 left on the parent account. They are examples only, not thresholds, limits or approval levels.</w:t>
            </w:r>
          </w:p>
        </w:tc>
      </w:tr>
    </w:tbl>
    <w:p w14:paraId="15B5EEDF" w14:textId="77777777" w:rsidR="00813B08" w:rsidRDefault="00813B08" w:rsidP="00813B08"/>
    <w:p w14:paraId="2EE1EEE4" w14:textId="77777777" w:rsidR="00813B08" w:rsidRDefault="00813B08" w:rsidP="00813B08">
      <w:pPr>
        <w:pStyle w:val="Heading5"/>
      </w:pPr>
      <w:commentRangeStart w:id="19"/>
      <w:r>
        <w:t xml:space="preserve">Not covered by this reference</w:t>
      </w:r>
      <w:commentRangeEnd w:id="19"/>
      <w:r>
        <w:rPr>
          <w:rStyle w:val="CommentReference"/>
        </w:rPr>
        <w:commentReference w:id="19"/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2CF6AEA9" w14:textId="77777777" w:rsidR="00813B08" w:rsidRPr="00E0202A" w:rsidRDefault="00813B08" w:rsidP="00813B08">
            <w:pPr>
              <w:pStyle w:val="Table-Heading"/>
            </w:pPr>
            <w:r>
              <w:t xml:space="preserve">Topic</w:t>
            </w:r>
          </w:p>
        </w:tc>
        <w:tc>
          <w:tcPr>
            <w:tcW w:w="6647" w:type="dxa"/>
            <w:shd w:val="clear" w:color="auto" w:fill="1D1765"/>
          </w:tcPr>
          <w:p w14:paraId="766ED00D" w14:textId="77777777" w:rsidR="00813B08" w:rsidRPr="00E0202A" w:rsidRDefault="00813B08" w:rsidP="00813B08">
            <w:pPr>
              <w:pStyle w:val="Table-Heading"/>
            </w:pPr>
            <w:r>
              <w:t xml:space="preserve">Status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3B7E4A67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Who may post a CPJL</w:t>
            </w:r>
          </w:p>
        </w:tc>
        <w:tc>
          <w:tcPr>
            <w:tcW w:w="6647" w:type="dxa"/>
          </w:tcPr>
          <w:p w14:paraId="68EF3DEC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To be confirmed.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562F8E65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Whether approval is needed</w:t>
            </w:r>
          </w:p>
        </w:tc>
        <w:tc>
          <w:tcPr>
            <w:tcW w:w="6647" w:type="dxa"/>
          </w:tcPr>
          <w:p w14:paraId="5127A680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To be confirmed.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1F117C03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Checking the result after posting</w:t>
            </w:r>
          </w:p>
        </w:tc>
        <w:tc>
          <w:tcPr>
            <w:tcW w:w="6647" w:type="dxa"/>
          </w:tcPr>
          <w:p w14:paraId="6A0A691D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To be confirmed. The AR Collections Customer Account guide covers reviewing customer transactions.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79A4864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Correcting or reversing a posted journal</w:t>
            </w:r>
          </w:p>
        </w:tc>
        <w:tc>
          <w:tcPr>
            <w:tcW w:w="6647" w:type="dxa"/>
          </w:tcPr>
          <w:p w14:paraId="58C38336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To be confirmed.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1B1C05B4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An unposted journal that is no longer needed</w:t>
            </w:r>
          </w:p>
        </w:tc>
        <w:tc>
          <w:tcPr>
            <w:tcW w:w="6647" w:type="dxa"/>
          </w:tcPr>
          <w:p w14:paraId="637DDA7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To be confirmed.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69A468C1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The security role needed</w:t>
            </w:r>
          </w:p>
        </w:tc>
        <w:tc>
          <w:tcPr>
            <w:tcW w:w="6647" w:type="dxa"/>
          </w:tcPr>
          <w:p w14:paraId="28E69DDD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To be confirmed. If a page or control is missing, a security setting is a possible cause, not a confirmed one.</w:t>
            </w:r>
          </w:p>
        </w:tc>
      </w:tr>
    </w:tbl>
    <w:p w14:paraId="23B18C71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Customer Payment Journal Controls)</w:t>
      </w:r>
      <w:bookmarkEnd w:id="46"/>
    </w:p>
    <w:p w14:paraId="2776FF93" w14:textId="77777777" w:rsidR="003A6A4B" w:rsidRPr="003A6A4B" w:rsidRDefault="003A6A4B" w:rsidP="003A6A4B"/>
    <w:p w14:paraId="1DF91757" w14:textId="77777777" w:rsidR="0070372A" w:rsidRDefault="003052D2">
      <w:pPr>
        <w:pStyle w:val="PGBodyText"/>
      </w:pPr>
      <w:bookmarkStart w:id="60" w:name="PG_REF_Guides"/>
      <w:r>
        <w:t xml:space="preserve">The procedures that apply these controls are in these guides:</w:t>
      </w:r>
      <w:bookmarkEnd w:id="60"/>
    </w:p>
    <w:p w14:paraId="75D7D354" w14:textId="77777777" w:rsidR="0070372A" w:rsidRDefault="003052D2">
      <w:pPr>
        <w:pStyle w:val="CWBullet1"/>
      </w:pPr>
      <w:r>
        <w:rPr>
          <w:b/>
        </w:rPr>
        <w:t xml:space="preserve">AR Collections Customer Account Transfers</w:t>
      </w:r>
      <w:r>
        <w:t xml:space="preserve">: transfer funds between customer accounts.</w:t>
      </w:r>
    </w:p>
    <w:p w14:paraId="6CB2DFE5" w14:textId="77777777" w:rsidR="0070372A" w:rsidRDefault="003052D2">
      <w:pPr>
        <w:pStyle w:val="CWBullet1"/>
      </w:pPr>
      <w:r>
        <w:rPr>
          <w:b/>
        </w:rPr>
        <w:t xml:space="preserve">AR Collections Parent Payment Distribution</w:t>
      </w:r>
      <w:r>
        <w:t xml:space="preserve">: distribute a parent-account payment across child accounts, including a partial allocation.</w:t>
      </w:r>
    </w:p>
    <w:p w14:paraId="338FD006" w14:textId="77777777" w:rsidR="0070372A" w:rsidRDefault="003052D2">
      <w:pPr>
        <w:pStyle w:val="CWBullet1"/>
      </w:pPr>
      <w:r>
        <w:rPr>
          <w:b/>
        </w:rPr>
        <w:t xml:space="preserve">AR Collections Overpayment and Write-Off Restoration</w:t>
      </w:r>
      <w:r>
        <w:t xml:space="preserve">: put a written-off or overpayment amount back on a customer account.</w:t>
      </w:r>
    </w:p>
    <w:p w14:paraId="76C589E1" w14:textId="77777777" w:rsidR="0070372A" w:rsidRDefault="003052D2">
      <w:pPr>
        <w:pStyle w:val="PGBodyText"/>
      </w:pPr>
      <w:r>
        <w:t xml:space="preserve">Each guide includes the Simulate Posting and posting steps, so this reference has no procedures of its own.</w:t>
      </w:r>
    </w:p>
    <w:p w14:paraId="1B86584F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Customer Payment Journal Controls)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20"/>
      <w:r>
        <w:t xml:space="preserve">Reports for these processes are pending SME confirmation.</w:t>
      </w:r>
      <w:commentRangeEnd w:id="20"/>
      <w:r>
        <w:rPr>
          <w:rStyle w:val="CommentReference"/>
        </w:rPr>
        <w:commentReference w:id="20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25T23:07:10Z" w:initials="VR">
    <w:p w14:paraId="7546671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GOV-03: Assign the reference code and confirm the final title. The Part 2 roadmap names this item "Understand Customer Payment Journals (CPJL) as a prerequisite/reference" (item 14).</w:t>
      </w:r>
    </w:p>
  </w:comment>
  <w:comment w:id="1" w:author="Validation register" w:date="2026-10-25T23:07:11Z" w:initials="VR">
    <w:p w14:paraId="473DA8C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GOV-02: Confirm the business process owner (BPO) for this reference.</w:t>
      </w:r>
    </w:p>
  </w:comment>
  <w:comment w:id="2" w:author="Validation register" w:date="2026-10-25T23:07:11Z" w:initials="VR">
    <w:p w14:paraId="56E7A48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SRC-01: Every control in this reference comes from Teams AI-generated notes of the AR Training D365 Part 2 session. Check each one against the Part 2 recording or transcript before this reference is published.</w:t>
      </w:r>
    </w:p>
  </w:comment>
  <w:comment w:id="3" w:author="Validation register" w:date="2026-10-25T23:07:11Z" w:initials="VR">
    <w:p w14:paraId="53D40E3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CPJ-16 to CPJ-19: Confirm who may post, whether approval is needed, how to check the result and how to correct a posted journal. The Part 2 notes do not cover them.</w:t>
      </w:r>
    </w:p>
  </w:comment>
  <w:comment w:id="4" w:author="Validation register" w:date="2026-10-25T23:07:11Z" w:initials="VR">
    <w:p w14:paraId="55A0525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GOV-01: Confirm the stream, process area and the business role that prepares these journals. The Part 2 notes do not say whether Collections Officers do this work.</w:t>
      </w:r>
    </w:p>
  </w:comment>
  <w:comment w:id="5" w:author="Validation register" w:date="2026-10-25T23:07:11Z" w:initials="VR">
    <w:p w14:paraId="513C96A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CPJ-16 / CPJ-17: Confirm which role may post a CPJL and whether the journal needs approval. The Part 2 notes do not say.</w:t>
      </w:r>
    </w:p>
  </w:comment>
  <w:comment w:id="6" w:author="Validation register" w:date="2026-10-25T23:07:11Z" w:initials="VR">
    <w:p w14:paraId="7F93FC8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CPJ-01 / CPJ-02: Confirm the navigation path and how the CPJL journal name is selected.</w:t>
      </w:r>
    </w:p>
  </w:comment>
  <w:comment w:id="7" w:author="Validation register" w:date="2026-10-25T23:07:11Z" w:initials="VR">
    <w:p w14:paraId="7AC6BAB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CPJ-03 / CPJ-04: Confirm the Description field labels and whether there is a wording standard.</w:t>
      </w:r>
    </w:p>
  </w:comment>
  <w:comment w:id="8" w:author="Validation register" w:date="2026-10-25T23:07:11Z" w:initials="VR">
    <w:p w14:paraId="7F73F10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CPJ-05: Confirm the date field label and the backdating rule. The two parts come from the transfer and restoration notes; the parent draft states no date rule.</w:t>
      </w:r>
    </w:p>
  </w:comment>
  <w:comment w:id="9" w:author="Validation register" w:date="2026-10-25T23:07:12Z" w:initials="VR">
    <w:p w14:paraId="6AA8091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CPJ-07: Confirm the currency field and its behavior.</w:t>
      </w:r>
    </w:p>
  </w:comment>
  <w:comment w:id="10" w:author="Validation register" w:date="2026-10-25T23:07:12Z" w:initials="VR">
    <w:p w14:paraId="73426CA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CPJ-06: Confirm how debits and credits are shown and entered.</w:t>
      </w:r>
    </w:p>
  </w:comment>
  <w:comment w:id="11" w:author="Validation register" w:date="2026-10-25T23:07:12Z" w:initials="VR">
    <w:p w14:paraId="1D14CB1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CPJ-08 / CPJ-09 / TF-03 / RO-01: Confirm the field labels, the account labels and values, and whether guides show account numbers. TF-04 / PC-03: confirm the offset on each transfer line.</w:t>
      </w:r>
    </w:p>
  </w:comment>
  <w:comment w:id="12" w:author="Validation register" w:date="2026-10-25T23:07:12Z" w:initials="VR">
    <w:p w14:paraId="5573B35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CPJ-10: Confirm the field labels, and whether the rule also applies to transfers and distributions.</w:t>
      </w:r>
    </w:p>
  </w:comment>
  <w:comment w:id="13" w:author="Validation register" w:date="2026-10-25T23:07:12Z" w:initials="VR">
    <w:p w14:paraId="58CE596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CPJ-11: Confirm any exceptions, and whether the rule also applies to transfers and distributions.</w:t>
      </w:r>
    </w:p>
  </w:comment>
  <w:comment w:id="14" w:author="Validation register" w:date="2026-10-25T23:07:12Z" w:initials="VR">
    <w:p w14:paraId="6DD1163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CPJ-12: Confirm which fields complete when you tab through a line.</w:t>
      </w:r>
    </w:p>
  </w:comment>
  <w:comment w:id="15" w:author="Validation register" w:date="2026-10-25T23:07:12Z" w:initials="VR">
    <w:p w14:paraId="5A7FC8A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CPJ-13: Confirm where the journal totals are shown.</w:t>
      </w:r>
    </w:p>
  </w:comment>
  <w:comment w:id="16" w:author="Validation register" w:date="2026-10-25T23:07:12Z" w:initials="VR">
    <w:p w14:paraId="56BF679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CPJ-14 / CPJ-15: Confirm the Simulate Posting label and results, common errors, and the support route. During training, errors were escalated to "SYD".</w:t>
      </w:r>
    </w:p>
  </w:comment>
  <w:comment w:id="17" w:author="Validation register" w:date="2026-10-25T23:07:13Z" w:initials="VR">
    <w:p w14:paraId="47A855D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CPJ-16 / CPJ-17: Confirm the Post control, who may post, and whether approval or a value threshold applies.</w:t>
      </w:r>
    </w:p>
  </w:comment>
  <w:comment w:id="18" w:author="Validation register" w:date="2026-10-25T23:07:13Z" w:initials="VR">
    <w:p w14:paraId="60BAC73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PC-04: Confirm where, how and at what point the residual note is added.</w:t>
      </w:r>
    </w:p>
  </w:comment>
  <w:comment w:id="19" w:author="Validation register" w:date="2026-10-25T23:07:13Z" w:initials="VR">
    <w:p w14:paraId="52F5252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CPJ-16 to CPJ-21: These are open items in the Part 2 validation register. They stay listed here, rather than filled in, until confirmed.</w:t>
      </w:r>
    </w:p>
  </w:comment>
  <w:comment w:id="20" w:author="Validation register" w:date="2026-10-25T23:07:13Z" w:initials="VR">
    <w:p w14:paraId="7D1218E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GOV-04: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466719" w15:done="0"/>
  <w15:commentEx w15:paraId="473DA8C6" w15:done="0"/>
  <w15:commentEx w15:paraId="56E7A484" w15:done="0"/>
  <w15:commentEx w15:paraId="53D40E3C" w15:done="0"/>
  <w15:commentEx w15:paraId="55A05256" w15:done="0"/>
  <w15:commentEx w15:paraId="513C96A4" w15:done="0"/>
  <w15:commentEx w15:paraId="7F93FC8D" w15:done="0"/>
  <w15:commentEx w15:paraId="7AC6BABA" w15:done="0"/>
  <w15:commentEx w15:paraId="7F73F10E" w15:done="0"/>
  <w15:commentEx w15:paraId="6AA80918" w15:done="0"/>
  <w15:commentEx w15:paraId="73426CA0" w15:done="0"/>
  <w15:commentEx w15:paraId="1D14CB11" w15:done="0"/>
  <w15:commentEx w15:paraId="5573B355" w15:done="0"/>
  <w15:commentEx w15:paraId="58CE5965" w15:done="0"/>
  <w15:commentEx w15:paraId="6DD11637" w15:done="0"/>
  <w15:commentEx w15:paraId="5A7FC8AB" w15:done="0"/>
  <w15:commentEx w15:paraId="56BF6793" w15:done="0"/>
  <w15:commentEx w15:paraId="47A855D6" w15:done="0"/>
  <w15:commentEx w15:paraId="60BAC734" w15:done="0"/>
  <w15:commentEx w15:paraId="52F52529" w15:done="0"/>
  <w15:commentEx w15:paraId="7D1218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82E42B4" w16cex:dateUtc="2026-10-25T23:07:10Z"/>
  <w16cex:commentExtensible w16cex:durableId="5ECD748A" w16cex:dateUtc="2026-10-25T23:07:11Z"/>
  <w16cex:commentExtensible w16cex:durableId="08914A6C" w16cex:dateUtc="2026-10-25T23:07:11Z"/>
  <w16cex:commentExtensible w16cex:durableId="4A616A2F" w16cex:dateUtc="2026-10-25T23:07:11Z"/>
  <w16cex:commentExtensible w16cex:durableId="16EDD7AE" w16cex:dateUtc="2026-10-25T23:07:11Z"/>
  <w16cex:commentExtensible w16cex:durableId="3B6BDA7A" w16cex:dateUtc="2026-10-25T23:07:11Z"/>
  <w16cex:commentExtensible w16cex:durableId="7A8045D6" w16cex:dateUtc="2026-10-25T23:07:11Z"/>
  <w16cex:commentExtensible w16cex:durableId="4265643F" w16cex:dateUtc="2026-10-25T23:07:11Z"/>
  <w16cex:commentExtensible w16cex:durableId="0E4AA80E" w16cex:dateUtc="2026-10-25T23:07:11Z"/>
  <w16cex:commentExtensible w16cex:durableId="16569F19" w16cex:dateUtc="2026-10-25T23:07:12Z"/>
  <w16cex:commentExtensible w16cex:durableId="7A4579B4" w16cex:dateUtc="2026-10-25T23:07:12Z"/>
  <w16cex:commentExtensible w16cex:durableId="583FDF9A" w16cex:dateUtc="2026-10-25T23:07:12Z"/>
  <w16cex:commentExtensible w16cex:durableId="365B002C" w16cex:dateUtc="2026-10-25T23:07:12Z"/>
  <w16cex:commentExtensible w16cex:durableId="098901F9" w16cex:dateUtc="2026-10-25T23:07:12Z"/>
  <w16cex:commentExtensible w16cex:durableId="5E2572F3" w16cex:dateUtc="2026-10-25T23:07:12Z"/>
  <w16cex:commentExtensible w16cex:durableId="0A4FB5B4" w16cex:dateUtc="2026-10-25T23:07:12Z"/>
  <w16cex:commentExtensible w16cex:durableId="53A45AC8" w16cex:dateUtc="2026-10-25T23:07:12Z"/>
  <w16cex:commentExtensible w16cex:durableId="5BFD8BBA" w16cex:dateUtc="2026-10-25T23:07:13Z"/>
  <w16cex:commentExtensible w16cex:durableId="76009233" w16cex:dateUtc="2026-10-25T23:07:13Z"/>
  <w16cex:commentExtensible w16cex:durableId="1F16D634" w16cex:dateUtc="2026-10-25T23:07:13Z"/>
  <w16cex:commentExtensible w16cex:durableId="62473B60" w16cex:dateUtc="2026-10-25T23:07:1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466719" w16cid:durableId="182E42B4"/>
  <w16cid:commentId w16cid:paraId="473DA8C6" w16cid:durableId="5ECD748A"/>
  <w16cid:commentId w16cid:paraId="56E7A484" w16cid:durableId="08914A6C"/>
  <w16cid:commentId w16cid:paraId="53D40E3C" w16cid:durableId="4A616A2F"/>
  <w16cid:commentId w16cid:paraId="55A05256" w16cid:durableId="16EDD7AE"/>
  <w16cid:commentId w16cid:paraId="513C96A4" w16cid:durableId="3B6BDA7A"/>
  <w16cid:commentId w16cid:paraId="7F93FC8D" w16cid:durableId="7A8045D6"/>
  <w16cid:commentId w16cid:paraId="7AC6BABA" w16cid:durableId="4265643F"/>
  <w16cid:commentId w16cid:paraId="7F73F10E" w16cid:durableId="0E4AA80E"/>
  <w16cid:commentId w16cid:paraId="6AA80918" w16cid:durableId="16569F19"/>
  <w16cid:commentId w16cid:paraId="73426CA0" w16cid:durableId="7A4579B4"/>
  <w16cid:commentId w16cid:paraId="1D14CB11" w16cid:durableId="583FDF9A"/>
  <w16cid:commentId w16cid:paraId="5573B355" w16cid:durableId="365B002C"/>
  <w16cid:commentId w16cid:paraId="58CE5965" w16cid:durableId="098901F9"/>
  <w16cid:commentId w16cid:paraId="6DD11637" w16cid:durableId="5E2572F3"/>
  <w16cid:commentId w16cid:paraId="5A7FC8AB" w16cid:durableId="0A4FB5B4"/>
  <w16cid:commentId w16cid:paraId="56BF6793" w16cid:durableId="53A45AC8"/>
  <w16cid:commentId w16cid:paraId="47A855D6" w16cid:durableId="5BFD8BBA"/>
  <w16cid:commentId w16cid:paraId="60BAC734" w16cid:durableId="76009233"/>
  <w16cid:commentId w16cid:paraId="52F52529" w16cid:durableId="1F16D634"/>
  <w16cid:commentId w16cid:paraId="7D1218EB" w16cid:durableId="62473B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Customer Payment Journal Controls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Customer Payment Journal Controls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Customer Payment Journal Controls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Customer Payment Journal Controls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Customer Payment Journal Controls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