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Using the Procedure Guide Template</w:t>
      </w:r>
    </w:p>
    <w:p>
      <w:pPr>
        <w:pStyle w:val="Subtitle"/>
      </w:pPr>
      <w:r>
        <w:rPr>
          <w:b w:val="0"/>
          <w:i w:val="0"/>
        </w:rPr>
        <w:t>Authoring handbook for instructional designers and subject matter experts</w:t>
      </w:r>
    </w:p>
    <w:p>
      <w:r>
        <w:rPr>
          <w:b w:val="0"/>
          <w:i w:val="0"/>
        </w:rPr>
        <w:t>Version 1.0  |  October 2026  |  Companion to .PG_Word_Template-MASTER TEMPLATE.docx</w:t>
      </w:r>
    </w:p>
    <w:p>
      <w:r>
        <w:rPr>
          <w:b w:val="0"/>
          <w:i w:val="0"/>
        </w:rPr>
        <w:t>Use this handbook with an untouched copy of the supplied master to create a complete D365 Procedure Guide (PG). It explains what to write in every section, how to preserve the Word structure, and how to prepare a draft for factual review and publication. You do not need the earlier project conversations to follow it.</w:t>
      </w:r>
    </w:p>
    <w:p>
      <w:r>
        <w:rPr>
          <w:b w:val="0"/>
          <w:i w:val="0"/>
        </w:rPr>
        <w:t xml:space="preserve">The template supplies the format. </w:t>
      </w:r>
      <w:r>
        <w:rPr>
          <w:b/>
          <w:i w:val="0"/>
        </w:rPr>
        <w:t>The subject matter expert (SME) supplies and validates the process facts.</w:t>
      </w:r>
      <w:r>
        <w:rPr>
          <w:b w:val="0"/>
          <w:i w:val="0"/>
        </w:rPr>
        <w:t xml:space="preserve"> A completed layout does not establish that a procedure is correct or approved. Gather the process evidence described on page 2 before writing executable instructions.</w:t>
      </w:r>
    </w:p>
    <w:p>
      <w:pPr>
        <w:pStyle w:val="Heading2"/>
      </w:pPr>
      <w:r>
        <w:t>How to use this handbook</w:t>
      </w:r>
    </w:p>
    <w:p>
      <w:r>
        <w:rPr>
          <w:b w:val="0"/>
          <w:i w:val="0"/>
        </w:rPr>
        <w:t>Read pages 2–3 first. Complete the template using pages 4–8, then use pages 9–12 to check Word behavior, resolve questions, and hand over the guide. The examples teach authoring patterns; they are not reusable system instructions unless separately confirmed for your process.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9173"/>
      </w:tblGrid>
      <w:tr>
        <w:trPr>
          <w:cantSplit/>
          <w:tblHeader/>
        </w:trPr>
        <w:tc>
          <w:tcPr>
            <w:tcW w:type="dxa" w:w="720"/>
            <w:vAlign w:val="center"/>
            <w:shd w:fill="E7EDF5"/>
            <w:tcMar>
              <w:top w:w="85" w:type="dxa"/>
              <w:bottom w:w="85" w:type="dxa"/>
              <w:left w:w="85" w:type="dxa"/>
              <w:right w:w="85" w:type="dxa"/>
            </w:tcMar>
          </w:tcPr>
          <w:p>
            <w:pPr>
              <w:spacing w:after="40" w:before="40" w:line="240" w:lineRule="auto"/>
            </w:pPr>
            <w:r>
              <w:rPr>
                <w:b/>
                <w:i w:val="0"/>
                <w:sz w:val="20"/>
              </w:rPr>
              <w:t>Page</w:t>
            </w:r>
          </w:p>
        </w:tc>
        <w:tc>
          <w:tcPr>
            <w:tcW w:type="dxa" w:w="9173"/>
            <w:vAlign w:val="center"/>
            <w:shd w:fill="E7EDF5"/>
            <w:tcMar>
              <w:top w:w="85" w:type="dxa"/>
              <w:bottom w:w="85" w:type="dxa"/>
              <w:left w:w="85" w:type="dxa"/>
              <w:right w:w="85" w:type="dxa"/>
            </w:tcMar>
          </w:tcPr>
          <w:p>
            <w:pPr>
              <w:spacing w:after="40" w:before="40" w:line="240" w:lineRule="auto"/>
            </w:pPr>
            <w:r>
              <w:rPr>
                <w:b/>
                <w:i w:val="0"/>
                <w:sz w:val="20"/>
              </w:rPr>
              <w:t>Use it to</w:t>
            </w:r>
          </w:p>
        </w:tc>
      </w:tr>
      <w:tr>
        <w:trPr>
          <w:cantSplit/>
        </w:trPr>
        <w:tc>
          <w:tcPr>
            <w:tcW w:type="dxa" w:w="720"/>
            <w:vAlign w:val="center"/>
            <w:shd w:fill="FFFFFF"/>
            <w:tcMar>
              <w:top w:w="85" w:type="dxa"/>
              <w:bottom w:w="85" w:type="dxa"/>
              <w:left w:w="85" w:type="dxa"/>
              <w:right w:w="85" w:type="dxa"/>
            </w:tcMar>
          </w:tcPr>
          <w:p>
            <w:pPr>
              <w:spacing w:after="40" w:before="40" w:line="240" w:lineRule="auto"/>
            </w:pPr>
            <w:r>
              <w:rPr>
                <w:b w:val="0"/>
                <w:i w:val="0"/>
                <w:sz w:val="20"/>
              </w:rPr>
              <w:t>2</w:t>
            </w:r>
          </w:p>
        </w:tc>
        <w:tc>
          <w:tcPr>
            <w:tcW w:type="dxa" w:w="9173"/>
            <w:vAlign w:val="center"/>
            <w:shd w:fill="FFFFFF"/>
            <w:tcMar>
              <w:top w:w="85" w:type="dxa"/>
              <w:bottom w:w="85" w:type="dxa"/>
              <w:left w:w="85" w:type="dxa"/>
              <w:right w:w="85" w:type="dxa"/>
            </w:tcMar>
          </w:tcPr>
          <w:p>
            <w:pPr>
              <w:spacing w:after="40" w:before="40" w:line="240" w:lineRule="auto"/>
            </w:pPr>
            <w:r>
              <w:rPr>
                <w:b w:val="0"/>
                <w:i w:val="0"/>
                <w:sz w:val="20"/>
              </w:rPr>
              <w:t>Start a controlled copy and gather the content</w:t>
            </w:r>
          </w:p>
        </w:tc>
      </w:tr>
      <w:tr>
        <w:trPr>
          <w:cantSplit/>
        </w:trPr>
        <w:tc>
          <w:tcPr>
            <w:tcW w:type="dxa" w:w="720"/>
            <w:vAlign w:val="center"/>
            <w:shd w:fill="F6F7FA"/>
            <w:tcMar>
              <w:top w:w="85" w:type="dxa"/>
              <w:bottom w:w="85" w:type="dxa"/>
              <w:left w:w="85" w:type="dxa"/>
              <w:right w:w="85" w:type="dxa"/>
            </w:tcMar>
          </w:tcPr>
          <w:p>
            <w:pPr>
              <w:spacing w:after="40" w:before="40" w:line="240" w:lineRule="auto"/>
            </w:pPr>
            <w:r>
              <w:rPr>
                <w:b w:val="0"/>
                <w:i w:val="0"/>
                <w:sz w:val="20"/>
              </w:rPr>
              <w:t>3</w:t>
            </w:r>
          </w:p>
        </w:tc>
        <w:tc>
          <w:tcPr>
            <w:tcW w:type="dxa" w:w="9173"/>
            <w:vAlign w:val="center"/>
            <w:shd w:fill="F6F7FA"/>
            <w:tcMar>
              <w:top w:w="85" w:type="dxa"/>
              <w:bottom w:w="85" w:type="dxa"/>
              <w:left w:w="85" w:type="dxa"/>
              <w:right w:w="85" w:type="dxa"/>
            </w:tcMar>
          </w:tcPr>
          <w:p>
            <w:pPr>
              <w:spacing w:after="40" w:before="40" w:line="240" w:lineRule="auto"/>
            </w:pPr>
            <w:r>
              <w:rPr>
                <w:b w:val="0"/>
                <w:i w:val="0"/>
                <w:sz w:val="20"/>
              </w:rPr>
              <w:t>Choose the topic structure and styles</w:t>
            </w:r>
          </w:p>
        </w:tc>
      </w:tr>
      <w:tr>
        <w:trPr>
          <w:cantSplit/>
        </w:trPr>
        <w:tc>
          <w:tcPr>
            <w:tcW w:type="dxa" w:w="720"/>
            <w:vAlign w:val="center"/>
            <w:shd w:fill="FFFFFF"/>
            <w:tcMar>
              <w:top w:w="85" w:type="dxa"/>
              <w:bottom w:w="85" w:type="dxa"/>
              <w:left w:w="85" w:type="dxa"/>
              <w:right w:w="85" w:type="dxa"/>
            </w:tcMar>
          </w:tcPr>
          <w:p>
            <w:pPr>
              <w:spacing w:after="40" w:before="40" w:line="240" w:lineRule="auto"/>
            </w:pPr>
            <w:r>
              <w:rPr>
                <w:b w:val="0"/>
                <w:i w:val="0"/>
                <w:sz w:val="20"/>
              </w:rPr>
              <w:t>4</w:t>
            </w:r>
          </w:p>
        </w:tc>
        <w:tc>
          <w:tcPr>
            <w:tcW w:type="dxa" w:w="9173"/>
            <w:vAlign w:val="center"/>
            <w:shd w:fill="FFFFFF"/>
            <w:tcMar>
              <w:top w:w="85" w:type="dxa"/>
              <w:bottom w:w="85" w:type="dxa"/>
              <w:left w:w="85" w:type="dxa"/>
              <w:right w:w="85" w:type="dxa"/>
            </w:tcMar>
          </w:tcPr>
          <w:p>
            <w:pPr>
              <w:spacing w:after="40" w:before="40" w:line="240" w:lineRule="auto"/>
            </w:pPr>
            <w:r>
              <w:rPr>
                <w:b w:val="0"/>
                <w:i w:val="0"/>
                <w:sz w:val="20"/>
              </w:rPr>
              <w:t>Complete the front matter and high level Process table</w:t>
            </w:r>
          </w:p>
        </w:tc>
      </w:tr>
      <w:tr>
        <w:trPr>
          <w:cantSplit/>
        </w:trPr>
        <w:tc>
          <w:tcPr>
            <w:tcW w:type="dxa" w:w="720"/>
            <w:vAlign w:val="center"/>
            <w:shd w:fill="F6F7FA"/>
            <w:tcMar>
              <w:top w:w="85" w:type="dxa"/>
              <w:bottom w:w="85" w:type="dxa"/>
              <w:left w:w="85" w:type="dxa"/>
              <w:right w:w="85" w:type="dxa"/>
            </w:tcMar>
          </w:tcPr>
          <w:p>
            <w:pPr>
              <w:spacing w:after="40" w:before="40" w:line="240" w:lineRule="auto"/>
            </w:pPr>
            <w:r>
              <w:rPr>
                <w:b w:val="0"/>
                <w:i w:val="0"/>
                <w:sz w:val="20"/>
              </w:rPr>
              <w:t>5</w:t>
            </w:r>
          </w:p>
        </w:tc>
        <w:tc>
          <w:tcPr>
            <w:tcW w:type="dxa" w:w="9173"/>
            <w:vAlign w:val="center"/>
            <w:shd w:fill="F6F7FA"/>
            <w:tcMar>
              <w:top w:w="85" w:type="dxa"/>
              <w:bottom w:w="85" w:type="dxa"/>
              <w:left w:w="85" w:type="dxa"/>
              <w:right w:w="85" w:type="dxa"/>
            </w:tcMar>
          </w:tcPr>
          <w:p>
            <w:pPr>
              <w:spacing w:after="40" w:before="40" w:line="240" w:lineRule="auto"/>
            </w:pPr>
            <w:r>
              <w:rPr>
                <w:b w:val="0"/>
                <w:i w:val="0"/>
                <w:sz w:val="20"/>
              </w:rPr>
              <w:t>Complete roles and key concepts</w:t>
            </w:r>
          </w:p>
        </w:tc>
      </w:tr>
      <w:tr>
        <w:trPr>
          <w:cantSplit/>
        </w:trPr>
        <w:tc>
          <w:tcPr>
            <w:tcW w:type="dxa" w:w="720"/>
            <w:vAlign w:val="center"/>
            <w:shd w:fill="FFFFFF"/>
            <w:tcMar>
              <w:top w:w="85" w:type="dxa"/>
              <w:bottom w:w="85" w:type="dxa"/>
              <w:left w:w="85" w:type="dxa"/>
              <w:right w:w="85" w:type="dxa"/>
            </w:tcMar>
          </w:tcPr>
          <w:p>
            <w:pPr>
              <w:spacing w:after="40" w:before="40" w:line="240" w:lineRule="auto"/>
            </w:pPr>
            <w:r>
              <w:rPr>
                <w:b w:val="0"/>
                <w:i w:val="0"/>
                <w:sz w:val="20"/>
              </w:rPr>
              <w:t>6</w:t>
            </w:r>
          </w:p>
        </w:tc>
        <w:tc>
          <w:tcPr>
            <w:tcW w:type="dxa" w:w="9173"/>
            <w:vAlign w:val="center"/>
            <w:shd w:fill="FFFFFF"/>
            <w:tcMar>
              <w:top w:w="85" w:type="dxa"/>
              <w:bottom w:w="85" w:type="dxa"/>
              <w:left w:w="85" w:type="dxa"/>
              <w:right w:w="85" w:type="dxa"/>
            </w:tcMar>
          </w:tcPr>
          <w:p>
            <w:pPr>
              <w:spacing w:after="40" w:before="40" w:line="240" w:lineRule="auto"/>
            </w:pPr>
            <w:r>
              <w:rPr>
                <w:b w:val="0"/>
                <w:i w:val="0"/>
                <w:sz w:val="20"/>
              </w:rPr>
              <w:t>Write precise procedural actions</w:t>
            </w:r>
          </w:p>
        </w:tc>
      </w:tr>
      <w:tr>
        <w:trPr>
          <w:cantSplit/>
        </w:trPr>
        <w:tc>
          <w:tcPr>
            <w:tcW w:type="dxa" w:w="720"/>
            <w:vAlign w:val="center"/>
            <w:shd w:fill="F6F7FA"/>
            <w:tcMar>
              <w:top w:w="85" w:type="dxa"/>
              <w:bottom w:w="85" w:type="dxa"/>
              <w:left w:w="85" w:type="dxa"/>
              <w:right w:w="85" w:type="dxa"/>
            </w:tcMar>
          </w:tcPr>
          <w:p>
            <w:pPr>
              <w:spacing w:after="40" w:before="40" w:line="240" w:lineRule="auto"/>
            </w:pPr>
            <w:r>
              <w:rPr>
                <w:b w:val="0"/>
                <w:i w:val="0"/>
                <w:sz w:val="20"/>
              </w:rPr>
              <w:t>7</w:t>
            </w:r>
          </w:p>
        </w:tc>
        <w:tc>
          <w:tcPr>
            <w:tcW w:type="dxa" w:w="9173"/>
            <w:vAlign w:val="center"/>
            <w:shd w:fill="F6F7FA"/>
            <w:tcMar>
              <w:top w:w="85" w:type="dxa"/>
              <w:bottom w:w="85" w:type="dxa"/>
              <w:left w:w="85" w:type="dxa"/>
              <w:right w:w="85" w:type="dxa"/>
            </w:tcMar>
          </w:tcPr>
          <w:p>
            <w:pPr>
              <w:spacing w:after="40" w:before="40" w:line="240" w:lineRule="auto"/>
            </w:pPr>
            <w:r>
              <w:rPr>
                <w:b w:val="0"/>
                <w:i w:val="0"/>
                <w:sz w:val="20"/>
              </w:rPr>
              <w:t>Use prerequisites and process boundaries</w:t>
            </w:r>
          </w:p>
        </w:tc>
      </w:tr>
      <w:tr>
        <w:trPr>
          <w:cantSplit/>
        </w:trPr>
        <w:tc>
          <w:tcPr>
            <w:tcW w:type="dxa" w:w="720"/>
            <w:vAlign w:val="center"/>
            <w:shd w:fill="FFFFFF"/>
            <w:tcMar>
              <w:top w:w="85" w:type="dxa"/>
              <w:bottom w:w="85" w:type="dxa"/>
              <w:left w:w="85" w:type="dxa"/>
              <w:right w:w="85" w:type="dxa"/>
            </w:tcMar>
          </w:tcPr>
          <w:p>
            <w:pPr>
              <w:spacing w:after="40" w:before="40" w:line="240" w:lineRule="auto"/>
            </w:pPr>
            <w:r>
              <w:rPr>
                <w:b w:val="0"/>
                <w:i w:val="0"/>
                <w:sz w:val="20"/>
              </w:rPr>
              <w:t>8</w:t>
            </w:r>
          </w:p>
        </w:tc>
        <w:tc>
          <w:tcPr>
            <w:tcW w:type="dxa" w:w="9173"/>
            <w:vAlign w:val="center"/>
            <w:shd w:fill="FFFFFF"/>
            <w:tcMar>
              <w:top w:w="85" w:type="dxa"/>
              <w:bottom w:w="85" w:type="dxa"/>
              <w:left w:w="85" w:type="dxa"/>
              <w:right w:w="85" w:type="dxa"/>
            </w:tcMar>
          </w:tcPr>
          <w:p>
            <w:pPr>
              <w:spacing w:after="40" w:before="40" w:line="240" w:lineRule="auto"/>
            </w:pPr>
            <w:r>
              <w:rPr>
                <w:b w:val="0"/>
                <w:i w:val="0"/>
                <w:sz w:val="20"/>
              </w:rPr>
              <w:t>Write Reports and retain support resources</w:t>
            </w:r>
          </w:p>
        </w:tc>
      </w:tr>
      <w:tr>
        <w:trPr>
          <w:cantSplit/>
        </w:trPr>
        <w:tc>
          <w:tcPr>
            <w:tcW w:type="dxa" w:w="720"/>
            <w:vAlign w:val="center"/>
            <w:shd w:fill="F6F7FA"/>
            <w:tcMar>
              <w:top w:w="85" w:type="dxa"/>
              <w:bottom w:w="85" w:type="dxa"/>
              <w:left w:w="85" w:type="dxa"/>
              <w:right w:w="85" w:type="dxa"/>
            </w:tcMar>
          </w:tcPr>
          <w:p>
            <w:pPr>
              <w:spacing w:after="40" w:before="40" w:line="240" w:lineRule="auto"/>
            </w:pPr>
            <w:r>
              <w:rPr>
                <w:b w:val="0"/>
                <w:i w:val="0"/>
                <w:sz w:val="20"/>
              </w:rPr>
              <w:t>9</w:t>
            </w:r>
          </w:p>
        </w:tc>
        <w:tc>
          <w:tcPr>
            <w:tcW w:type="dxa" w:w="9173"/>
            <w:vAlign w:val="center"/>
            <w:shd w:fill="F6F7FA"/>
            <w:tcMar>
              <w:top w:w="85" w:type="dxa"/>
              <w:bottom w:w="85" w:type="dxa"/>
              <w:left w:w="85" w:type="dxa"/>
              <w:right w:w="85" w:type="dxa"/>
            </w:tcMar>
          </w:tcPr>
          <w:p>
            <w:pPr>
              <w:spacing w:after="40" w:before="40" w:line="240" w:lineRule="auto"/>
            </w:pPr>
            <w:r>
              <w:rPr>
                <w:b w:val="0"/>
                <w:i w:val="0"/>
                <w:sz w:val="20"/>
              </w:rPr>
              <w:t>Maintain Word numbering and working links</w:t>
            </w:r>
          </w:p>
        </w:tc>
      </w:tr>
      <w:tr>
        <w:trPr>
          <w:cantSplit/>
        </w:trPr>
        <w:tc>
          <w:tcPr>
            <w:tcW w:type="dxa" w:w="720"/>
            <w:vAlign w:val="center"/>
            <w:shd w:fill="FFFFFF"/>
            <w:tcMar>
              <w:top w:w="85" w:type="dxa"/>
              <w:bottom w:w="85" w:type="dxa"/>
              <w:left w:w="85" w:type="dxa"/>
              <w:right w:w="85" w:type="dxa"/>
            </w:tcMar>
          </w:tcPr>
          <w:p>
            <w:pPr>
              <w:spacing w:after="40" w:before="40" w:line="240" w:lineRule="auto"/>
            </w:pPr>
            <w:r>
              <w:rPr>
                <w:b w:val="0"/>
                <w:i w:val="0"/>
                <w:sz w:val="20"/>
              </w:rPr>
              <w:t>10</w:t>
            </w:r>
          </w:p>
        </w:tc>
        <w:tc>
          <w:tcPr>
            <w:tcW w:type="dxa" w:w="9173"/>
            <w:vAlign w:val="center"/>
            <w:shd w:fill="FFFFFF"/>
            <w:tcMar>
              <w:top w:w="85" w:type="dxa"/>
              <w:bottom w:w="85" w:type="dxa"/>
              <w:left w:w="85" w:type="dxa"/>
              <w:right w:w="85" w:type="dxa"/>
            </w:tcMar>
          </w:tcPr>
          <w:p>
            <w:pPr>
              <w:spacing w:after="40" w:before="40" w:line="240" w:lineRule="auto"/>
            </w:pPr>
            <w:r>
              <w:rPr>
                <w:b w:val="0"/>
                <w:i w:val="0"/>
                <w:sz w:val="20"/>
              </w:rPr>
              <w:t>Resolve SME questions and prepare review</w:t>
            </w:r>
          </w:p>
        </w:tc>
      </w:tr>
      <w:tr>
        <w:trPr>
          <w:cantSplit/>
        </w:trPr>
        <w:tc>
          <w:tcPr>
            <w:tcW w:type="dxa" w:w="720"/>
            <w:vAlign w:val="center"/>
            <w:shd w:fill="F6F7FA"/>
            <w:tcMar>
              <w:top w:w="85" w:type="dxa"/>
              <w:bottom w:w="85" w:type="dxa"/>
              <w:left w:w="85" w:type="dxa"/>
              <w:right w:w="85" w:type="dxa"/>
            </w:tcMar>
          </w:tcPr>
          <w:p>
            <w:pPr>
              <w:spacing w:after="40" w:before="40" w:line="240" w:lineRule="auto"/>
            </w:pPr>
            <w:r>
              <w:rPr>
                <w:b w:val="0"/>
                <w:i w:val="0"/>
                <w:sz w:val="20"/>
              </w:rPr>
              <w:t>11</w:t>
            </w:r>
          </w:p>
        </w:tc>
        <w:tc>
          <w:tcPr>
            <w:tcW w:type="dxa" w:w="9173"/>
            <w:vAlign w:val="center"/>
            <w:shd w:fill="F6F7FA"/>
            <w:tcMar>
              <w:top w:w="85" w:type="dxa"/>
              <w:bottom w:w="85" w:type="dxa"/>
              <w:left w:w="85" w:type="dxa"/>
              <w:right w:w="85" w:type="dxa"/>
            </w:tcMar>
          </w:tcPr>
          <w:p>
            <w:pPr>
              <w:spacing w:after="40" w:before="40" w:line="240" w:lineRule="auto"/>
            </w:pPr>
            <w:r>
              <w:rPr>
                <w:b w:val="0"/>
                <w:i w:val="0"/>
                <w:sz w:val="20"/>
              </w:rPr>
              <w:t>Compare a worked authoring example</w:t>
            </w:r>
          </w:p>
        </w:tc>
      </w:tr>
      <w:tr>
        <w:trPr>
          <w:cantSplit/>
        </w:trPr>
        <w:tc>
          <w:tcPr>
            <w:tcW w:type="dxa" w:w="720"/>
            <w:vAlign w:val="center"/>
            <w:shd w:fill="FFFFFF"/>
            <w:tcMar>
              <w:top w:w="85" w:type="dxa"/>
              <w:bottom w:w="85" w:type="dxa"/>
              <w:left w:w="85" w:type="dxa"/>
              <w:right w:w="85" w:type="dxa"/>
            </w:tcMar>
          </w:tcPr>
          <w:p>
            <w:pPr>
              <w:spacing w:after="40" w:before="40" w:line="240" w:lineRule="auto"/>
            </w:pPr>
            <w:r>
              <w:rPr>
                <w:b w:val="0"/>
                <w:i w:val="0"/>
                <w:sz w:val="20"/>
              </w:rPr>
              <w:t>12</w:t>
            </w:r>
          </w:p>
        </w:tc>
        <w:tc>
          <w:tcPr>
            <w:tcW w:type="dxa" w:w="9173"/>
            <w:vAlign w:val="center"/>
            <w:shd w:fill="FFFFFF"/>
            <w:tcMar>
              <w:top w:w="85" w:type="dxa"/>
              <w:bottom w:w="85" w:type="dxa"/>
              <w:left w:w="85" w:type="dxa"/>
              <w:right w:w="85" w:type="dxa"/>
            </w:tcMar>
          </w:tcPr>
          <w:p>
            <w:pPr>
              <w:spacing w:after="40" w:before="40" w:line="240" w:lineRule="auto"/>
            </w:pPr>
            <w:r>
              <w:rPr>
                <w:b w:val="0"/>
                <w:i w:val="0"/>
                <w:sz w:val="20"/>
              </w:rPr>
              <w:t>Run the final checklist and hand over the files</w:t>
            </w:r>
          </w:p>
        </w:tc>
      </w:tr>
    </w:tbl>
    <w:p>
      <w:pPr>
        <w:spacing w:after="0"/>
      </w:pPr>
      <w:r>
        <w:rPr>
          <w:b w:val="0"/>
          <w:i w:val="0"/>
        </w:rPr>
      </w:r>
    </w:p>
    <w:p>
      <w:pPr>
        <w:pStyle w:val="Heading2"/>
      </w:pPr>
      <w:r>
        <w:t>Keep the package together</w:t>
      </w:r>
    </w:p>
    <w:p>
      <w:r>
        <w:rPr>
          <w:b w:val="0"/>
          <w:i w:val="0"/>
        </w:rPr>
        <w:t>Send the master and this handbook together. For an R2R guide, also use the current R2R PG Numbering Standard and allocation register. The master controls PG appearance; this handbook consolidates the confirmed content rules. If a future master conflicts with this handbook, ask the template owner to reconcile the difference before release.</w:t>
      </w:r>
    </w:p>
    <w:p>
      <w:r>
        <w:br w:type="page"/>
      </w:r>
    </w:p>
    <w:p>
      <w:bookmarkStart w:id="2" w:name="section2"/>
      <w:pPr>
        <w:pStyle w:val="Heading1"/>
      </w:pPr>
      <w:r>
        <w:t>Start with a controlled copy</w:t>
      </w:r>
      <w:bookmarkEnd w:id="2"/>
    </w:p>
    <w:p>
      <w:pPr>
        <w:pStyle w:val="Heading2"/>
      </w:pPr>
      <w:r>
        <w:t>Prepare the working file</w:t>
      </w:r>
    </w:p>
    <w:p>
      <w:pPr>
        <w:pStyle w:val="ListBullet"/>
      </w:pPr>
      <w:r>
        <w:rPr>
          <w:b w:val="0"/>
          <w:i w:val="0"/>
        </w:rPr>
        <w:t xml:space="preserve">Keep the master unchanged. Open it in Word and use </w:t>
      </w:r>
      <w:r>
        <w:rPr>
          <w:b/>
          <w:i w:val="0"/>
        </w:rPr>
        <w:t>Save As</w:t>
      </w:r>
      <w:r>
        <w:rPr>
          <w:b w:val="0"/>
          <w:i w:val="0"/>
        </w:rPr>
        <w:t xml:space="preserve"> to create a process-specific .docx. Work in that copy throughout drafting.</w:t>
      </w:r>
    </w:p>
    <w:p>
      <w:pPr>
        <w:pStyle w:val="ListBullet"/>
      </w:pPr>
      <w:r>
        <w:rPr>
          <w:b w:val="0"/>
          <w:i w:val="0"/>
        </w:rPr>
        <w:t xml:space="preserve">Use the assigned guide code and confirmed title. Working filename: </w:t>
      </w:r>
      <w:r>
        <w:rPr>
          <w:b/>
          <w:i w:val="0"/>
        </w:rPr>
        <w:t>NNN-Guide Title PG v1.0.docx</w:t>
      </w:r>
      <w:r>
        <w:rPr>
          <w:b w:val="0"/>
          <w:i w:val="0"/>
        </w:rPr>
        <w:t xml:space="preserve">. Published filename: </w:t>
      </w:r>
      <w:r>
        <w:rPr>
          <w:b/>
          <w:i w:val="0"/>
        </w:rPr>
        <w:t>NNN-Guide Title PG.pdf</w:t>
      </w:r>
      <w:r>
        <w:rPr>
          <w:b w:val="0"/>
          <w:i w:val="0"/>
        </w:rPr>
        <w:t>. Use the actual revision, not v1.0 automatically for every update.</w:t>
      </w:r>
    </w:p>
    <w:p>
      <w:pPr>
        <w:pStyle w:val="ListBullet"/>
      </w:pPr>
      <w:r>
        <w:rPr>
          <w:b w:val="0"/>
          <w:i w:val="0"/>
        </w:rPr>
        <w:t>For R2R, consult the numbering register before assigning a code. The 400-series identifies guides, not task order or document versions. Do not rename a published guide merely because a new target code is proposed.</w:t>
      </w:r>
    </w:p>
    <w:p>
      <w:pPr>
        <w:pStyle w:val="ListBullet"/>
      </w:pPr>
      <w:r>
        <w:rPr>
          <w:b w:val="0"/>
          <w:i w:val="0"/>
        </w:rPr>
        <w:t xml:space="preserve">Replace </w:t>
      </w:r>
      <w:r>
        <w:rPr>
          <w:b/>
          <w:i w:val="0"/>
        </w:rPr>
        <w:t>[Process Name]</w:t>
      </w:r>
      <w:r>
        <w:rPr>
          <w:b w:val="0"/>
          <w:i w:val="0"/>
        </w:rPr>
        <w:t xml:space="preserve"> on the cover and throughout the text. In Word, open </w:t>
      </w:r>
      <w:r>
        <w:rPr>
          <w:b/>
          <w:i w:val="0"/>
        </w:rPr>
        <w:t>File &gt; Info &gt; Properties</w:t>
      </w:r>
      <w:r>
        <w:rPr>
          <w:b w:val="0"/>
          <w:i w:val="0"/>
        </w:rPr>
        <w:t xml:space="preserve"> and set </w:t>
      </w:r>
      <w:r>
        <w:rPr>
          <w:b/>
          <w:i w:val="0"/>
        </w:rPr>
        <w:t>Title</w:t>
      </w:r>
      <w:r>
        <w:rPr>
          <w:b w:val="0"/>
          <w:i w:val="0"/>
        </w:rPr>
        <w:t xml:space="preserve"> to </w:t>
      </w:r>
      <w:r>
        <w:rPr>
          <w:b/>
          <w:i w:val="0"/>
        </w:rPr>
        <w:t>D365 F&amp;O: Process Name</w:t>
      </w:r>
      <w:r>
        <w:rPr>
          <w:b w:val="0"/>
          <w:i w:val="0"/>
        </w:rPr>
        <w:t>; expand the properties if needed. The template footer uses this property. Check it after refreshing fields.</w:t>
      </w:r>
    </w:p>
    <w:p>
      <w:pPr>
        <w:pStyle w:val="ListBullet"/>
      </w:pPr>
      <w:r>
        <w:rPr>
          <w:b w:val="0"/>
          <w:i w:val="0"/>
        </w:rPr>
        <w:t xml:space="preserve">Set the working text to </w:t>
      </w:r>
      <w:r>
        <w:rPr>
          <w:b/>
          <w:i w:val="0"/>
        </w:rPr>
        <w:t>English (United States)</w:t>
      </w:r>
      <w:r>
        <w:rPr>
          <w:b w:val="0"/>
          <w:i w:val="0"/>
        </w:rPr>
        <w:t xml:space="preserve"> through Word’s proofing-language controls. Check tables, headers and footers as well as body text. Preserve exact UI labels, journal codes, worksheet names, filenames and URLs.</w:t>
      </w:r>
    </w:p>
    <w:p>
      <w:pPr>
        <w:pStyle w:val="Heading2"/>
      </w:pPr>
      <w:r>
        <w:t>Collect the minimum process evidence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05"/>
      </w:tblGrid>
      <w:tr>
        <w:trPr>
          <w:cantSplit/>
          <w:tblHeader/>
        </w:trPr>
        <w:tc>
          <w:tcPr>
            <w:tcW w:type="dxa" w:w="2088"/>
            <w:vAlign w:val="center"/>
            <w:shd w:fill="E7EDF5"/>
            <w:tcMar>
              <w:top w:w="85" w:type="dxa"/>
              <w:bottom w:w="85" w:type="dxa"/>
              <w:left w:w="85" w:type="dxa"/>
              <w:right w:w="85" w:type="dxa"/>
            </w:tcMar>
          </w:tcPr>
          <w:p>
            <w:pPr>
              <w:spacing w:after="40" w:before="40" w:line="240" w:lineRule="auto"/>
            </w:pPr>
            <w:r>
              <w:rPr>
                <w:b/>
                <w:i w:val="0"/>
                <w:sz w:val="20"/>
              </w:rPr>
              <w:t>Collect</w:t>
            </w:r>
          </w:p>
        </w:tc>
        <w:tc>
          <w:tcPr>
            <w:tcW w:type="dxa" w:w="7805"/>
            <w:vAlign w:val="center"/>
            <w:shd w:fill="E7EDF5"/>
            <w:tcMar>
              <w:top w:w="85" w:type="dxa"/>
              <w:bottom w:w="85" w:type="dxa"/>
              <w:left w:w="85" w:type="dxa"/>
              <w:right w:w="85" w:type="dxa"/>
            </w:tcMar>
          </w:tcPr>
          <w:p>
            <w:pPr>
              <w:spacing w:after="40" w:before="40" w:line="240" w:lineRule="auto"/>
            </w:pPr>
            <w:r>
              <w:rPr>
                <w:b/>
                <w:i w:val="0"/>
                <w:sz w:val="20"/>
              </w:rPr>
              <w:t>What the SME should provide</w:t>
            </w:r>
          </w:p>
        </w:tc>
      </w:tr>
      <w:tr>
        <w:trPr>
          <w:cantSplit/>
        </w:trPr>
        <w:tc>
          <w:tcPr>
            <w:tcW w:type="dxa" w:w="2088"/>
            <w:vAlign w:val="center"/>
            <w:shd w:fill="FFFFFF"/>
            <w:tcMar>
              <w:top w:w="85" w:type="dxa"/>
              <w:bottom w:w="85" w:type="dxa"/>
              <w:left w:w="85" w:type="dxa"/>
              <w:right w:w="85" w:type="dxa"/>
            </w:tcMar>
          </w:tcPr>
          <w:p>
            <w:pPr>
              <w:spacing w:after="40" w:before="40" w:line="240" w:lineRule="auto"/>
            </w:pPr>
            <w:r>
              <w:rPr>
                <w:b w:val="0"/>
                <w:i w:val="0"/>
                <w:sz w:val="20"/>
              </w:rPr>
              <w:t>Scope and ownership</w:t>
            </w:r>
          </w:p>
        </w:tc>
        <w:tc>
          <w:tcPr>
            <w:tcW w:type="dxa" w:w="7805"/>
            <w:vAlign w:val="center"/>
            <w:shd w:fill="FFFFFF"/>
            <w:tcMar>
              <w:top w:w="85" w:type="dxa"/>
              <w:bottom w:w="85" w:type="dxa"/>
              <w:left w:w="85" w:type="dxa"/>
              <w:right w:w="85" w:type="dxa"/>
            </w:tcMar>
          </w:tcPr>
          <w:p>
            <w:pPr>
              <w:spacing w:after="40" w:before="40" w:line="240" w:lineRule="auto"/>
            </w:pPr>
            <w:r>
              <w:rPr>
                <w:b w:val="0"/>
                <w:i w:val="0"/>
                <w:sz w:val="20"/>
              </w:rPr>
              <w:t>Purpose, start and end points, applicable entities, responsible roles, business process owner (BPO), and reviewer.</w:t>
            </w:r>
          </w:p>
        </w:tc>
      </w:tr>
      <w:tr>
        <w:trPr>
          <w:cantSplit/>
        </w:trPr>
        <w:tc>
          <w:tcPr>
            <w:tcW w:type="dxa" w:w="2088"/>
            <w:vAlign w:val="center"/>
            <w:shd w:fill="F6F7FA"/>
            <w:tcMar>
              <w:top w:w="85" w:type="dxa"/>
              <w:bottom w:w="85" w:type="dxa"/>
              <w:left w:w="85" w:type="dxa"/>
              <w:right w:w="85" w:type="dxa"/>
            </w:tcMar>
          </w:tcPr>
          <w:p>
            <w:pPr>
              <w:spacing w:after="40" w:before="40" w:line="240" w:lineRule="auto"/>
            </w:pPr>
            <w:r>
              <w:rPr>
                <w:b w:val="0"/>
                <w:i w:val="0"/>
                <w:sz w:val="20"/>
              </w:rPr>
              <w:t>Procedure</w:t>
            </w:r>
          </w:p>
        </w:tc>
        <w:tc>
          <w:tcPr>
            <w:tcW w:type="dxa" w:w="7805"/>
            <w:vAlign w:val="center"/>
            <w:shd w:fill="F6F7FA"/>
            <w:tcMar>
              <w:top w:w="85" w:type="dxa"/>
              <w:bottom w:w="85" w:type="dxa"/>
              <w:left w:w="85" w:type="dxa"/>
              <w:right w:w="85" w:type="dxa"/>
            </w:tcMar>
          </w:tcPr>
          <w:p>
            <w:pPr>
              <w:spacing w:after="40" w:before="40" w:line="240" w:lineRule="auto"/>
            </w:pPr>
            <w:r>
              <w:rPr>
                <w:b w:val="0"/>
                <w:i w:val="0"/>
                <w:sz w:val="20"/>
              </w:rPr>
              <w:t>Current navigation, clicks, field values or selection rules, expected results, prerequisites, and confirmed alternative paths.</w:t>
            </w:r>
          </w:p>
        </w:tc>
      </w:tr>
      <w:tr>
        <w:trPr>
          <w:cantSplit/>
        </w:trPr>
        <w:tc>
          <w:tcPr>
            <w:tcW w:type="dxa" w:w="2088"/>
            <w:vAlign w:val="center"/>
            <w:shd w:fill="FFFFFF"/>
            <w:tcMar>
              <w:top w:w="85" w:type="dxa"/>
              <w:bottom w:w="85" w:type="dxa"/>
              <w:left w:w="85" w:type="dxa"/>
              <w:right w:w="85" w:type="dxa"/>
            </w:tcMar>
          </w:tcPr>
          <w:p>
            <w:pPr>
              <w:spacing w:after="40" w:before="40" w:line="240" w:lineRule="auto"/>
            </w:pPr>
            <w:r>
              <w:rPr>
                <w:b w:val="0"/>
                <w:i w:val="0"/>
                <w:sz w:val="20"/>
              </w:rPr>
              <w:t>Controls and outcomes</w:t>
            </w:r>
          </w:p>
        </w:tc>
        <w:tc>
          <w:tcPr>
            <w:tcW w:type="dxa" w:w="7805"/>
            <w:vAlign w:val="center"/>
            <w:shd w:fill="FFFFFF"/>
            <w:tcMar>
              <w:top w:w="85" w:type="dxa"/>
              <w:bottom w:w="85" w:type="dxa"/>
              <w:left w:w="85" w:type="dxa"/>
              <w:right w:w="85" w:type="dxa"/>
            </w:tcMar>
          </w:tcPr>
          <w:p>
            <w:pPr>
              <w:spacing w:after="40" w:before="40" w:line="240" w:lineRule="auto"/>
            </w:pPr>
            <w:r>
              <w:rPr>
                <w:b w:val="0"/>
                <w:i w:val="0"/>
                <w:sz w:val="20"/>
              </w:rPr>
              <w:t>Approvals, posting behavior, validation checks, completion evidence, and handoffs. Distinguish system workflow from business approval.</w:t>
            </w:r>
          </w:p>
        </w:tc>
      </w:tr>
      <w:tr>
        <w:trPr>
          <w:cantSplit/>
        </w:trPr>
        <w:tc>
          <w:tcPr>
            <w:tcW w:type="dxa" w:w="2088"/>
            <w:vAlign w:val="center"/>
            <w:shd w:fill="F6F7FA"/>
            <w:tcMar>
              <w:top w:w="85" w:type="dxa"/>
              <w:bottom w:w="85" w:type="dxa"/>
              <w:left w:w="85" w:type="dxa"/>
              <w:right w:w="85" w:type="dxa"/>
            </w:tcMar>
          </w:tcPr>
          <w:p>
            <w:pPr>
              <w:spacing w:after="40" w:before="40" w:line="240" w:lineRule="auto"/>
            </w:pPr>
            <w:r>
              <w:rPr>
                <w:b w:val="0"/>
                <w:i w:val="0"/>
                <w:sz w:val="20"/>
              </w:rPr>
              <w:t>Supporting material</w:t>
            </w:r>
          </w:p>
        </w:tc>
        <w:tc>
          <w:tcPr>
            <w:tcW w:type="dxa" w:w="7805"/>
            <w:vAlign w:val="center"/>
            <w:shd w:fill="F6F7FA"/>
            <w:tcMar>
              <w:top w:w="85" w:type="dxa"/>
              <w:bottom w:w="85" w:type="dxa"/>
              <w:left w:w="85" w:type="dxa"/>
              <w:right w:w="85" w:type="dxa"/>
            </w:tcMar>
          </w:tcPr>
          <w:p>
            <w:pPr>
              <w:spacing w:after="40" w:before="40" w:line="240" w:lineRule="auto"/>
            </w:pPr>
            <w:r>
              <w:rPr>
                <w:b w:val="0"/>
                <w:i w:val="0"/>
                <w:sz w:val="20"/>
              </w:rPr>
              <w:t>Current source draft, templates and worksheet names, user-accessible links, applicable reports, and relevant SME responses.</w:t>
            </w:r>
          </w:p>
        </w:tc>
      </w:tr>
    </w:tbl>
    <w:p>
      <w:pPr>
        <w:spacing w:after="0"/>
      </w:pPr>
      <w:r>
        <w:rPr>
          <w:b w:val="0"/>
          <w:i w:val="0"/>
        </w:rPr>
      </w:r>
    </w:p>
    <w:p>
      <w:r>
        <w:rPr>
          <w:b w:val="0"/>
          <w:i w:val="0"/>
        </w:rPr>
        <w:t>Ask the SME to demonstrate unclear steps or explain them in sequence. Screenshots can support the explanation but are optional. Record the source and date of important confirmations in a separate working note; keep that note out of the published PG.</w:t>
      </w:r>
    </w:p>
    <w:p>
      <w:pPr>
        <w:pStyle w:val="Heading2"/>
      </w:pPr>
      <w:r>
        <w:t>Understand the roles</w:t>
      </w:r>
    </w:p>
    <w:p>
      <w:r>
        <w:rPr>
          <w:b w:val="0"/>
          <w:i w:val="0"/>
        </w:rPr>
        <w:t>The SME confirms system behavior and business rules. The instructional designer organizes and edits the instructions, maintains the template, and tests readability and links. The designated reviewer confirms readiness under the team’s review process. The BPO, author, preparer and approver are different roles; do not treat a person’s involvement in drafting as approval authority.</w:t>
      </w:r>
    </w:p>
    <w:p>
      <w:r>
        <w:br w:type="page"/>
      </w:r>
    </w:p>
    <w:p>
      <w:bookmarkStart w:id="3" w:name="section3"/>
      <w:pPr>
        <w:pStyle w:val="Heading1"/>
      </w:pPr>
      <w:r>
        <w:t>Choose the topic structure</w:t>
      </w:r>
      <w:bookmarkEnd w:id="3"/>
    </w:p>
    <w:p>
      <w:r>
        <w:rPr>
          <w:b w:val="0"/>
          <w:i w:val="0"/>
        </w:rPr>
        <w:t>Plan the outline before populating the tables. A major topic represents a distinct business task or outcome. Related stages that together achieve that outcome belong under it as subtopics. A new screen, role or page is not by itself a new major topic.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92"/>
        <w:gridCol w:w="3629"/>
      </w:tblGrid>
      <w:tr>
        <w:trPr>
          <w:cantSplit/>
          <w:tblHeader/>
        </w:trPr>
        <w:tc>
          <w:tcPr>
            <w:tcW w:type="dxa" w:w="1872"/>
            <w:vAlign w:val="center"/>
            <w:shd w:fill="E7EDF5"/>
            <w:tcMar>
              <w:top w:w="85" w:type="dxa"/>
              <w:bottom w:w="85" w:type="dxa"/>
              <w:left w:w="85" w:type="dxa"/>
              <w:right w:w="85" w:type="dxa"/>
            </w:tcMar>
          </w:tcPr>
          <w:p>
            <w:pPr>
              <w:spacing w:after="40" w:before="40" w:line="240" w:lineRule="auto"/>
            </w:pPr>
            <w:r>
              <w:rPr>
                <w:b/>
                <w:i w:val="0"/>
                <w:sz w:val="20"/>
              </w:rPr>
              <w:t>Pattern</w:t>
            </w:r>
          </w:p>
        </w:tc>
        <w:tc>
          <w:tcPr>
            <w:tcW w:type="dxa" w:w="4392"/>
            <w:vAlign w:val="center"/>
            <w:shd w:fill="E7EDF5"/>
            <w:tcMar>
              <w:top w:w="85" w:type="dxa"/>
              <w:bottom w:w="85" w:type="dxa"/>
              <w:left w:w="85" w:type="dxa"/>
              <w:right w:w="85" w:type="dxa"/>
            </w:tcMar>
          </w:tcPr>
          <w:p>
            <w:pPr>
              <w:spacing w:after="40" w:before="40" w:line="240" w:lineRule="auto"/>
            </w:pPr>
            <w:r>
              <w:rPr>
                <w:b/>
                <w:i w:val="0"/>
                <w:sz w:val="20"/>
              </w:rPr>
              <w:t>Use when</w:t>
            </w:r>
          </w:p>
        </w:tc>
        <w:tc>
          <w:tcPr>
            <w:tcW w:type="dxa" w:w="3629"/>
            <w:vAlign w:val="center"/>
            <w:shd w:fill="E7EDF5"/>
            <w:tcMar>
              <w:top w:w="85" w:type="dxa"/>
              <w:bottom w:w="85" w:type="dxa"/>
              <w:left w:w="85" w:type="dxa"/>
              <w:right w:w="85" w:type="dxa"/>
            </w:tcMar>
          </w:tcPr>
          <w:p>
            <w:pPr>
              <w:spacing w:after="40" w:before="40" w:line="240" w:lineRule="auto"/>
            </w:pPr>
            <w:r>
              <w:rPr>
                <w:b/>
                <w:i w:val="0"/>
                <w:sz w:val="20"/>
              </w:rPr>
              <w:t>Template component</w:t>
            </w:r>
          </w:p>
        </w:tc>
      </w:tr>
      <w:tr>
        <w:trPr>
          <w:cantSplit/>
        </w:trPr>
        <w:tc>
          <w:tcPr>
            <w:tcW w:type="dxa" w:w="1872"/>
            <w:vAlign w:val="center"/>
            <w:shd w:fill="FFFFFF"/>
            <w:tcMar>
              <w:top w:w="85" w:type="dxa"/>
              <w:bottom w:w="85" w:type="dxa"/>
              <w:left w:w="85" w:type="dxa"/>
              <w:right w:w="85" w:type="dxa"/>
            </w:tcMar>
          </w:tcPr>
          <w:p>
            <w:pPr>
              <w:spacing w:after="40" w:before="40" w:line="240" w:lineRule="auto"/>
            </w:pPr>
            <w:r>
              <w:rPr>
                <w:b w:val="0"/>
                <w:i w:val="0"/>
                <w:sz w:val="20"/>
              </w:rPr>
              <w:t>Standalone topic</w:t>
            </w:r>
          </w:p>
        </w:tc>
        <w:tc>
          <w:tcPr>
            <w:tcW w:type="dxa" w:w="4392"/>
            <w:vAlign w:val="center"/>
            <w:shd w:fill="FFFFFF"/>
            <w:tcMar>
              <w:top w:w="85" w:type="dxa"/>
              <w:bottom w:w="85" w:type="dxa"/>
              <w:left w:w="85" w:type="dxa"/>
              <w:right w:w="85" w:type="dxa"/>
            </w:tcMar>
          </w:tcPr>
          <w:p>
            <w:pPr>
              <w:spacing w:after="40" w:before="40" w:line="240" w:lineRule="auto"/>
            </w:pPr>
            <w:r>
              <w:rPr>
                <w:b w:val="0"/>
                <w:i w:val="0"/>
                <w:sz w:val="20"/>
              </w:rPr>
              <w:t>The task has its own trigger and outcome and is performed independently.</w:t>
            </w:r>
          </w:p>
        </w:tc>
        <w:tc>
          <w:tcPr>
            <w:tcW w:type="dxa" w:w="3629"/>
            <w:vAlign w:val="center"/>
            <w:shd w:fill="FFFFFF"/>
            <w:tcMar>
              <w:top w:w="85" w:type="dxa"/>
              <w:bottom w:w="85" w:type="dxa"/>
              <w:left w:w="85" w:type="dxa"/>
              <w:right w:w="85" w:type="dxa"/>
            </w:tcMar>
          </w:tcPr>
          <w:p>
            <w:pPr>
              <w:spacing w:after="40" w:before="40" w:line="240" w:lineRule="auto"/>
            </w:pPr>
            <w:r>
              <w:rPr>
                <w:b w:val="0"/>
                <w:i w:val="0"/>
                <w:sz w:val="20"/>
              </w:rPr>
              <w:t>Standalone topic example with one procedure table.</w:t>
            </w:r>
          </w:p>
        </w:tc>
      </w:tr>
      <w:tr>
        <w:trPr>
          <w:cantSplit/>
        </w:trPr>
        <w:tc>
          <w:tcPr>
            <w:tcW w:type="dxa" w:w="1872"/>
            <w:vAlign w:val="center"/>
            <w:shd w:fill="F6F7FA"/>
            <w:tcMar>
              <w:top w:w="85" w:type="dxa"/>
              <w:bottom w:w="85" w:type="dxa"/>
              <w:left w:w="85" w:type="dxa"/>
              <w:right w:w="85" w:type="dxa"/>
            </w:tcMar>
          </w:tcPr>
          <w:p>
            <w:pPr>
              <w:spacing w:after="40" w:before="40" w:line="240" w:lineRule="auto"/>
            </w:pPr>
            <w:r>
              <w:rPr>
                <w:b w:val="0"/>
                <w:i w:val="0"/>
                <w:sz w:val="20"/>
              </w:rPr>
              <w:t>Parent with subtopics</w:t>
            </w:r>
          </w:p>
        </w:tc>
        <w:tc>
          <w:tcPr>
            <w:tcW w:type="dxa" w:w="4392"/>
            <w:vAlign w:val="center"/>
            <w:shd w:fill="F6F7FA"/>
            <w:tcMar>
              <w:top w:w="85" w:type="dxa"/>
              <w:bottom w:w="85" w:type="dxa"/>
              <w:left w:w="85" w:type="dxa"/>
              <w:right w:w="85" w:type="dxa"/>
            </w:tcMar>
          </w:tcPr>
          <w:p>
            <w:pPr>
              <w:spacing w:after="40" w:before="40" w:line="240" w:lineRule="auto"/>
            </w:pPr>
            <w:r>
              <w:rPr>
                <w:b w:val="0"/>
                <w:i w:val="0"/>
                <w:sz w:val="20"/>
              </w:rPr>
              <w:t>Several related stages deliver one outcome, such as preparation, upload and verification.</w:t>
            </w:r>
          </w:p>
        </w:tc>
        <w:tc>
          <w:tcPr>
            <w:tcW w:type="dxa" w:w="3629"/>
            <w:vAlign w:val="center"/>
            <w:shd w:fill="F6F7FA"/>
            <w:tcMar>
              <w:top w:w="85" w:type="dxa"/>
              <w:bottom w:w="85" w:type="dxa"/>
              <w:left w:w="85" w:type="dxa"/>
              <w:right w:w="85" w:type="dxa"/>
            </w:tcMar>
          </w:tcPr>
          <w:p>
            <w:pPr>
              <w:spacing w:after="40" w:before="40" w:line="240" w:lineRule="auto"/>
            </w:pPr>
            <w:r>
              <w:rPr>
                <w:b w:val="0"/>
                <w:i w:val="0"/>
                <w:sz w:val="20"/>
              </w:rPr>
              <w:t>Parent description and Topic Overview, followed by subprocedure examples.</w:t>
            </w:r>
          </w:p>
        </w:tc>
      </w:tr>
      <w:tr>
        <w:trPr>
          <w:cantSplit/>
        </w:trPr>
        <w:tc>
          <w:tcPr>
            <w:tcW w:type="dxa" w:w="1872"/>
            <w:vAlign w:val="center"/>
            <w:shd w:fill="FFFFFF"/>
            <w:tcMar>
              <w:top w:w="85" w:type="dxa"/>
              <w:bottom w:w="85" w:type="dxa"/>
              <w:left w:w="85" w:type="dxa"/>
              <w:right w:w="85" w:type="dxa"/>
            </w:tcMar>
          </w:tcPr>
          <w:p>
            <w:pPr>
              <w:spacing w:after="40" w:before="40" w:line="240" w:lineRule="auto"/>
            </w:pPr>
            <w:r>
              <w:rPr>
                <w:b w:val="0"/>
                <w:i w:val="0"/>
                <w:sz w:val="20"/>
              </w:rPr>
              <w:t>Off-system activity</w:t>
            </w:r>
          </w:p>
        </w:tc>
        <w:tc>
          <w:tcPr>
            <w:tcW w:type="dxa" w:w="4392"/>
            <w:vAlign w:val="center"/>
            <w:shd w:fill="FFFFFF"/>
            <w:tcMar>
              <w:top w:w="85" w:type="dxa"/>
              <w:bottom w:w="85" w:type="dxa"/>
              <w:left w:w="85" w:type="dxa"/>
              <w:right w:w="85" w:type="dxa"/>
            </w:tcMar>
          </w:tcPr>
          <w:p>
            <w:pPr>
              <w:spacing w:after="40" w:before="40" w:line="240" w:lineRule="auto"/>
            </w:pPr>
            <w:r>
              <w:rPr>
                <w:b w:val="0"/>
                <w:i w:val="0"/>
                <w:sz w:val="20"/>
              </w:rPr>
              <w:t>Work occurs outside D365 and the important information is its output or handoff.</w:t>
            </w:r>
          </w:p>
        </w:tc>
        <w:tc>
          <w:tcPr>
            <w:tcW w:type="dxa" w:w="3629"/>
            <w:vAlign w:val="center"/>
            <w:shd w:fill="FFFFFF"/>
            <w:tcMar>
              <w:top w:w="85" w:type="dxa"/>
              <w:bottom w:w="85" w:type="dxa"/>
              <w:left w:w="85" w:type="dxa"/>
              <w:right w:w="85" w:type="dxa"/>
            </w:tcMar>
          </w:tcPr>
          <w:p>
            <w:pPr>
              <w:spacing w:after="40" w:before="40" w:line="240" w:lineRule="auto"/>
            </w:pPr>
            <w:r>
              <w:rPr>
                <w:b w:val="0"/>
                <w:i w:val="0"/>
                <w:sz w:val="20"/>
              </w:rPr>
              <w:t>Off-system callout, Task Overview, Responsibility and Summary.</w:t>
            </w:r>
          </w:p>
        </w:tc>
      </w:tr>
    </w:tbl>
    <w:p>
      <w:pPr>
        <w:spacing w:after="0"/>
      </w:pPr>
      <w:r>
        <w:rPr>
          <w:b w:val="0"/>
          <w:i w:val="0"/>
        </w:rPr>
      </w:r>
    </w:p>
    <w:p>
      <w:pPr>
        <w:pStyle w:val="Heading2"/>
      </w:pPr>
      <w:r>
        <w:t>Apply the actual template styles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2765"/>
        <w:gridCol w:w="1872"/>
      </w:tblGrid>
      <w:tr>
        <w:trPr>
          <w:cantSplit/>
          <w:tblHeader/>
        </w:trPr>
        <w:tc>
          <w:tcPr>
            <w:tcW w:type="dxa" w:w="5256"/>
            <w:vAlign w:val="center"/>
            <w:shd w:fill="E7EDF5"/>
            <w:tcMar>
              <w:top w:w="85" w:type="dxa"/>
              <w:bottom w:w="85" w:type="dxa"/>
              <w:left w:w="85" w:type="dxa"/>
              <w:right w:w="85" w:type="dxa"/>
            </w:tcMar>
          </w:tcPr>
          <w:p>
            <w:pPr>
              <w:spacing w:after="40" w:before="40" w:line="240" w:lineRule="auto"/>
            </w:pPr>
            <w:r>
              <w:rPr>
                <w:b/>
                <w:i w:val="0"/>
                <w:sz w:val="20"/>
              </w:rPr>
              <w:t>Content</w:t>
            </w:r>
          </w:p>
        </w:tc>
        <w:tc>
          <w:tcPr>
            <w:tcW w:type="dxa" w:w="2765"/>
            <w:vAlign w:val="center"/>
            <w:shd w:fill="E7EDF5"/>
            <w:tcMar>
              <w:top w:w="85" w:type="dxa"/>
              <w:bottom w:w="85" w:type="dxa"/>
              <w:left w:w="85" w:type="dxa"/>
              <w:right w:w="85" w:type="dxa"/>
            </w:tcMar>
          </w:tcPr>
          <w:p>
            <w:pPr>
              <w:spacing w:after="40" w:before="40" w:line="240" w:lineRule="auto"/>
            </w:pPr>
            <w:r>
              <w:rPr>
                <w:b/>
                <w:i w:val="0"/>
                <w:sz w:val="20"/>
              </w:rPr>
              <w:t>Word style</w:t>
            </w:r>
          </w:p>
        </w:tc>
        <w:tc>
          <w:tcPr>
            <w:tcW w:type="dxa" w:w="1872"/>
            <w:vAlign w:val="center"/>
            <w:shd w:fill="E7EDF5"/>
            <w:tcMar>
              <w:top w:w="85" w:type="dxa"/>
              <w:bottom w:w="85" w:type="dxa"/>
              <w:left w:w="85" w:type="dxa"/>
              <w:right w:w="85" w:type="dxa"/>
            </w:tcMar>
          </w:tcPr>
          <w:p>
            <w:pPr>
              <w:spacing w:after="40" w:before="40" w:line="240" w:lineRule="auto"/>
            </w:pPr>
            <w:r>
              <w:rPr>
                <w:b/>
                <w:i w:val="0"/>
                <w:sz w:val="20"/>
              </w:rPr>
              <w:t>Numbering</w:t>
            </w:r>
          </w:p>
        </w:tc>
      </w:tr>
      <w:tr>
        <w:trPr>
          <w:cantSplit/>
        </w:trPr>
        <w:tc>
          <w:tcPr>
            <w:tcW w:type="dxa" w:w="5256"/>
            <w:vAlign w:val="center"/>
            <w:shd w:fill="FFFFFF"/>
            <w:tcMar>
              <w:top w:w="85" w:type="dxa"/>
              <w:bottom w:w="85" w:type="dxa"/>
              <w:left w:w="85" w:type="dxa"/>
              <w:right w:w="85" w:type="dxa"/>
            </w:tcMar>
          </w:tcPr>
          <w:p>
            <w:pPr>
              <w:spacing w:after="40" w:before="40" w:line="240" w:lineRule="auto"/>
            </w:pPr>
            <w:r>
              <w:rPr>
                <w:b w:val="0"/>
                <w:i w:val="0"/>
                <w:sz w:val="20"/>
              </w:rPr>
              <w:t>Cover title</w:t>
            </w:r>
          </w:p>
        </w:tc>
        <w:tc>
          <w:tcPr>
            <w:tcW w:type="dxa" w:w="2765"/>
            <w:vAlign w:val="center"/>
            <w:shd w:fill="FFFFFF"/>
            <w:tcMar>
              <w:top w:w="85" w:type="dxa"/>
              <w:bottom w:w="85" w:type="dxa"/>
              <w:left w:w="85" w:type="dxa"/>
              <w:right w:w="85" w:type="dxa"/>
            </w:tcMar>
          </w:tcPr>
          <w:p>
            <w:pPr>
              <w:spacing w:after="40" w:before="40" w:line="240" w:lineRule="auto"/>
            </w:pPr>
            <w:r>
              <w:rPr>
                <w:b w:val="0"/>
                <w:i w:val="0"/>
                <w:sz w:val="20"/>
              </w:rPr>
              <w:t>Title</w:t>
            </w:r>
          </w:p>
        </w:tc>
        <w:tc>
          <w:tcPr>
            <w:tcW w:type="dxa" w:w="1872"/>
            <w:vAlign w:val="center"/>
            <w:shd w:fill="FFFFFF"/>
            <w:tcMar>
              <w:top w:w="85" w:type="dxa"/>
              <w:bottom w:w="85" w:type="dxa"/>
              <w:left w:w="85" w:type="dxa"/>
              <w:right w:w="85" w:type="dxa"/>
            </w:tcMar>
          </w:tcPr>
          <w:p>
            <w:pPr>
              <w:spacing w:after="40" w:before="40" w:line="240" w:lineRule="auto"/>
            </w:pPr>
            <w:r>
              <w:rPr>
                <w:b w:val="0"/>
                <w:i w:val="0"/>
                <w:sz w:val="20"/>
              </w:rPr>
              <w:t>None</w:t>
            </w:r>
          </w:p>
        </w:tc>
      </w:tr>
      <w:tr>
        <w:trPr>
          <w:cantSplit/>
        </w:trPr>
        <w:tc>
          <w:tcPr>
            <w:tcW w:type="dxa" w:w="5256"/>
            <w:vAlign w:val="center"/>
            <w:shd w:fill="F6F7FA"/>
            <w:tcMar>
              <w:top w:w="85" w:type="dxa"/>
              <w:bottom w:w="85" w:type="dxa"/>
              <w:left w:w="85" w:type="dxa"/>
              <w:right w:w="85" w:type="dxa"/>
            </w:tcMar>
          </w:tcPr>
          <w:p>
            <w:pPr>
              <w:spacing w:after="40" w:before="40" w:line="240" w:lineRule="auto"/>
            </w:pPr>
            <w:r>
              <w:rPr>
                <w:b w:val="0"/>
                <w:i w:val="0"/>
                <w:sz w:val="20"/>
              </w:rPr>
              <w:t>Parts and major front matter sections</w:t>
            </w:r>
          </w:p>
        </w:tc>
        <w:tc>
          <w:tcPr>
            <w:tcW w:type="dxa" w:w="2765"/>
            <w:vAlign w:val="center"/>
            <w:shd w:fill="F6F7FA"/>
            <w:tcMar>
              <w:top w:w="85" w:type="dxa"/>
              <w:bottom w:w="85" w:type="dxa"/>
              <w:left w:w="85" w:type="dxa"/>
              <w:right w:w="85" w:type="dxa"/>
            </w:tcMar>
          </w:tcPr>
          <w:p>
            <w:pPr>
              <w:spacing w:after="40" w:before="40" w:line="240" w:lineRule="auto"/>
            </w:pPr>
            <w:r>
              <w:rPr>
                <w:b w:val="0"/>
                <w:i w:val="0"/>
                <w:sz w:val="20"/>
              </w:rPr>
              <w:t>Heading 2</w:t>
            </w:r>
          </w:p>
        </w:tc>
        <w:tc>
          <w:tcPr>
            <w:tcW w:type="dxa" w:w="1872"/>
            <w:vAlign w:val="center"/>
            <w:shd w:fill="F6F7FA"/>
            <w:tcMar>
              <w:top w:w="85" w:type="dxa"/>
              <w:bottom w:w="85" w:type="dxa"/>
              <w:left w:w="85" w:type="dxa"/>
              <w:right w:w="85" w:type="dxa"/>
            </w:tcMar>
          </w:tcPr>
          <w:p>
            <w:pPr>
              <w:spacing w:after="40" w:before="40" w:line="240" w:lineRule="auto"/>
            </w:pPr>
            <w:r>
              <w:rPr>
                <w:b w:val="0"/>
                <w:i w:val="0"/>
                <w:sz w:val="20"/>
              </w:rPr>
              <w:t>Keep template labels</w:t>
            </w:r>
          </w:p>
        </w:tc>
      </w:tr>
      <w:tr>
        <w:trPr>
          <w:cantSplit/>
        </w:trPr>
        <w:tc>
          <w:tcPr>
            <w:tcW w:type="dxa" w:w="5256"/>
            <w:vAlign w:val="center"/>
            <w:shd w:fill="FFFFFF"/>
            <w:tcMar>
              <w:top w:w="85" w:type="dxa"/>
              <w:bottom w:w="85" w:type="dxa"/>
              <w:left w:w="85" w:type="dxa"/>
              <w:right w:w="85" w:type="dxa"/>
            </w:tcMar>
          </w:tcPr>
          <w:p>
            <w:pPr>
              <w:spacing w:after="40" w:before="40" w:line="240" w:lineRule="auto"/>
            </w:pPr>
            <w:r>
              <w:rPr>
                <w:b w:val="0"/>
                <w:i w:val="0"/>
                <w:sz w:val="20"/>
              </w:rPr>
              <w:t>Major Part 2 topic</w:t>
            </w:r>
          </w:p>
        </w:tc>
        <w:tc>
          <w:tcPr>
            <w:tcW w:type="dxa" w:w="2765"/>
            <w:vAlign w:val="center"/>
            <w:shd w:fill="FFFFFF"/>
            <w:tcMar>
              <w:top w:w="85" w:type="dxa"/>
              <w:bottom w:w="85" w:type="dxa"/>
              <w:left w:w="85" w:type="dxa"/>
              <w:right w:w="85" w:type="dxa"/>
            </w:tcMar>
          </w:tcPr>
          <w:p>
            <w:pPr>
              <w:spacing w:after="40" w:before="40" w:line="240" w:lineRule="auto"/>
            </w:pPr>
            <w:r>
              <w:rPr>
                <w:b w:val="0"/>
                <w:i w:val="0"/>
                <w:sz w:val="20"/>
              </w:rPr>
              <w:t>Heading 3</w:t>
            </w:r>
          </w:p>
        </w:tc>
        <w:tc>
          <w:tcPr>
            <w:tcW w:type="dxa" w:w="1872"/>
            <w:vAlign w:val="center"/>
            <w:shd w:fill="FFFFFF"/>
            <w:tcMar>
              <w:top w:w="85" w:type="dxa"/>
              <w:bottom w:w="85" w:type="dxa"/>
              <w:left w:w="85" w:type="dxa"/>
              <w:right w:w="85" w:type="dxa"/>
            </w:tcMar>
          </w:tcPr>
          <w:p>
            <w:pPr>
              <w:spacing w:after="40" w:before="40" w:line="240" w:lineRule="auto"/>
            </w:pPr>
            <w:r>
              <w:rPr>
                <w:b w:val="0"/>
                <w:i w:val="0"/>
                <w:sz w:val="20"/>
              </w:rPr>
              <w:t>1, 2, 3</w:t>
            </w:r>
          </w:p>
        </w:tc>
      </w:tr>
      <w:tr>
        <w:trPr>
          <w:cantSplit/>
        </w:trPr>
        <w:tc>
          <w:tcPr>
            <w:tcW w:type="dxa" w:w="5256"/>
            <w:vAlign w:val="center"/>
            <w:shd w:fill="F6F7FA"/>
            <w:tcMar>
              <w:top w:w="85" w:type="dxa"/>
              <w:bottom w:w="85" w:type="dxa"/>
              <w:left w:w="85" w:type="dxa"/>
              <w:right w:w="85" w:type="dxa"/>
            </w:tcMar>
          </w:tcPr>
          <w:p>
            <w:pPr>
              <w:spacing w:after="40" w:before="40" w:line="240" w:lineRule="auto"/>
            </w:pPr>
            <w:r>
              <w:rPr>
                <w:b w:val="0"/>
                <w:i w:val="0"/>
                <w:sz w:val="20"/>
              </w:rPr>
              <w:t>Part 2 subtopic</w:t>
            </w:r>
          </w:p>
        </w:tc>
        <w:tc>
          <w:tcPr>
            <w:tcW w:type="dxa" w:w="2765"/>
            <w:vAlign w:val="center"/>
            <w:shd w:fill="F6F7FA"/>
            <w:tcMar>
              <w:top w:w="85" w:type="dxa"/>
              <w:bottom w:w="85" w:type="dxa"/>
              <w:left w:w="85" w:type="dxa"/>
              <w:right w:w="85" w:type="dxa"/>
            </w:tcMar>
          </w:tcPr>
          <w:p>
            <w:pPr>
              <w:spacing w:after="40" w:before="40" w:line="240" w:lineRule="auto"/>
            </w:pPr>
            <w:r>
              <w:rPr>
                <w:b w:val="0"/>
                <w:i w:val="0"/>
                <w:sz w:val="20"/>
              </w:rPr>
              <w:t>Heading 4</w:t>
            </w:r>
          </w:p>
        </w:tc>
        <w:tc>
          <w:tcPr>
            <w:tcW w:type="dxa" w:w="1872"/>
            <w:vAlign w:val="center"/>
            <w:shd w:fill="F6F7FA"/>
            <w:tcMar>
              <w:top w:w="85" w:type="dxa"/>
              <w:bottom w:w="85" w:type="dxa"/>
              <w:left w:w="85" w:type="dxa"/>
              <w:right w:w="85" w:type="dxa"/>
            </w:tcMar>
          </w:tcPr>
          <w:p>
            <w:pPr>
              <w:spacing w:after="40" w:before="40" w:line="240" w:lineRule="auto"/>
            </w:pPr>
            <w:r>
              <w:rPr>
                <w:b w:val="0"/>
                <w:i w:val="0"/>
                <w:sz w:val="20"/>
              </w:rPr>
              <w:t>1.1, 1.2</w:t>
            </w:r>
          </w:p>
        </w:tc>
      </w:tr>
      <w:tr>
        <w:trPr>
          <w:cantSplit/>
        </w:trPr>
        <w:tc>
          <w:tcPr>
            <w:tcW w:type="dxa" w:w="5256"/>
            <w:vAlign w:val="center"/>
            <w:shd w:fill="FFFFFF"/>
            <w:tcMar>
              <w:top w:w="85" w:type="dxa"/>
              <w:bottom w:w="85" w:type="dxa"/>
              <w:left w:w="85" w:type="dxa"/>
              <w:right w:w="85" w:type="dxa"/>
            </w:tcMar>
          </w:tcPr>
          <w:p>
            <w:pPr>
              <w:spacing w:after="40" w:before="40" w:line="240" w:lineRule="auto"/>
            </w:pPr>
            <w:r>
              <w:rPr>
                <w:b w:val="0"/>
                <w:i w:val="0"/>
                <w:sz w:val="20"/>
              </w:rPr>
              <w:t>Further subdivision if needed</w:t>
            </w:r>
          </w:p>
        </w:tc>
        <w:tc>
          <w:tcPr>
            <w:tcW w:type="dxa" w:w="2765"/>
            <w:vAlign w:val="center"/>
            <w:shd w:fill="FFFFFF"/>
            <w:tcMar>
              <w:top w:w="85" w:type="dxa"/>
              <w:bottom w:w="85" w:type="dxa"/>
              <w:left w:w="85" w:type="dxa"/>
              <w:right w:w="85" w:type="dxa"/>
            </w:tcMar>
          </w:tcPr>
          <w:p>
            <w:pPr>
              <w:spacing w:after="40" w:before="40" w:line="240" w:lineRule="auto"/>
            </w:pPr>
            <w:r>
              <w:rPr>
                <w:b w:val="0"/>
                <w:i w:val="0"/>
                <w:sz w:val="20"/>
              </w:rPr>
              <w:t>PG Further Subdivision</w:t>
            </w:r>
          </w:p>
        </w:tc>
        <w:tc>
          <w:tcPr>
            <w:tcW w:type="dxa" w:w="1872"/>
            <w:vAlign w:val="center"/>
            <w:shd w:fill="FFFFFF"/>
            <w:tcMar>
              <w:top w:w="85" w:type="dxa"/>
              <w:bottom w:w="85" w:type="dxa"/>
              <w:left w:w="85" w:type="dxa"/>
              <w:right w:w="85" w:type="dxa"/>
            </w:tcMar>
          </w:tcPr>
          <w:p>
            <w:pPr>
              <w:spacing w:after="40" w:before="40" w:line="240" w:lineRule="auto"/>
            </w:pPr>
            <w:r>
              <w:rPr>
                <w:b w:val="0"/>
                <w:i w:val="0"/>
                <w:sz w:val="20"/>
              </w:rPr>
              <w:t>1.1.1</w:t>
            </w:r>
          </w:p>
        </w:tc>
      </w:tr>
      <w:tr>
        <w:trPr>
          <w:cantSplit/>
        </w:trPr>
        <w:tc>
          <w:tcPr>
            <w:tcW w:type="dxa" w:w="5256"/>
            <w:vAlign w:val="center"/>
            <w:shd w:fill="F6F7FA"/>
            <w:tcMar>
              <w:top w:w="85" w:type="dxa"/>
              <w:bottom w:w="85" w:type="dxa"/>
              <w:left w:w="85" w:type="dxa"/>
              <w:right w:w="85" w:type="dxa"/>
            </w:tcMar>
          </w:tcPr>
          <w:p>
            <w:pPr>
              <w:spacing w:after="40" w:before="40" w:line="240" w:lineRule="auto"/>
            </w:pPr>
            <w:r>
              <w:rPr>
                <w:b w:val="0"/>
                <w:i w:val="0"/>
                <w:sz w:val="20"/>
              </w:rPr>
              <w:t>Description, Responsibility, Initiation, Procedure and report names</w:t>
            </w:r>
          </w:p>
        </w:tc>
        <w:tc>
          <w:tcPr>
            <w:tcW w:type="dxa" w:w="2765"/>
            <w:vAlign w:val="center"/>
            <w:shd w:fill="F6F7FA"/>
            <w:tcMar>
              <w:top w:w="85" w:type="dxa"/>
              <w:bottom w:w="85" w:type="dxa"/>
              <w:left w:w="85" w:type="dxa"/>
              <w:right w:w="85" w:type="dxa"/>
            </w:tcMar>
          </w:tcPr>
          <w:p>
            <w:pPr>
              <w:spacing w:after="40" w:before="40" w:line="240" w:lineRule="auto"/>
            </w:pPr>
            <w:r>
              <w:rPr>
                <w:b w:val="0"/>
                <w:i w:val="0"/>
                <w:sz w:val="20"/>
              </w:rPr>
              <w:t>Heading 5</w:t>
            </w:r>
          </w:p>
        </w:tc>
        <w:tc>
          <w:tcPr>
            <w:tcW w:type="dxa" w:w="1872"/>
            <w:vAlign w:val="center"/>
            <w:shd w:fill="F6F7FA"/>
            <w:tcMar>
              <w:top w:w="85" w:type="dxa"/>
              <w:bottom w:w="85" w:type="dxa"/>
              <w:left w:w="85" w:type="dxa"/>
              <w:right w:w="85" w:type="dxa"/>
            </w:tcMar>
          </w:tcPr>
          <w:p>
            <w:pPr>
              <w:spacing w:after="40" w:before="40" w:line="240" w:lineRule="auto"/>
            </w:pPr>
            <w:r>
              <w:rPr>
                <w:b w:val="0"/>
                <w:i w:val="0"/>
                <w:sz w:val="20"/>
              </w:rPr>
              <w:t>Unnumbered</w:t>
            </w:r>
          </w:p>
        </w:tc>
      </w:tr>
      <w:tr>
        <w:trPr>
          <w:cantSplit/>
        </w:trPr>
        <w:tc>
          <w:tcPr>
            <w:tcW w:type="dxa" w:w="5256"/>
            <w:vAlign w:val="center"/>
            <w:shd w:fill="FFFFFF"/>
            <w:tcMar>
              <w:top w:w="85" w:type="dxa"/>
              <w:bottom w:w="85" w:type="dxa"/>
              <w:left w:w="85" w:type="dxa"/>
              <w:right w:w="85" w:type="dxa"/>
            </w:tcMar>
          </w:tcPr>
          <w:p>
            <w:pPr>
              <w:spacing w:after="40" w:before="40" w:line="240" w:lineRule="auto"/>
            </w:pPr>
            <w:r>
              <w:rPr>
                <w:b w:val="0"/>
                <w:i w:val="0"/>
                <w:sz w:val="20"/>
              </w:rPr>
              <w:t>Main narrative</w:t>
            </w:r>
          </w:p>
        </w:tc>
        <w:tc>
          <w:tcPr>
            <w:tcW w:type="dxa" w:w="2765"/>
            <w:vAlign w:val="center"/>
            <w:shd w:fill="FFFFFF"/>
            <w:tcMar>
              <w:top w:w="85" w:type="dxa"/>
              <w:bottom w:w="85" w:type="dxa"/>
              <w:left w:w="85" w:type="dxa"/>
              <w:right w:w="85" w:type="dxa"/>
            </w:tcMar>
          </w:tcPr>
          <w:p>
            <w:pPr>
              <w:spacing w:after="40" w:before="40" w:line="240" w:lineRule="auto"/>
            </w:pPr>
            <w:r>
              <w:rPr>
                <w:b w:val="0"/>
                <w:i w:val="0"/>
                <w:sz w:val="20"/>
              </w:rPr>
              <w:t>PG Body Text</w:t>
            </w:r>
          </w:p>
        </w:tc>
        <w:tc>
          <w:tcPr>
            <w:tcW w:type="dxa" w:w="1872"/>
            <w:vAlign w:val="center"/>
            <w:shd w:fill="FFFFFF"/>
            <w:tcMar>
              <w:top w:w="85" w:type="dxa"/>
              <w:bottom w:w="85" w:type="dxa"/>
              <w:left w:w="85" w:type="dxa"/>
              <w:right w:w="85" w:type="dxa"/>
            </w:tcMar>
          </w:tcPr>
          <w:p>
            <w:pPr>
              <w:spacing w:after="40" w:before="40" w:line="240" w:lineRule="auto"/>
            </w:pPr>
            <w:r>
              <w:rPr>
                <w:b w:val="0"/>
                <w:i w:val="0"/>
                <w:sz w:val="20"/>
              </w:rPr>
              <w:t>None</w:t>
            </w:r>
          </w:p>
        </w:tc>
      </w:tr>
      <w:tr>
        <w:trPr>
          <w:cantSplit/>
        </w:trPr>
        <w:tc>
          <w:tcPr>
            <w:tcW w:type="dxa" w:w="5256"/>
            <w:vAlign w:val="center"/>
            <w:shd w:fill="F6F7FA"/>
            <w:tcMar>
              <w:top w:w="85" w:type="dxa"/>
              <w:bottom w:w="85" w:type="dxa"/>
              <w:left w:w="85" w:type="dxa"/>
              <w:right w:w="85" w:type="dxa"/>
            </w:tcMar>
          </w:tcPr>
          <w:p>
            <w:pPr>
              <w:spacing w:after="40" w:before="40" w:line="240" w:lineRule="auto"/>
            </w:pPr>
            <w:r>
              <w:rPr>
                <w:b w:val="0"/>
                <w:i w:val="0"/>
                <w:sz w:val="20"/>
              </w:rPr>
              <w:t>Responsibility and Initiation text</w:t>
            </w:r>
          </w:p>
        </w:tc>
        <w:tc>
          <w:tcPr>
            <w:tcW w:type="dxa" w:w="2765"/>
            <w:vAlign w:val="center"/>
            <w:shd w:fill="F6F7FA"/>
            <w:tcMar>
              <w:top w:w="85" w:type="dxa"/>
              <w:bottom w:w="85" w:type="dxa"/>
              <w:left w:w="85" w:type="dxa"/>
              <w:right w:w="85" w:type="dxa"/>
            </w:tcMar>
          </w:tcPr>
          <w:p>
            <w:pPr>
              <w:spacing w:after="40" w:before="40" w:line="240" w:lineRule="auto"/>
            </w:pPr>
            <w:r>
              <w:rPr>
                <w:b w:val="0"/>
                <w:i w:val="0"/>
                <w:sz w:val="20"/>
              </w:rPr>
              <w:t>CW_Bullet 1</w:t>
            </w:r>
          </w:p>
        </w:tc>
        <w:tc>
          <w:tcPr>
            <w:tcW w:type="dxa" w:w="1872"/>
            <w:vAlign w:val="center"/>
            <w:shd w:fill="F6F7FA"/>
            <w:tcMar>
              <w:top w:w="85" w:type="dxa"/>
              <w:bottom w:w="85" w:type="dxa"/>
              <w:left w:w="85" w:type="dxa"/>
              <w:right w:w="85" w:type="dxa"/>
            </w:tcMar>
          </w:tcPr>
          <w:p>
            <w:pPr>
              <w:spacing w:after="40" w:before="40" w:line="240" w:lineRule="auto"/>
            </w:pPr>
            <w:r>
              <w:rPr>
                <w:b w:val="0"/>
                <w:i w:val="0"/>
                <w:sz w:val="20"/>
              </w:rPr>
              <w:t>Native bullets</w:t>
            </w:r>
          </w:p>
        </w:tc>
      </w:tr>
    </w:tbl>
    <w:p>
      <w:pPr>
        <w:spacing w:after="0"/>
      </w:pPr>
      <w:r>
        <w:rPr>
          <w:b w:val="0"/>
          <w:i w:val="0"/>
        </w:rPr>
      </w:r>
    </w:p>
    <w:p>
      <w:r>
        <w:rPr>
          <w:b w:val="0"/>
          <w:i w:val="0"/>
        </w:rPr>
        <w:t>Heading 4 also appears in Part 1 for High-level process, Roles and responsibilities, and Key concepts. Copy the correct example from its own section: applying a heading style alone does not always recreate the associated numbered list.</w:t>
      </w:r>
    </w:p>
    <w:p>
      <w:pPr>
        <w:pStyle w:val="Heading2"/>
      </w:pPr>
      <w:r>
        <w:t>Build and test the outline</w:t>
      </w:r>
    </w:p>
    <w:p>
      <w:pPr>
        <w:pStyle w:val="ListBullet"/>
      </w:pPr>
      <w:r>
        <w:rPr>
          <w:b w:val="0"/>
          <w:i w:val="0"/>
        </w:rPr>
        <w:t>Copy the appropriate example block, including its heading, labels and table. Replace the content, then remove unused examples. Do not leave all three template patterns in the guide unless all are needed.</w:t>
      </w:r>
    </w:p>
    <w:p>
      <w:pPr>
        <w:pStyle w:val="ListBullet"/>
      </w:pPr>
      <w:r>
        <w:rPr>
          <w:b w:val="0"/>
          <w:i w:val="0"/>
        </w:rPr>
        <w:t>Name topics with a clear verb and object, such as “Record an Intercompany Payable.” Use the same title in the Process table and links.</w:t>
      </w:r>
    </w:p>
    <w:p>
      <w:pPr>
        <w:pStyle w:val="ListBullet"/>
      </w:pPr>
      <w:r>
        <w:rPr>
          <w:b w:val="0"/>
          <w:i w:val="0"/>
        </w:rPr>
        <w:t>Keep a reversal or correction standalone when it is performed independently. Avoid a parent heading that contains only one redundant subtopic.</w:t>
      </w:r>
    </w:p>
    <w:p>
      <w:pPr>
        <w:pStyle w:val="ListBullet"/>
      </w:pPr>
      <w:r>
        <w:rPr>
          <w:b w:val="0"/>
          <w:i w:val="0"/>
        </w:rPr>
        <w:t>For an optional subtopic, state when it is required and link directly to the next stage when it can be skipped. Keep the Topic Overview and continuation links aligned.</w:t>
      </w:r>
    </w:p>
    <w:p>
      <w:r>
        <w:br w:type="page"/>
      </w:r>
    </w:p>
    <w:p>
      <w:bookmarkStart w:id="4" w:name="section4"/>
      <w:pPr>
        <w:pStyle w:val="Heading1"/>
      </w:pPr>
      <w:r>
        <w:t>Complete the front matter and process overview</w:t>
      </w:r>
      <w:bookmarkEnd w:id="4"/>
    </w:p>
    <w:p>
      <w:pPr>
        <w:pStyle w:val="Heading2"/>
      </w:pPr>
      <w:r>
        <w:t>Cover and version history</w:t>
      </w:r>
    </w:p>
    <w:p>
      <w:r>
        <w:rPr>
          <w:b w:val="0"/>
          <w:i w:val="0"/>
        </w:rPr>
        <w:t>Retain the cover, branding, page setup, contents field and fixed About this guide text. Replace the process name without deleting the surrounding paragraph structure. Keep the color key. The template’s example page count is not a limit for your guide.</w:t>
      </w:r>
    </w:p>
    <w:p>
      <w:r>
        <w:rPr>
          <w:b w:val="0"/>
          <w:i w:val="0"/>
        </w:rPr>
        <w:t xml:space="preserve">Complete </w:t>
      </w:r>
      <w:r>
        <w:rPr>
          <w:b/>
          <w:i w:val="0"/>
        </w:rPr>
        <w:t>ID | Date | Author/s | BPO | Description of change</w:t>
      </w:r>
      <w:r>
        <w:rPr>
          <w:b w:val="0"/>
          <w:i w:val="0"/>
        </w:rPr>
        <w:t xml:space="preserve"> using actual information. ID records the guide revision; Date uses </w:t>
      </w:r>
      <w:r>
        <w:rPr>
          <w:b/>
          <w:i w:val="0"/>
        </w:rPr>
        <w:t>Month Year</w:t>
      </w:r>
      <w:r>
        <w:rPr>
          <w:b w:val="0"/>
          <w:i w:val="0"/>
        </w:rPr>
        <w:t>. Separate multiple names with semicolons and remove trailing separators. Preserve earlier history when revising a guide. Describe what changed, and do not invent an owner, approval or release date. The refreshed footer date is not the revision history.</w:t>
      </w:r>
    </w:p>
    <w:p>
      <w:pPr>
        <w:pStyle w:val="Heading2"/>
      </w:pPr>
      <w:r>
        <w:t>Part 1 high level process</w:t>
      </w:r>
    </w:p>
    <w:p>
      <w:r>
        <w:rPr>
          <w:b w:val="0"/>
          <w:i w:val="0"/>
        </w:rPr>
        <w:t xml:space="preserve">In </w:t>
      </w:r>
      <w:r>
        <w:rPr>
          <w:b/>
          <w:i w:val="0"/>
        </w:rPr>
        <w:t>Part Description</w:t>
      </w:r>
      <w:r>
        <w:rPr>
          <w:b w:val="0"/>
          <w:i w:val="0"/>
        </w:rPr>
        <w:t xml:space="preserve">, explain the end-to-end purpose, scope, main systems and intended result. State material exclusions or links to related PGs where needed to prevent overlap. Under </w:t>
      </w:r>
      <w:r>
        <w:rPr>
          <w:b/>
          <w:i w:val="0"/>
        </w:rPr>
        <w:t>Initiation</w:t>
      </w:r>
      <w:r>
        <w:rPr>
          <w:b w:val="0"/>
          <w:i w:val="0"/>
        </w:rPr>
        <w:t>, use a native bullet for each confirmed event or condition that starts the process, even if there is only one.</w:t>
      </w:r>
    </w:p>
    <w:p>
      <w:r>
        <w:rPr>
          <w:b w:val="0"/>
          <w:i w:val="0"/>
        </w:rPr>
        <w:t xml:space="preserve">Complete the </w:t>
      </w:r>
      <w:r>
        <w:rPr>
          <w:b/>
          <w:i w:val="0"/>
        </w:rPr>
        <w:t>Stream | Process Area | Key Roles</w:t>
      </w:r>
      <w:r>
        <w:rPr>
          <w:b w:val="0"/>
          <w:i w:val="0"/>
        </w:rPr>
        <w:t xml:space="preserve"> table with the business stream, the specific process, and the responsible role names. Introduce unfamiliar acronyms as Full Term (ACRONYM) at first use and then use them consistently.</w:t>
      </w:r>
    </w:p>
    <w:p>
      <w:pPr>
        <w:pStyle w:val="Heading2"/>
      </w:pPr>
      <w:r>
        <w:t>Populate every Process table cell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8885"/>
      </w:tblGrid>
      <w:tr>
        <w:trPr>
          <w:cantSplit/>
          <w:tblHeader/>
        </w:trPr>
        <w:tc>
          <w:tcPr>
            <w:tcW w:type="dxa" w:w="1008"/>
            <w:vAlign w:val="center"/>
            <w:shd w:fill="E7EDF5"/>
            <w:tcMar>
              <w:top w:w="85" w:type="dxa"/>
              <w:bottom w:w="85" w:type="dxa"/>
              <w:left w:w="85" w:type="dxa"/>
              <w:right w:w="85" w:type="dxa"/>
            </w:tcMar>
          </w:tcPr>
          <w:p>
            <w:pPr>
              <w:spacing w:after="40" w:before="40" w:line="240" w:lineRule="auto"/>
            </w:pPr>
            <w:r>
              <w:rPr>
                <w:b/>
                <w:i w:val="0"/>
                <w:sz w:val="20"/>
              </w:rPr>
              <w:t>Column</w:t>
            </w:r>
          </w:p>
        </w:tc>
        <w:tc>
          <w:tcPr>
            <w:tcW w:type="dxa" w:w="8885"/>
            <w:vAlign w:val="center"/>
            <w:shd w:fill="E7EDF5"/>
            <w:tcMar>
              <w:top w:w="85" w:type="dxa"/>
              <w:bottom w:w="85" w:type="dxa"/>
              <w:left w:w="85" w:type="dxa"/>
              <w:right w:w="85" w:type="dxa"/>
            </w:tcMar>
          </w:tcPr>
          <w:p>
            <w:pPr>
              <w:spacing w:after="40" w:before="40" w:line="240" w:lineRule="auto"/>
            </w:pPr>
            <w:r>
              <w:rPr>
                <w:b/>
                <w:i w:val="0"/>
                <w:sz w:val="20"/>
              </w:rPr>
              <w:t>Required content</w:t>
            </w:r>
          </w:p>
        </w:tc>
      </w:tr>
      <w:tr>
        <w:trPr>
          <w:cantSplit/>
        </w:trPr>
        <w:tc>
          <w:tcPr>
            <w:tcW w:type="dxa" w:w="1008"/>
            <w:vAlign w:val="center"/>
            <w:shd w:fill="FFFFFF"/>
            <w:tcMar>
              <w:top w:w="85" w:type="dxa"/>
              <w:bottom w:w="85" w:type="dxa"/>
              <w:left w:w="85" w:type="dxa"/>
              <w:right w:w="85" w:type="dxa"/>
            </w:tcMar>
          </w:tcPr>
          <w:p>
            <w:pPr>
              <w:spacing w:after="40" w:before="40" w:line="240" w:lineRule="auto"/>
            </w:pPr>
            <w:r>
              <w:rPr>
                <w:b w:val="0"/>
                <w:i w:val="0"/>
                <w:sz w:val="20"/>
              </w:rPr>
              <w:t>#</w:t>
            </w:r>
          </w:p>
        </w:tc>
        <w:tc>
          <w:tcPr>
            <w:tcW w:type="dxa" w:w="8885"/>
            <w:vAlign w:val="center"/>
            <w:shd w:fill="FFFFFF"/>
            <w:tcMar>
              <w:top w:w="85" w:type="dxa"/>
              <w:bottom w:w="85" w:type="dxa"/>
              <w:left w:w="85" w:type="dxa"/>
              <w:right w:w="85" w:type="dxa"/>
            </w:tcMar>
          </w:tcPr>
          <w:p>
            <w:pPr>
              <w:spacing w:after="40" w:before="40" w:line="240" w:lineRule="auto"/>
            </w:pPr>
            <w:r>
              <w:rPr>
                <w:b w:val="0"/>
                <w:i w:val="0"/>
                <w:sz w:val="20"/>
              </w:rPr>
              <w:t>One row per major Part 2 topic in matching order: 1, 2, 3. Do not add 1.1 or 1.2 rows.</w:t>
            </w:r>
          </w:p>
        </w:tc>
      </w:tr>
      <w:tr>
        <w:trPr>
          <w:cantSplit/>
        </w:trPr>
        <w:tc>
          <w:tcPr>
            <w:tcW w:type="dxa" w:w="1008"/>
            <w:vAlign w:val="center"/>
            <w:shd w:fill="F6F7FA"/>
            <w:tcMar>
              <w:top w:w="85" w:type="dxa"/>
              <w:bottom w:w="85" w:type="dxa"/>
              <w:left w:w="85" w:type="dxa"/>
              <w:right w:w="85" w:type="dxa"/>
            </w:tcMar>
          </w:tcPr>
          <w:p>
            <w:pPr>
              <w:spacing w:after="40" w:before="40" w:line="240" w:lineRule="auto"/>
            </w:pPr>
            <w:r>
              <w:rPr>
                <w:b w:val="0"/>
                <w:i w:val="0"/>
                <w:sz w:val="20"/>
              </w:rPr>
              <w:t>Action</w:t>
            </w:r>
          </w:p>
        </w:tc>
        <w:tc>
          <w:tcPr>
            <w:tcW w:type="dxa" w:w="8885"/>
            <w:vAlign w:val="center"/>
            <w:shd w:fill="F6F7FA"/>
            <w:tcMar>
              <w:top w:w="85" w:type="dxa"/>
              <w:bottom w:w="85" w:type="dxa"/>
              <w:left w:w="85" w:type="dxa"/>
              <w:right w:w="85" w:type="dxa"/>
            </w:tcMar>
          </w:tcPr>
          <w:p>
            <w:pPr>
              <w:spacing w:after="40" w:before="40" w:line="240" w:lineRule="auto"/>
            </w:pPr>
            <w:r>
              <w:rPr>
                <w:b w:val="0"/>
                <w:i w:val="0"/>
                <w:sz w:val="20"/>
              </w:rPr>
              <w:t>The major topic title, linked to its actual heading in the guide.</w:t>
            </w:r>
          </w:p>
        </w:tc>
      </w:tr>
      <w:tr>
        <w:trPr>
          <w:cantSplit/>
        </w:trPr>
        <w:tc>
          <w:tcPr>
            <w:tcW w:type="dxa" w:w="1008"/>
            <w:vAlign w:val="center"/>
            <w:shd w:fill="FFFFFF"/>
            <w:tcMar>
              <w:top w:w="85" w:type="dxa"/>
              <w:bottom w:w="85" w:type="dxa"/>
              <w:left w:w="85" w:type="dxa"/>
              <w:right w:w="85" w:type="dxa"/>
            </w:tcMar>
          </w:tcPr>
          <w:p>
            <w:pPr>
              <w:spacing w:after="40" w:before="40" w:line="240" w:lineRule="auto"/>
            </w:pPr>
            <w:r>
              <w:rPr>
                <w:b w:val="0"/>
                <w:i w:val="0"/>
                <w:sz w:val="20"/>
              </w:rPr>
              <w:t>Who</w:t>
            </w:r>
          </w:p>
        </w:tc>
        <w:tc>
          <w:tcPr>
            <w:tcW w:type="dxa" w:w="8885"/>
            <w:vAlign w:val="center"/>
            <w:shd w:fill="FFFFFF"/>
            <w:tcMar>
              <w:top w:w="85" w:type="dxa"/>
              <w:bottom w:w="85" w:type="dxa"/>
              <w:left w:w="85" w:type="dxa"/>
              <w:right w:w="85" w:type="dxa"/>
            </w:tcMar>
          </w:tcPr>
          <w:p>
            <w:pPr>
              <w:spacing w:after="40" w:before="40" w:line="240" w:lineRule="auto"/>
            </w:pPr>
            <w:r>
              <w:rPr>
                <w:b w:val="0"/>
                <w:i w:val="0"/>
                <w:sz w:val="20"/>
              </w:rPr>
              <w:t>Responsible team and preparer/poster role. Include the authorized approver for payables and other approval-dependent tasks where confirmed.</w:t>
            </w:r>
          </w:p>
        </w:tc>
      </w:tr>
      <w:tr>
        <w:trPr>
          <w:cantSplit/>
        </w:trPr>
        <w:tc>
          <w:tcPr>
            <w:tcW w:type="dxa" w:w="1008"/>
            <w:vAlign w:val="center"/>
            <w:shd w:fill="F6F7FA"/>
            <w:tcMar>
              <w:top w:w="85" w:type="dxa"/>
              <w:bottom w:w="85" w:type="dxa"/>
              <w:left w:w="85" w:type="dxa"/>
              <w:right w:w="85" w:type="dxa"/>
            </w:tcMar>
          </w:tcPr>
          <w:p>
            <w:pPr>
              <w:spacing w:after="40" w:before="40" w:line="240" w:lineRule="auto"/>
            </w:pPr>
            <w:r>
              <w:rPr>
                <w:b w:val="0"/>
                <w:i w:val="0"/>
                <w:sz w:val="20"/>
              </w:rPr>
              <w:t>When</w:t>
            </w:r>
          </w:p>
        </w:tc>
        <w:tc>
          <w:tcPr>
            <w:tcW w:type="dxa" w:w="8885"/>
            <w:vAlign w:val="center"/>
            <w:shd w:fill="F6F7FA"/>
            <w:tcMar>
              <w:top w:w="85" w:type="dxa"/>
              <w:bottom w:w="85" w:type="dxa"/>
              <w:left w:w="85" w:type="dxa"/>
              <w:right w:w="85" w:type="dxa"/>
            </w:tcMar>
          </w:tcPr>
          <w:p>
            <w:pPr>
              <w:spacing w:after="40" w:before="40" w:line="240" w:lineRule="auto"/>
            </w:pPr>
            <w:r>
              <w:rPr>
                <w:b w:val="0"/>
                <w:i w:val="0"/>
                <w:sz w:val="20"/>
              </w:rPr>
              <w:t>That topic’s documented initiation condition. Use the trigger, not a generic “as required.”</w:t>
            </w:r>
          </w:p>
        </w:tc>
      </w:tr>
      <w:tr>
        <w:trPr>
          <w:cantSplit/>
        </w:trPr>
        <w:tc>
          <w:tcPr>
            <w:tcW w:type="dxa" w:w="1008"/>
            <w:vAlign w:val="center"/>
            <w:shd w:fill="FFFFFF"/>
            <w:tcMar>
              <w:top w:w="85" w:type="dxa"/>
              <w:bottom w:w="85" w:type="dxa"/>
              <w:left w:w="85" w:type="dxa"/>
              <w:right w:w="85" w:type="dxa"/>
            </w:tcMar>
          </w:tcPr>
          <w:p>
            <w:pPr>
              <w:spacing w:after="40" w:before="40" w:line="240" w:lineRule="auto"/>
            </w:pPr>
            <w:r>
              <w:rPr>
                <w:b w:val="0"/>
                <w:i w:val="0"/>
                <w:sz w:val="20"/>
              </w:rPr>
              <w:t>Where</w:t>
            </w:r>
          </w:p>
        </w:tc>
        <w:tc>
          <w:tcPr>
            <w:tcW w:type="dxa" w:w="8885"/>
            <w:vAlign w:val="center"/>
            <w:shd w:fill="FFFFFF"/>
            <w:tcMar>
              <w:top w:w="85" w:type="dxa"/>
              <w:bottom w:w="85" w:type="dxa"/>
              <w:left w:w="85" w:type="dxa"/>
              <w:right w:w="85" w:type="dxa"/>
            </w:tcMar>
          </w:tcPr>
          <w:p>
            <w:pPr>
              <w:spacing w:after="40" w:before="40" w:line="240" w:lineRule="auto"/>
            </w:pPr>
            <w:r>
              <w:rPr>
                <w:b w:val="0"/>
                <w:i w:val="0"/>
                <w:sz w:val="20"/>
              </w:rPr>
              <w:t>Platforms actually used in the topic, such as Excel, D365 and Teams. Do not list a platform simply because it is common elsewhere.</w:t>
            </w:r>
          </w:p>
        </w:tc>
      </w:tr>
    </w:tbl>
    <w:p>
      <w:pPr>
        <w:spacing w:after="0"/>
      </w:pPr>
      <w:r>
        <w:rPr>
          <w:b w:val="0"/>
          <w:i w:val="0"/>
        </w:rPr>
      </w:r>
    </w:p>
    <w:p>
      <w:pPr>
        <w:pStyle w:val="Heading2"/>
      </w:pPr>
      <w:r>
        <w:t>Example of the level of detail</w:t>
      </w:r>
    </w:p>
    <w:p>
      <w:r>
        <w:rPr>
          <w:b w:val="0"/>
          <w:i w:val="0"/>
        </w:rPr>
        <w:t xml:space="preserve">For a confirmed intercompany payable process: </w:t>
      </w:r>
      <w:r>
        <w:rPr>
          <w:b/>
          <w:i w:val="0"/>
        </w:rPr>
        <w:t>Who:</w:t>
      </w:r>
      <w:r>
        <w:rPr>
          <w:b w:val="0"/>
          <w:i w:val="0"/>
        </w:rPr>
        <w:t xml:space="preserve"> Reporting team preparer/poster and authorized approver. </w:t>
      </w:r>
      <w:r>
        <w:rPr>
          <w:b/>
          <w:i w:val="0"/>
        </w:rPr>
        <w:t>When:</w:t>
      </w:r>
      <w:r>
        <w:rPr>
          <w:b w:val="0"/>
          <w:i w:val="0"/>
        </w:rPr>
        <w:t xml:space="preserve"> When the billing entity’s invoice is received and the payable details are reviewed. </w:t>
      </w:r>
      <w:r>
        <w:rPr>
          <w:b/>
          <w:i w:val="0"/>
        </w:rPr>
        <w:t>Where:</w:t>
      </w:r>
      <w:r>
        <w:rPr>
          <w:b w:val="0"/>
          <w:i w:val="0"/>
        </w:rPr>
        <w:t xml:space="preserve"> Excel, D365 and Teams, only if each is used in that procedure. This example does not establish those roles or platforms for other processes.</w:t>
      </w:r>
    </w:p>
    <w:p>
      <w:r>
        <w:rPr>
          <w:b w:val="0"/>
          <w:i w:val="0"/>
        </w:rPr>
        <w:t>After the Part 2 outline changes, return here and reconcile row count, order, numbering, titles and links. Do not leave a blank cell or template prompt in a clean guide; obtain missing information from the SME.</w:t>
      </w:r>
    </w:p>
    <w:p>
      <w:r>
        <w:br w:type="page"/>
      </w:r>
    </w:p>
    <w:p>
      <w:bookmarkStart w:id="5" w:name="section5"/>
      <w:pPr>
        <w:pStyle w:val="Heading1"/>
      </w:pPr>
      <w:r>
        <w:t>Explain responsibilities and key concepts</w:t>
      </w:r>
      <w:bookmarkEnd w:id="5"/>
    </w:p>
    <w:p>
      <w:pPr>
        <w:pStyle w:val="Heading2"/>
      </w:pPr>
      <w:r>
        <w:t>Roles and responsibilities</w:t>
      </w:r>
    </w:p>
    <w:p>
      <w:r>
        <w:rPr>
          <w:b w:val="0"/>
          <w:i w:val="0"/>
        </w:rPr>
        <w:t>Write a short Overview explaining who performs the work and how the roles interact. Use role names that the intended users recognize. Keep those names consistent in the Stream table, Process table, role matrix, topic Responsibility bullets and PROCESS START blocks.</w:t>
      </w:r>
    </w:p>
    <w:p>
      <w:r>
        <w:rPr>
          <w:b w:val="0"/>
          <w:i w:val="0"/>
        </w:rPr>
        <w:t xml:space="preserve">In the matrix, put the task or subtask in the first column and each business role in a separate column. Link each task to the relevant topic or subtopic. Mark a confirmed responsible role with </w:t>
      </w:r>
      <w:r>
        <w:rPr>
          <w:b/>
          <w:i w:val="0"/>
        </w:rPr>
        <w:t>R</w:t>
      </w:r>
      <w:r>
        <w:rPr>
          <w:b w:val="0"/>
          <w:i w:val="0"/>
        </w:rPr>
        <w:t xml:space="preserve">. Leave non-responsible cells blank and use the supplied </w:t>
      </w:r>
      <w:r>
        <w:rPr>
          <w:b/>
          <w:i w:val="0"/>
        </w:rPr>
        <w:t>Blue, Accent 5</w:t>
      </w:r>
      <w:r>
        <w:rPr>
          <w:b w:val="0"/>
          <w:i w:val="0"/>
        </w:rPr>
        <w:t xml:space="preserve"> shading, resolved in this template as light blue </w:t>
      </w:r>
      <w:r>
        <w:rPr>
          <w:b/>
          <w:i w:val="0"/>
        </w:rPr>
        <w:t>DEEAF6</w:t>
      </w:r>
      <w:r>
        <w:rPr>
          <w:b w:val="0"/>
          <w:i w:val="0"/>
        </w:rPr>
        <w:t>.</w:t>
      </w:r>
    </w:p>
    <w:p>
      <w:r>
        <w:rPr>
          <w:b w:val="0"/>
          <w:i w:val="0"/>
        </w:rPr>
        <w:t>Delete the sample instruction “Fill the empty cell with shading…” from the end-user document. It tells the author what to do; it is not a role assignment. Do not turn the matrix into a different responsibility model or add approval duties without confirmation.</w:t>
      </w:r>
    </w:p>
    <w:p>
      <w:pPr>
        <w:pStyle w:val="Heading2"/>
      </w:pPr>
      <w:r>
        <w:t>Key concepts</w:t>
      </w:r>
    </w:p>
    <w:p>
      <w:r>
        <w:rPr>
          <w:b w:val="0"/>
          <w:i w:val="0"/>
        </w:rPr>
        <w:t>Give readers the knowledge they need before performing the tasks: terms, important business rules, document types, statuses or choices that affect what they do. Begin with an Overview, then use a descriptive Heading 5 for each concept. Adapt the concept table headings to the information; the template’s [Heading] and [Body/ Description] are placeholders.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54"/>
        <w:gridCol w:w="4939"/>
      </w:tblGrid>
      <w:tr>
        <w:trPr>
          <w:cantSplit/>
          <w:tblHeader/>
        </w:trPr>
        <w:tc>
          <w:tcPr>
            <w:tcW w:type="dxa" w:w="4954"/>
            <w:vAlign w:val="center"/>
            <w:shd w:fill="E7EDF5"/>
            <w:tcMar>
              <w:top w:w="85" w:type="dxa"/>
              <w:bottom w:w="85" w:type="dxa"/>
              <w:left w:w="85" w:type="dxa"/>
              <w:right w:w="85" w:type="dxa"/>
            </w:tcMar>
          </w:tcPr>
          <w:p>
            <w:pPr>
              <w:spacing w:after="40" w:before="40" w:line="240" w:lineRule="auto"/>
            </w:pPr>
            <w:r>
              <w:rPr>
                <w:b/>
                <w:i w:val="0"/>
                <w:sz w:val="20"/>
              </w:rPr>
              <w:t>Useful content</w:t>
            </w:r>
          </w:p>
        </w:tc>
        <w:tc>
          <w:tcPr>
            <w:tcW w:type="dxa" w:w="4939"/>
            <w:vAlign w:val="center"/>
            <w:shd w:fill="E7EDF5"/>
            <w:tcMar>
              <w:top w:w="85" w:type="dxa"/>
              <w:bottom w:w="85" w:type="dxa"/>
              <w:left w:w="85" w:type="dxa"/>
              <w:right w:w="85" w:type="dxa"/>
            </w:tcMar>
          </w:tcPr>
          <w:p>
            <w:pPr>
              <w:spacing w:after="40" w:before="40" w:line="240" w:lineRule="auto"/>
            </w:pPr>
            <w:r>
              <w:rPr>
                <w:b/>
                <w:i w:val="0"/>
                <w:sz w:val="20"/>
              </w:rPr>
              <w:t>Avoid</w:t>
            </w:r>
          </w:p>
        </w:tc>
      </w:tr>
      <w:tr>
        <w:trPr>
          <w:cantSplit/>
        </w:trPr>
        <w:tc>
          <w:tcPr>
            <w:tcW w:type="dxa" w:w="4954"/>
            <w:vAlign w:val="center"/>
            <w:shd w:fill="FFFFFF"/>
            <w:tcMar>
              <w:top w:w="85" w:type="dxa"/>
              <w:bottom w:w="85" w:type="dxa"/>
              <w:left w:w="85" w:type="dxa"/>
              <w:right w:w="85" w:type="dxa"/>
            </w:tcMar>
          </w:tcPr>
          <w:p>
            <w:pPr>
              <w:spacing w:after="40" w:before="40" w:line="240" w:lineRule="auto"/>
            </w:pPr>
            <w:r>
              <w:rPr>
                <w:b w:val="0"/>
                <w:i w:val="0"/>
                <w:sz w:val="20"/>
              </w:rPr>
              <w:t>A confirmed distinction between two journal types and when each is used.</w:t>
            </w:r>
          </w:p>
        </w:tc>
        <w:tc>
          <w:tcPr>
            <w:tcW w:type="dxa" w:w="4939"/>
            <w:vAlign w:val="center"/>
            <w:shd w:fill="FFFFFF"/>
            <w:tcMar>
              <w:top w:w="85" w:type="dxa"/>
              <w:bottom w:w="85" w:type="dxa"/>
              <w:left w:w="85" w:type="dxa"/>
              <w:right w:w="85" w:type="dxa"/>
            </w:tcMar>
          </w:tcPr>
          <w:p>
            <w:pPr>
              <w:spacing w:after="40" w:before="40" w:line="240" w:lineRule="auto"/>
            </w:pPr>
            <w:r>
              <w:rPr>
                <w:b w:val="0"/>
                <w:i w:val="0"/>
                <w:sz w:val="20"/>
              </w:rPr>
              <w:t>A glossary of unrelated terms copied from another PG.</w:t>
            </w:r>
          </w:p>
        </w:tc>
      </w:tr>
      <w:tr>
        <w:trPr>
          <w:cantSplit/>
        </w:trPr>
        <w:tc>
          <w:tcPr>
            <w:tcW w:type="dxa" w:w="4954"/>
            <w:vAlign w:val="center"/>
            <w:shd w:fill="F6F7FA"/>
            <w:tcMar>
              <w:top w:w="85" w:type="dxa"/>
              <w:bottom w:w="85" w:type="dxa"/>
              <w:left w:w="85" w:type="dxa"/>
              <w:right w:w="85" w:type="dxa"/>
            </w:tcMar>
          </w:tcPr>
          <w:p>
            <w:pPr>
              <w:spacing w:after="40" w:before="40" w:line="240" w:lineRule="auto"/>
            </w:pPr>
            <w:r>
              <w:rPr>
                <w:b w:val="0"/>
                <w:i w:val="0"/>
                <w:sz w:val="20"/>
              </w:rPr>
              <w:t>A status definition with its practical consequence for the user.</w:t>
            </w:r>
          </w:p>
        </w:tc>
        <w:tc>
          <w:tcPr>
            <w:tcW w:type="dxa" w:w="4939"/>
            <w:vAlign w:val="center"/>
            <w:shd w:fill="F6F7FA"/>
            <w:tcMar>
              <w:top w:w="85" w:type="dxa"/>
              <w:bottom w:w="85" w:type="dxa"/>
              <w:left w:w="85" w:type="dxa"/>
              <w:right w:w="85" w:type="dxa"/>
            </w:tcMar>
          </w:tcPr>
          <w:p>
            <w:pPr>
              <w:spacing w:after="40" w:before="40" w:line="240" w:lineRule="auto"/>
            </w:pPr>
            <w:r>
              <w:rPr>
                <w:b w:val="0"/>
                <w:i w:val="0"/>
                <w:sz w:val="20"/>
              </w:rPr>
              <w:t>A color or status meaning inferred from a screenshot alone.</w:t>
            </w:r>
          </w:p>
        </w:tc>
      </w:tr>
      <w:tr>
        <w:trPr>
          <w:cantSplit/>
        </w:trPr>
        <w:tc>
          <w:tcPr>
            <w:tcW w:type="dxa" w:w="4954"/>
            <w:vAlign w:val="center"/>
            <w:shd w:fill="FFFFFF"/>
            <w:tcMar>
              <w:top w:w="85" w:type="dxa"/>
              <w:bottom w:w="85" w:type="dxa"/>
              <w:left w:w="85" w:type="dxa"/>
              <w:right w:w="85" w:type="dxa"/>
            </w:tcMar>
          </w:tcPr>
          <w:p>
            <w:pPr>
              <w:spacing w:after="40" w:before="40" w:line="240" w:lineRule="auto"/>
            </w:pPr>
            <w:r>
              <w:rPr>
                <w:b w:val="0"/>
                <w:i w:val="0"/>
                <w:sz w:val="20"/>
              </w:rPr>
              <w:t>The actual approval requirement and the point at which it applies.</w:t>
            </w:r>
          </w:p>
        </w:tc>
        <w:tc>
          <w:tcPr>
            <w:tcW w:type="dxa" w:w="4939"/>
            <w:vAlign w:val="center"/>
            <w:shd w:fill="FFFFFF"/>
            <w:tcMar>
              <w:top w:w="85" w:type="dxa"/>
              <w:bottom w:w="85" w:type="dxa"/>
              <w:left w:w="85" w:type="dxa"/>
              <w:right w:w="85" w:type="dxa"/>
            </w:tcMar>
          </w:tcPr>
          <w:p>
            <w:pPr>
              <w:spacing w:after="40" w:before="40" w:line="240" w:lineRule="auto"/>
            </w:pPr>
            <w:r>
              <w:rPr>
                <w:b w:val="0"/>
                <w:i w:val="0"/>
                <w:sz w:val="20"/>
              </w:rPr>
              <w:t>Assuming that all journals use the same approval workflow.</w:t>
            </w:r>
          </w:p>
        </w:tc>
      </w:tr>
      <w:tr>
        <w:trPr>
          <w:cantSplit/>
        </w:trPr>
        <w:tc>
          <w:tcPr>
            <w:tcW w:type="dxa" w:w="4954"/>
            <w:vAlign w:val="center"/>
            <w:shd w:fill="F6F7FA"/>
            <w:tcMar>
              <w:top w:w="85" w:type="dxa"/>
              <w:bottom w:w="85" w:type="dxa"/>
              <w:left w:w="85" w:type="dxa"/>
              <w:right w:w="85" w:type="dxa"/>
            </w:tcMar>
          </w:tcPr>
          <w:p>
            <w:pPr>
              <w:spacing w:after="40" w:before="40" w:line="240" w:lineRule="auto"/>
            </w:pPr>
            <w:r>
              <w:rPr>
                <w:b w:val="0"/>
                <w:i w:val="0"/>
                <w:sz w:val="20"/>
              </w:rPr>
              <w:t>A concise explanation of the process boundary and related guide.</w:t>
            </w:r>
          </w:p>
        </w:tc>
        <w:tc>
          <w:tcPr>
            <w:tcW w:type="dxa" w:w="4939"/>
            <w:vAlign w:val="center"/>
            <w:shd w:fill="F6F7FA"/>
            <w:tcMar>
              <w:top w:w="85" w:type="dxa"/>
              <w:bottom w:w="85" w:type="dxa"/>
              <w:left w:w="85" w:type="dxa"/>
              <w:right w:w="85" w:type="dxa"/>
            </w:tcMar>
          </w:tcPr>
          <w:p>
            <w:pPr>
              <w:spacing w:after="40" w:before="40" w:line="240" w:lineRule="auto"/>
            </w:pPr>
            <w:r>
              <w:rPr>
                <w:b w:val="0"/>
                <w:i w:val="0"/>
                <w:sz w:val="20"/>
              </w:rPr>
              <w:t>Repeating full procedures that are maintained in another guide.</w:t>
            </w:r>
          </w:p>
        </w:tc>
      </w:tr>
    </w:tbl>
    <w:p>
      <w:pPr>
        <w:spacing w:after="0"/>
      </w:pPr>
      <w:r>
        <w:rPr>
          <w:b w:val="0"/>
          <w:i w:val="0"/>
        </w:rPr>
      </w:r>
    </w:p>
    <w:p>
      <w:pPr>
        <w:pStyle w:val="Heading2"/>
      </w:pPr>
      <w:r>
        <w:t>Separate rules from procedure</w:t>
      </w:r>
    </w:p>
    <w:p>
      <w:r>
        <w:rPr>
          <w:b w:val="0"/>
          <w:i w:val="0"/>
        </w:rPr>
        <w:t>Put a general explanation in Key concepts. Put an action the reader must perform at a particular point in the relevant procedure row. If a rule determines a field value, repeat the necessary selection rule beside that field so the reader can act without guessing.</w:t>
      </w:r>
    </w:p>
    <w:p>
      <w:pPr>
        <w:pStyle w:val="Heading2"/>
      </w:pPr>
      <w:r>
        <w:t>Check ownership carefully</w:t>
      </w:r>
    </w:p>
    <w:p>
      <w:r>
        <w:rPr>
          <w:b w:val="0"/>
          <w:i w:val="0"/>
        </w:rPr>
        <w:t>A BPO name in version history identifies ownership; it does not identify the person who prepares every transaction. A reviewer named on a work item does not automatically become the operational approver. If the source is unclear, raise one targeted question describing the role and decision that need confirmation.</w:t>
      </w:r>
    </w:p>
    <w:p>
      <w:r>
        <w:br w:type="page"/>
      </w:r>
    </w:p>
    <w:p>
      <w:bookmarkStart w:id="6" w:name="section6"/>
      <w:pPr>
        <w:pStyle w:val="Heading1"/>
      </w:pPr>
      <w:r>
        <w:t>Write clear procedure rows</w:t>
      </w:r>
      <w:bookmarkEnd w:id="6"/>
    </w:p>
    <w:p>
      <w:r>
        <w:rPr>
          <w:b w:val="0"/>
          <w:i w:val="0"/>
        </w:rPr>
        <w:t xml:space="preserve">Every main in-system topic begins with </w:t>
      </w:r>
      <w:r>
        <w:rPr>
          <w:b/>
          <w:i w:val="0"/>
        </w:rPr>
        <w:t>Description, Responsibility and Initiation</w:t>
      </w:r>
      <w:r>
        <w:rPr>
          <w:b w:val="0"/>
          <w:i w:val="0"/>
        </w:rPr>
        <w:t xml:space="preserve">. Write a few substantive, source-supported sentences for Description covering purpose, scope and outcome. Use native bullets beneath both Responsibility and Initiation, including single-item lists. A parent with subtopics then adds </w:t>
      </w:r>
      <w:r>
        <w:rPr>
          <w:b/>
          <w:i w:val="0"/>
        </w:rPr>
        <w:t>Topic Overview</w:t>
      </w:r>
      <w:r>
        <w:rPr>
          <w:b w:val="0"/>
          <w:i w:val="0"/>
        </w:rPr>
        <w:t xml:space="preserve"> with a </w:t>
      </w:r>
      <w:r>
        <w:rPr>
          <w:b/>
          <w:i w:val="0"/>
        </w:rPr>
        <w:t>Step | Description</w:t>
      </w:r>
      <w:r>
        <w:rPr>
          <w:b w:val="0"/>
          <w:i w:val="0"/>
        </w:rPr>
        <w:t xml:space="preserve"> table.</w:t>
      </w:r>
    </w:p>
    <w:p>
      <w:pPr>
        <w:pStyle w:val="Heading2"/>
      </w:pPr>
      <w:r>
        <w:t>One action in each row</w:t>
      </w:r>
    </w:p>
    <w:p>
      <w:r>
        <w:rPr>
          <w:b w:val="0"/>
          <w:i w:val="0"/>
        </w:rPr>
        <w:t xml:space="preserve">Use </w:t>
      </w:r>
      <w:r>
        <w:rPr>
          <w:b/>
          <w:i w:val="0"/>
        </w:rPr>
        <w:t>Action | Description</w:t>
      </w:r>
      <w:r>
        <w:rPr>
          <w:b w:val="0"/>
          <w:i w:val="0"/>
        </w:rPr>
        <w:t xml:space="preserve">. Begin each Action with an </w:t>
      </w:r>
      <w:r>
        <w:rPr>
          <w:b w:val="0"/>
          <w:i/>
        </w:rPr>
        <w:t>italicized verb</w:t>
      </w:r>
      <w:r>
        <w:rPr>
          <w:b w:val="0"/>
          <w:i w:val="0"/>
        </w:rPr>
        <w:t xml:space="preserve">. Bold exact UI labels and preserve their on-screen spelling and capitalization. Bold the business object being acted on and use Title Case for it, such as </w:t>
      </w:r>
      <w:r>
        <w:rPr>
          <w:b/>
          <w:i w:val="0"/>
        </w:rPr>
        <w:t>Journal</w:t>
      </w:r>
      <w:r>
        <w:rPr>
          <w:b w:val="0"/>
          <w:i w:val="0"/>
        </w:rPr>
        <w:t xml:space="preserve"> or </w:t>
      </w:r>
      <w:r>
        <w:rPr>
          <w:b/>
          <w:i w:val="0"/>
        </w:rPr>
        <w:t>Customer Invoice</w:t>
      </w:r>
      <w:r>
        <w:rPr>
          <w:b w:val="0"/>
          <w:i w:val="0"/>
        </w:rPr>
        <w:t>. Keep connecting words in normal text.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509"/>
      </w:tblGrid>
      <w:tr>
        <w:trPr>
          <w:cantSplit/>
          <w:tblHeader/>
        </w:trPr>
        <w:tc>
          <w:tcPr>
            <w:tcW w:type="dxa" w:w="3384"/>
            <w:vAlign w:val="center"/>
            <w:shd w:fill="E7EDF5"/>
            <w:tcMar>
              <w:top w:w="85" w:type="dxa"/>
              <w:bottom w:w="85" w:type="dxa"/>
              <w:left w:w="85" w:type="dxa"/>
              <w:right w:w="85" w:type="dxa"/>
            </w:tcMar>
          </w:tcPr>
          <w:p>
            <w:pPr>
              <w:spacing w:after="40" w:before="40" w:line="240" w:lineRule="auto"/>
            </w:pPr>
            <w:r>
              <w:rPr>
                <w:b/>
                <w:i w:val="0"/>
                <w:sz w:val="20"/>
              </w:rPr>
              <w:t>Action pattern</w:t>
            </w:r>
          </w:p>
        </w:tc>
        <w:tc>
          <w:tcPr>
            <w:tcW w:type="dxa" w:w="6509"/>
            <w:vAlign w:val="center"/>
            <w:shd w:fill="E7EDF5"/>
            <w:tcMar>
              <w:top w:w="85" w:type="dxa"/>
              <w:bottom w:w="85" w:type="dxa"/>
              <w:left w:w="85" w:type="dxa"/>
              <w:right w:w="85" w:type="dxa"/>
            </w:tcMar>
          </w:tcPr>
          <w:p>
            <w:pPr>
              <w:spacing w:after="40" w:before="40" w:line="240" w:lineRule="auto"/>
            </w:pPr>
            <w:r>
              <w:rPr>
                <w:b/>
                <w:i w:val="0"/>
                <w:sz w:val="20"/>
              </w:rPr>
              <w:t>What belongs in Description</w:t>
            </w:r>
          </w:p>
        </w:tc>
      </w:tr>
      <w:tr>
        <w:trPr>
          <w:cantSplit/>
        </w:trPr>
        <w:tc>
          <w:tcPr>
            <w:tcW w:type="dxa" w:w="3384"/>
            <w:vAlign w:val="center"/>
            <w:shd w:fill="FFFFFF"/>
            <w:tcMar>
              <w:top w:w="85" w:type="dxa"/>
              <w:bottom w:w="85" w:type="dxa"/>
              <w:left w:w="85" w:type="dxa"/>
              <w:right w:w="85" w:type="dxa"/>
            </w:tcMar>
          </w:tcPr>
          <w:p>
            <w:pPr>
              <w:spacing w:after="40" w:before="40" w:line="240" w:lineRule="auto"/>
            </w:pPr>
            <w:r>
              <w:rPr>
                <w:b w:val="0"/>
                <w:i w:val="0"/>
                <w:sz w:val="20"/>
              </w:rPr>
            </w:r>
            <w:r>
              <w:rPr>
                <w:b w:val="0"/>
                <w:i/>
                <w:sz w:val="20"/>
              </w:rPr>
              <w:t>Click</w:t>
            </w:r>
            <w:r>
              <w:rPr>
                <w:b w:val="0"/>
                <w:i w:val="0"/>
                <w:sz w:val="20"/>
              </w:rPr>
              <w:t xml:space="preserve"> </w:t>
            </w:r>
            <w:r>
              <w:rPr>
                <w:b/>
                <w:i w:val="0"/>
                <w:sz w:val="20"/>
              </w:rPr>
              <w:t>[Control label]</w:t>
            </w:r>
            <w:r>
              <w:rPr>
                <w:b w:val="0"/>
                <w:i w:val="0"/>
                <w:sz w:val="20"/>
              </w:rPr>
              <w:t>.</w:t>
            </w:r>
          </w:p>
        </w:tc>
        <w:tc>
          <w:tcPr>
            <w:tcW w:type="dxa" w:w="6509"/>
            <w:vAlign w:val="center"/>
            <w:shd w:fill="FFFFFF"/>
            <w:tcMar>
              <w:top w:w="85" w:type="dxa"/>
              <w:bottom w:w="85" w:type="dxa"/>
              <w:left w:w="85" w:type="dxa"/>
              <w:right w:w="85" w:type="dxa"/>
            </w:tcMar>
          </w:tcPr>
          <w:p>
            <w:pPr>
              <w:spacing w:after="40" w:before="40" w:line="240" w:lineRule="auto"/>
            </w:pPr>
            <w:r>
              <w:rPr>
                <w:b w:val="0"/>
                <w:i w:val="0"/>
                <w:sz w:val="20"/>
              </w:rPr>
              <w:t>Where the control is and what happens after clicking it.</w:t>
            </w:r>
          </w:p>
        </w:tc>
      </w:tr>
      <w:tr>
        <w:trPr>
          <w:cantSplit/>
        </w:trPr>
        <w:tc>
          <w:tcPr>
            <w:tcW w:type="dxa" w:w="3384"/>
            <w:vAlign w:val="center"/>
            <w:shd w:fill="F6F7FA"/>
            <w:tcMar>
              <w:top w:w="85" w:type="dxa"/>
              <w:bottom w:w="85" w:type="dxa"/>
              <w:left w:w="85" w:type="dxa"/>
              <w:right w:w="85" w:type="dxa"/>
            </w:tcMar>
          </w:tcPr>
          <w:p>
            <w:pPr>
              <w:spacing w:after="40" w:before="40" w:line="240" w:lineRule="auto"/>
            </w:pPr>
            <w:r>
              <w:rPr>
                <w:b w:val="0"/>
                <w:i w:val="0"/>
                <w:sz w:val="20"/>
              </w:rPr>
            </w:r>
            <w:r>
              <w:rPr>
                <w:b w:val="0"/>
                <w:i/>
                <w:sz w:val="20"/>
              </w:rPr>
              <w:t>Enter</w:t>
            </w:r>
            <w:r>
              <w:rPr>
                <w:b w:val="0"/>
                <w:i w:val="0"/>
                <w:sz w:val="20"/>
              </w:rPr>
              <w:t xml:space="preserve"> </w:t>
            </w:r>
            <w:r>
              <w:rPr>
                <w:b/>
                <w:i w:val="0"/>
                <w:sz w:val="20"/>
              </w:rPr>
              <w:t>[Field label]</w:t>
            </w:r>
            <w:r>
              <w:rPr>
                <w:b w:val="0"/>
                <w:i w:val="0"/>
                <w:sz w:val="20"/>
              </w:rPr>
              <w:t>.</w:t>
            </w:r>
          </w:p>
        </w:tc>
        <w:tc>
          <w:tcPr>
            <w:tcW w:type="dxa" w:w="6509"/>
            <w:vAlign w:val="center"/>
            <w:shd w:fill="F6F7FA"/>
            <w:tcMar>
              <w:top w:w="85" w:type="dxa"/>
              <w:bottom w:w="85" w:type="dxa"/>
              <w:left w:w="85" w:type="dxa"/>
              <w:right w:w="85" w:type="dxa"/>
            </w:tcMar>
          </w:tcPr>
          <w:p>
            <w:pPr>
              <w:spacing w:after="40" w:before="40" w:line="240" w:lineRule="auto"/>
            </w:pPr>
            <w:r>
              <w:rPr>
                <w:b w:val="0"/>
                <w:i w:val="0"/>
                <w:sz w:val="20"/>
              </w:rPr>
              <w:t>The exact confirmed value or the rule for deriving/selecting the value.</w:t>
            </w:r>
          </w:p>
        </w:tc>
      </w:tr>
      <w:tr>
        <w:trPr>
          <w:cantSplit/>
        </w:trPr>
        <w:tc>
          <w:tcPr>
            <w:tcW w:type="dxa" w:w="3384"/>
            <w:vAlign w:val="center"/>
            <w:shd w:fill="FFFFFF"/>
            <w:tcMar>
              <w:top w:w="85" w:type="dxa"/>
              <w:bottom w:w="85" w:type="dxa"/>
              <w:left w:w="85" w:type="dxa"/>
              <w:right w:w="85" w:type="dxa"/>
            </w:tcMar>
          </w:tcPr>
          <w:p>
            <w:pPr>
              <w:spacing w:after="40" w:before="40" w:line="240" w:lineRule="auto"/>
            </w:pPr>
            <w:r>
              <w:rPr>
                <w:b w:val="0"/>
                <w:i w:val="0"/>
                <w:sz w:val="20"/>
              </w:rPr>
            </w:r>
            <w:r>
              <w:rPr>
                <w:b w:val="0"/>
                <w:i/>
                <w:sz w:val="20"/>
              </w:rPr>
              <w:t>Select</w:t>
            </w:r>
            <w:r>
              <w:rPr>
                <w:b w:val="0"/>
                <w:i w:val="0"/>
                <w:sz w:val="20"/>
              </w:rPr>
              <w:t xml:space="preserve"> the </w:t>
            </w:r>
            <w:r>
              <w:rPr>
                <w:b/>
                <w:i w:val="0"/>
                <w:sz w:val="20"/>
              </w:rPr>
              <w:t>Journal</w:t>
            </w:r>
            <w:r>
              <w:rPr>
                <w:b w:val="0"/>
                <w:i w:val="0"/>
                <w:sz w:val="20"/>
              </w:rPr>
              <w:t>.</w:t>
            </w:r>
          </w:p>
        </w:tc>
        <w:tc>
          <w:tcPr>
            <w:tcW w:type="dxa" w:w="6509"/>
            <w:vAlign w:val="center"/>
            <w:shd w:fill="FFFFFF"/>
            <w:tcMar>
              <w:top w:w="85" w:type="dxa"/>
              <w:bottom w:w="85" w:type="dxa"/>
              <w:left w:w="85" w:type="dxa"/>
              <w:right w:w="85" w:type="dxa"/>
            </w:tcMar>
          </w:tcPr>
          <w:p>
            <w:pPr>
              <w:spacing w:after="40" w:before="40" w:line="240" w:lineRule="auto"/>
            </w:pPr>
            <w:r>
              <w:rPr>
                <w:b w:val="0"/>
                <w:i w:val="0"/>
                <w:sz w:val="20"/>
              </w:rPr>
              <w:t>How to identify the correct record, using a confirmed reference or filter.</w:t>
            </w:r>
          </w:p>
        </w:tc>
      </w:tr>
      <w:tr>
        <w:trPr>
          <w:cantSplit/>
        </w:trPr>
        <w:tc>
          <w:tcPr>
            <w:tcW w:type="dxa" w:w="3384"/>
            <w:vAlign w:val="center"/>
            <w:shd w:fill="F6F7FA"/>
            <w:tcMar>
              <w:top w:w="85" w:type="dxa"/>
              <w:bottom w:w="85" w:type="dxa"/>
              <w:left w:w="85" w:type="dxa"/>
              <w:right w:w="85" w:type="dxa"/>
            </w:tcMar>
          </w:tcPr>
          <w:p>
            <w:pPr>
              <w:spacing w:after="40" w:before="40" w:line="240" w:lineRule="auto"/>
            </w:pPr>
            <w:r>
              <w:rPr>
                <w:b w:val="0"/>
                <w:i w:val="0"/>
                <w:sz w:val="20"/>
              </w:rPr>
            </w:r>
            <w:r>
              <w:rPr>
                <w:b w:val="0"/>
                <w:i/>
                <w:sz w:val="20"/>
              </w:rPr>
              <w:t>Confirm</w:t>
            </w:r>
            <w:r>
              <w:rPr>
                <w:b w:val="0"/>
                <w:i w:val="0"/>
                <w:sz w:val="20"/>
              </w:rPr>
              <w:t xml:space="preserve"> </w:t>
            </w:r>
            <w:r>
              <w:rPr>
                <w:b/>
                <w:i w:val="0"/>
                <w:sz w:val="20"/>
              </w:rPr>
              <w:t>[Result or status]</w:t>
            </w:r>
            <w:r>
              <w:rPr>
                <w:b w:val="0"/>
                <w:i w:val="0"/>
                <w:sz w:val="20"/>
              </w:rPr>
              <w:t>.</w:t>
            </w:r>
          </w:p>
        </w:tc>
        <w:tc>
          <w:tcPr>
            <w:tcW w:type="dxa" w:w="6509"/>
            <w:vAlign w:val="center"/>
            <w:shd w:fill="F6F7FA"/>
            <w:tcMar>
              <w:top w:w="85" w:type="dxa"/>
              <w:bottom w:w="85" w:type="dxa"/>
              <w:left w:w="85" w:type="dxa"/>
              <w:right w:w="85" w:type="dxa"/>
            </w:tcMar>
          </w:tcPr>
          <w:p>
            <w:pPr>
              <w:spacing w:after="40" w:before="40" w:line="240" w:lineRule="auto"/>
            </w:pPr>
            <w:r>
              <w:rPr>
                <w:b w:val="0"/>
                <w:i w:val="0"/>
                <w:sz w:val="20"/>
              </w:rPr>
              <w:t>The observable success criterion. Add a separate row if another action is needed.</w:t>
            </w:r>
          </w:p>
        </w:tc>
      </w:tr>
    </w:tbl>
    <w:p>
      <w:pPr>
        <w:spacing w:after="0"/>
      </w:pPr>
      <w:r>
        <w:rPr>
          <w:b w:val="0"/>
          <w:i w:val="0"/>
        </w:rPr>
      </w:r>
    </w:p>
    <w:p>
      <w:r>
        <w:rPr>
          <w:b w:val="0"/>
          <w:i w:val="0"/>
        </w:rPr>
        <w:t>These are writing patterns, not system instructions. Replace every bracketed item with evidence. “Click Post, enter a comment and click OK” contains three actions and needs three rows. An automatic system response may stay in Description; a further user action may not be hidden there.</w:t>
      </w:r>
    </w:p>
    <w:p>
      <w:pPr>
        <w:pStyle w:val="Heading2"/>
      </w:pPr>
      <w:r>
        <w:t>Use the standard navigation pattern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509"/>
      </w:tblGrid>
      <w:tr>
        <w:trPr>
          <w:cantSplit/>
          <w:tblHeader/>
        </w:trPr>
        <w:tc>
          <w:tcPr>
            <w:tcW w:type="dxa" w:w="3384"/>
            <w:vAlign w:val="center"/>
            <w:shd w:fill="E7EDF5"/>
            <w:tcMar>
              <w:top w:w="85" w:type="dxa"/>
              <w:bottom w:w="85" w:type="dxa"/>
              <w:left w:w="85" w:type="dxa"/>
              <w:right w:w="85" w:type="dxa"/>
            </w:tcMar>
          </w:tcPr>
          <w:p>
            <w:pPr>
              <w:spacing w:after="40" w:before="40" w:line="240" w:lineRule="auto"/>
            </w:pPr>
            <w:r>
              <w:rPr>
                <w:b/>
                <w:i w:val="0"/>
                <w:sz w:val="20"/>
              </w:rPr>
              <w:t>Action</w:t>
            </w:r>
          </w:p>
        </w:tc>
        <w:tc>
          <w:tcPr>
            <w:tcW w:type="dxa" w:w="6509"/>
            <w:vAlign w:val="center"/>
            <w:shd w:fill="E7EDF5"/>
            <w:tcMar>
              <w:top w:w="85" w:type="dxa"/>
              <w:bottom w:w="85" w:type="dxa"/>
              <w:left w:w="85" w:type="dxa"/>
              <w:right w:w="85" w:type="dxa"/>
            </w:tcMar>
          </w:tcPr>
          <w:p>
            <w:pPr>
              <w:spacing w:after="40" w:before="40" w:line="240" w:lineRule="auto"/>
            </w:pPr>
            <w:r>
              <w:rPr>
                <w:b/>
                <w:i w:val="0"/>
                <w:sz w:val="20"/>
              </w:rPr>
              <w:t>Description</w:t>
            </w:r>
          </w:p>
        </w:tc>
      </w:tr>
      <w:tr>
        <w:trPr>
          <w:cantSplit/>
        </w:trPr>
        <w:tc>
          <w:tcPr>
            <w:tcW w:type="dxa" w:w="3384"/>
            <w:vAlign w:val="center"/>
            <w:shd w:fill="FFFFFF"/>
            <w:tcMar>
              <w:top w:w="85" w:type="dxa"/>
              <w:bottom w:w="85" w:type="dxa"/>
              <w:left w:w="85" w:type="dxa"/>
              <w:right w:w="85" w:type="dxa"/>
            </w:tcMar>
          </w:tcPr>
          <w:p>
            <w:pPr>
              <w:spacing w:after="40" w:before="40" w:line="240" w:lineRule="auto"/>
            </w:pPr>
            <w:r>
              <w:rPr>
                <w:b w:val="0"/>
                <w:i w:val="0"/>
                <w:sz w:val="20"/>
              </w:rPr>
            </w:r>
            <w:r>
              <w:rPr>
                <w:b w:val="0"/>
                <w:i/>
                <w:sz w:val="20"/>
              </w:rPr>
              <w:t>Check</w:t>
            </w:r>
            <w:r>
              <w:rPr>
                <w:b w:val="0"/>
                <w:i w:val="0"/>
                <w:sz w:val="20"/>
              </w:rPr>
              <w:t xml:space="preserve"> the </w:t>
            </w:r>
            <w:r>
              <w:rPr>
                <w:b/>
                <w:i w:val="0"/>
                <w:sz w:val="20"/>
              </w:rPr>
              <w:t>Entity</w:t>
            </w:r>
            <w:r>
              <w:rPr>
                <w:b w:val="0"/>
                <w:i w:val="0"/>
                <w:sz w:val="20"/>
              </w:rPr>
              <w:t>.</w:t>
            </w:r>
          </w:p>
        </w:tc>
        <w:tc>
          <w:tcPr>
            <w:tcW w:type="dxa" w:w="6509"/>
            <w:vAlign w:val="center"/>
            <w:shd w:fill="FFFFFF"/>
            <w:tcMar>
              <w:top w:w="85" w:type="dxa"/>
              <w:bottom w:w="85" w:type="dxa"/>
              <w:left w:w="85" w:type="dxa"/>
              <w:right w:w="85" w:type="dxa"/>
            </w:tcMar>
          </w:tcPr>
          <w:p>
            <w:pPr>
              <w:spacing w:after="40" w:before="40" w:line="240" w:lineRule="auto"/>
            </w:pPr>
            <w:r>
              <w:rPr>
                <w:b w:val="0"/>
                <w:i w:val="0"/>
                <w:sz w:val="20"/>
              </w:rPr>
              <w:t xml:space="preserve">Confirm you are signed into the correct </w:t>
            </w:r>
            <w:r>
              <w:rPr>
                <w:b/>
                <w:i w:val="0"/>
                <w:sz w:val="20"/>
              </w:rPr>
              <w:t>Legal Entity</w:t>
            </w:r>
            <w:r>
              <w:rPr>
                <w:b w:val="0"/>
                <w:i w:val="0"/>
                <w:sz w:val="20"/>
              </w:rPr>
              <w:t xml:space="preserve"> (top-right).</w:t>
            </w:r>
          </w:p>
        </w:tc>
      </w:tr>
      <w:tr>
        <w:trPr>
          <w:cantSplit/>
        </w:trPr>
        <w:tc>
          <w:tcPr>
            <w:tcW w:type="dxa" w:w="3384"/>
            <w:vAlign w:val="center"/>
            <w:shd w:fill="F6F7FA"/>
            <w:tcMar>
              <w:top w:w="85" w:type="dxa"/>
              <w:bottom w:w="85" w:type="dxa"/>
              <w:left w:w="85" w:type="dxa"/>
              <w:right w:w="85" w:type="dxa"/>
            </w:tcMar>
          </w:tcPr>
          <w:p>
            <w:pPr>
              <w:spacing w:after="40" w:before="40" w:line="240" w:lineRule="auto"/>
            </w:pPr>
            <w:r>
              <w:rPr>
                <w:b w:val="0"/>
                <w:i w:val="0"/>
                <w:sz w:val="20"/>
              </w:rPr>
            </w:r>
            <w:r>
              <w:rPr>
                <w:b w:val="0"/>
                <w:i/>
                <w:sz w:val="20"/>
              </w:rPr>
              <w:t>Click</w:t>
            </w:r>
            <w:r>
              <w:rPr>
                <w:b w:val="0"/>
                <w:i w:val="0"/>
                <w:sz w:val="20"/>
              </w:rPr>
              <w:t xml:space="preserve"> </w:t>
            </w:r>
            <w:r>
              <w:rPr>
                <w:b/>
                <w:i w:val="0"/>
                <w:sz w:val="20"/>
              </w:rPr>
              <w:t>Modules</w:t>
            </w:r>
            <w:r>
              <w:rPr>
                <w:b w:val="0"/>
                <w:i w:val="0"/>
                <w:sz w:val="20"/>
              </w:rPr>
              <w:t>.</w:t>
            </w:r>
          </w:p>
        </w:tc>
        <w:tc>
          <w:tcPr>
            <w:tcW w:type="dxa" w:w="6509"/>
            <w:vAlign w:val="center"/>
            <w:shd w:fill="F6F7FA"/>
            <w:tcMar>
              <w:top w:w="85" w:type="dxa"/>
              <w:bottom w:w="85" w:type="dxa"/>
              <w:left w:w="85" w:type="dxa"/>
              <w:right w:w="85" w:type="dxa"/>
            </w:tcMar>
          </w:tcPr>
          <w:p>
            <w:pPr>
              <w:spacing w:after="40" w:before="40" w:line="240" w:lineRule="auto"/>
            </w:pPr>
            <w:r>
              <w:rPr>
                <w:b w:val="0"/>
                <w:i w:val="0"/>
                <w:sz w:val="20"/>
              </w:rPr>
              <w:t xml:space="preserve">From the left-hand </w:t>
            </w:r>
            <w:r>
              <w:rPr>
                <w:b/>
                <w:i w:val="0"/>
                <w:sz w:val="20"/>
              </w:rPr>
              <w:t>Navigation Pane</w:t>
            </w:r>
            <w:r>
              <w:rPr>
                <w:b w:val="0"/>
                <w:i w:val="0"/>
                <w:sz w:val="20"/>
              </w:rPr>
              <w:t xml:space="preserve">, click </w:t>
            </w:r>
            <w:r>
              <w:rPr>
                <w:b/>
                <w:i w:val="0"/>
                <w:sz w:val="20"/>
              </w:rPr>
              <w:t>Modules</w:t>
            </w:r>
            <w:r>
              <w:rPr>
                <w:b w:val="0"/>
                <w:i w:val="0"/>
                <w:sz w:val="20"/>
              </w:rPr>
              <w:t>.</w:t>
            </w:r>
          </w:p>
        </w:tc>
      </w:tr>
      <w:tr>
        <w:trPr>
          <w:cantSplit/>
        </w:trPr>
        <w:tc>
          <w:tcPr>
            <w:tcW w:type="dxa" w:w="3384"/>
            <w:vAlign w:val="center"/>
            <w:shd w:fill="FFFFFF"/>
            <w:tcMar>
              <w:top w:w="85" w:type="dxa"/>
              <w:bottom w:w="85" w:type="dxa"/>
              <w:left w:w="85" w:type="dxa"/>
              <w:right w:w="85" w:type="dxa"/>
            </w:tcMar>
          </w:tcPr>
          <w:p>
            <w:pPr>
              <w:spacing w:after="40" w:before="40" w:line="240" w:lineRule="auto"/>
            </w:pPr>
            <w:r>
              <w:rPr>
                <w:b w:val="0"/>
                <w:i w:val="0"/>
                <w:sz w:val="20"/>
              </w:rPr>
            </w:r>
            <w:r>
              <w:rPr>
                <w:b w:val="0"/>
                <w:i/>
                <w:sz w:val="20"/>
              </w:rPr>
              <w:t>Navigate</w:t>
            </w:r>
            <w:r>
              <w:rPr>
                <w:b w:val="0"/>
                <w:i w:val="0"/>
                <w:sz w:val="20"/>
              </w:rPr>
              <w:t xml:space="preserve"> to the </w:t>
            </w:r>
            <w:r>
              <w:rPr>
                <w:b/>
                <w:i w:val="0"/>
                <w:sz w:val="20"/>
              </w:rPr>
              <w:t>[Page name]</w:t>
            </w:r>
            <w:r>
              <w:rPr>
                <w:b w:val="0"/>
                <w:i w:val="0"/>
                <w:sz w:val="20"/>
              </w:rPr>
              <w:t xml:space="preserve"> page.</w:t>
            </w:r>
          </w:p>
        </w:tc>
        <w:tc>
          <w:tcPr>
            <w:tcW w:type="dxa" w:w="6509"/>
            <w:vAlign w:val="center"/>
            <w:shd w:fill="FFFFFF"/>
            <w:tcMar>
              <w:top w:w="85" w:type="dxa"/>
              <w:bottom w:w="85" w:type="dxa"/>
              <w:left w:w="85" w:type="dxa"/>
              <w:right w:w="85" w:type="dxa"/>
            </w:tcMar>
          </w:tcPr>
          <w:p>
            <w:pPr>
              <w:spacing w:after="40" w:before="40" w:line="240" w:lineRule="auto"/>
            </w:pPr>
            <w:r>
              <w:rPr>
                <w:b w:val="0"/>
                <w:i w:val="0"/>
                <w:sz w:val="20"/>
              </w:rPr>
              <w:t xml:space="preserve">From the </w:t>
            </w:r>
            <w:r>
              <w:rPr>
                <w:b/>
                <w:i w:val="0"/>
                <w:sz w:val="20"/>
              </w:rPr>
              <w:t>Navigation Pane</w:t>
            </w:r>
            <w:r>
              <w:rPr>
                <w:b w:val="0"/>
                <w:i w:val="0"/>
                <w:sz w:val="20"/>
              </w:rPr>
              <w:t xml:space="preserve">, </w:t>
            </w:r>
            <w:r>
              <w:rPr>
                <w:b w:val="0"/>
                <w:i/>
                <w:sz w:val="20"/>
              </w:rPr>
              <w:t>select</w:t>
            </w:r>
            <w:r>
              <w:rPr>
                <w:b w:val="0"/>
                <w:i w:val="0"/>
                <w:sz w:val="20"/>
              </w:rPr>
              <w:t>:</w:t>
              <w:br/>
              <w:t>[Module] &gt;</w:t>
              <w:br/>
              <w:t>[Menu] &gt;</w:t>
              <w:br/>
              <w:t>[Page name]</w:t>
            </w:r>
          </w:p>
        </w:tc>
      </w:tr>
    </w:tbl>
    <w:p>
      <w:pPr>
        <w:spacing w:after="0"/>
      </w:pPr>
      <w:r>
        <w:rPr>
          <w:b w:val="0"/>
          <w:i w:val="0"/>
        </w:rPr>
      </w:r>
    </w:p>
    <w:p>
      <w:r>
        <w:rPr>
          <w:b w:val="0"/>
          <w:i w:val="0"/>
        </w:rPr>
        <w:t>In the PG, format each menu level as a native bullet, put &gt; after each intermediate level, and omit it after the destination. Use the confirmed route. This grouped menu path is the navigation exception to the one-action-per-row rule; field entry, saving, posting and confirmation still need separate rows.</w:t>
      </w:r>
    </w:p>
    <w:p>
      <w:pPr>
        <w:pStyle w:val="Heading2"/>
      </w:pPr>
      <w:r>
        <w:t>Preserve the numbered list</w:t>
      </w:r>
    </w:p>
    <w:p>
      <w:r>
        <w:rPr>
          <w:b w:val="0"/>
          <w:i w:val="0"/>
        </w:rPr>
        <w:t xml:space="preserve">Use native Word numbering in Action cells. Keep the template’s </w:t>
      </w:r>
      <w:r>
        <w:rPr>
          <w:b/>
          <w:i w:val="0"/>
        </w:rPr>
        <w:t>0.25-inch hanging indent</w:t>
      </w:r>
      <w:r>
        <w:rPr>
          <w:b w:val="0"/>
          <w:i w:val="0"/>
        </w:rPr>
        <w:t xml:space="preserve"> so wrapped lines align with the action text. Do not type the numbers or apply action numbering to Description cells or boundary rows. Check the sequence after inserting, deleting or copying rows, including steps 10 and above.</w:t>
      </w:r>
    </w:p>
    <w:p>
      <w:r>
        <w:br w:type="page"/>
      </w:r>
    </w:p>
    <w:p>
      <w:bookmarkStart w:id="7" w:name="section7"/>
      <w:pPr>
        <w:pStyle w:val="Heading1"/>
      </w:pPr>
      <w:r>
        <w:t>Use process boundaries and off system patterns</w:t>
      </w:r>
      <w:bookmarkEnd w:id="7"/>
    </w:p>
    <w:p>
      <w:pPr>
        <w:pStyle w:val="Heading2"/>
      </w:pPr>
      <w:r>
        <w:t>Start each executable procedure clearly</w:t>
      </w:r>
    </w:p>
    <w:p>
      <w:r>
        <w:rPr>
          <w:b w:val="0"/>
          <w:i w:val="0"/>
        </w:rPr>
        <w:t xml:space="preserve">Use the </w:t>
      </w:r>
      <w:r>
        <w:rPr>
          <w:b/>
          <w:i w:val="0"/>
        </w:rPr>
        <w:t>PROCESS START</w:t>
      </w:r>
      <w:r>
        <w:rPr>
          <w:b w:val="0"/>
          <w:i w:val="0"/>
        </w:rPr>
        <w:t xml:space="preserve"> row to state </w:t>
      </w:r>
      <w:r>
        <w:rPr>
          <w:b/>
          <w:i w:val="0"/>
        </w:rPr>
        <w:t>Pre-requisites:</w:t>
      </w:r>
      <w:r>
        <w:rPr>
          <w:b w:val="0"/>
          <w:i w:val="0"/>
        </w:rPr>
        <w:t xml:space="preserve"> and </w:t>
      </w:r>
      <w:r>
        <w:rPr>
          <w:b/>
          <w:i w:val="0"/>
        </w:rPr>
        <w:t>Responsibility:</w:t>
      </w:r>
      <w:r>
        <w:rPr>
          <w:b w:val="0"/>
          <w:i w:val="0"/>
        </w:rPr>
        <w:t>. Include confirmed access, required data, approvals and the necessary starting state. For a dependent subtopic, identify the preceding output it needs. Keep topic-level Responsibility as well; the start row identifies who performs this specific procedure.</w:t>
      </w:r>
    </w:p>
    <w:p>
      <w:r>
        <w:rPr>
          <w:b w:val="0"/>
          <w:i w:val="0"/>
        </w:rPr>
        <w:t xml:space="preserve">Use the template’s </w:t>
      </w:r>
      <w:r>
        <w:rPr>
          <w:b/>
          <w:i w:val="0"/>
        </w:rPr>
        <w:t>PROCESS START/END Body</w:t>
      </w:r>
      <w:r>
        <w:rPr>
          <w:b w:val="0"/>
          <w:i w:val="0"/>
        </w:rPr>
        <w:t xml:space="preserve"> style for boundary labels and lead-ins, and </w:t>
      </w:r>
      <w:r>
        <w:rPr>
          <w:b/>
          <w:i w:val="0"/>
        </w:rPr>
        <w:t>Bullet 1.2</w:t>
      </w:r>
      <w:r>
        <w:rPr>
          <w:b w:val="0"/>
          <w:i w:val="0"/>
        </w:rPr>
        <w:t xml:space="preserve"> for prerequisite and outcome items where the template applies it. Copy the boundary row instead of rebuilding it with manual formatting.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816"/>
        <w:gridCol w:w="4061"/>
      </w:tblGrid>
      <w:tr>
        <w:trPr>
          <w:cantSplit/>
          <w:tblHeader/>
        </w:trPr>
        <w:tc>
          <w:tcPr>
            <w:tcW w:type="dxa" w:w="2016"/>
            <w:vAlign w:val="center"/>
            <w:shd w:fill="E7EDF5"/>
            <w:tcMar>
              <w:top w:w="85" w:type="dxa"/>
              <w:bottom w:w="85" w:type="dxa"/>
              <w:left w:w="85" w:type="dxa"/>
              <w:right w:w="85" w:type="dxa"/>
            </w:tcMar>
          </w:tcPr>
          <w:p>
            <w:pPr>
              <w:spacing w:after="40" w:before="40" w:line="240" w:lineRule="auto"/>
            </w:pPr>
            <w:r>
              <w:rPr>
                <w:b/>
                <w:i w:val="0"/>
                <w:sz w:val="20"/>
              </w:rPr>
              <w:t>Boundary</w:t>
            </w:r>
          </w:p>
        </w:tc>
        <w:tc>
          <w:tcPr>
            <w:tcW w:type="dxa" w:w="3816"/>
            <w:vAlign w:val="center"/>
            <w:shd w:fill="E7EDF5"/>
            <w:tcMar>
              <w:top w:w="85" w:type="dxa"/>
              <w:bottom w:w="85" w:type="dxa"/>
              <w:left w:w="85" w:type="dxa"/>
              <w:right w:w="85" w:type="dxa"/>
            </w:tcMar>
          </w:tcPr>
          <w:p>
            <w:pPr>
              <w:spacing w:after="40" w:before="40" w:line="240" w:lineRule="auto"/>
            </w:pPr>
            <w:r>
              <w:rPr>
                <w:b/>
                <w:i w:val="0"/>
                <w:sz w:val="20"/>
              </w:rPr>
              <w:t>When to use it</w:t>
            </w:r>
          </w:p>
        </w:tc>
        <w:tc>
          <w:tcPr>
            <w:tcW w:type="dxa" w:w="4061"/>
            <w:vAlign w:val="center"/>
            <w:shd w:fill="E7EDF5"/>
            <w:tcMar>
              <w:top w:w="85" w:type="dxa"/>
              <w:bottom w:w="85" w:type="dxa"/>
              <w:left w:w="85" w:type="dxa"/>
              <w:right w:w="85" w:type="dxa"/>
            </w:tcMar>
          </w:tcPr>
          <w:p>
            <w:pPr>
              <w:spacing w:after="40" w:before="40" w:line="240" w:lineRule="auto"/>
            </w:pPr>
            <w:r>
              <w:rPr>
                <w:b/>
                <w:i w:val="0"/>
                <w:sz w:val="20"/>
              </w:rPr>
              <w:t>What to write</w:t>
            </w:r>
          </w:p>
        </w:tc>
      </w:tr>
      <w:tr>
        <w:trPr>
          <w:cantSplit/>
        </w:trPr>
        <w:tc>
          <w:tcPr>
            <w:tcW w:type="dxa" w:w="2016"/>
            <w:vAlign w:val="center"/>
            <w:shd w:fill="FFFFFF"/>
            <w:tcMar>
              <w:top w:w="85" w:type="dxa"/>
              <w:bottom w:w="85" w:type="dxa"/>
              <w:left w:w="85" w:type="dxa"/>
              <w:right w:w="85" w:type="dxa"/>
            </w:tcMar>
          </w:tcPr>
          <w:p>
            <w:pPr>
              <w:spacing w:after="40" w:before="40" w:line="240" w:lineRule="auto"/>
            </w:pPr>
            <w:r>
              <w:rPr>
                <w:b w:val="0"/>
                <w:i w:val="0"/>
                <w:sz w:val="20"/>
              </w:rPr>
              <w:t>PROCESS START</w:t>
            </w:r>
          </w:p>
        </w:tc>
        <w:tc>
          <w:tcPr>
            <w:tcW w:type="dxa" w:w="3816"/>
            <w:vAlign w:val="center"/>
            <w:shd w:fill="FFFFFF"/>
            <w:tcMar>
              <w:top w:w="85" w:type="dxa"/>
              <w:bottom w:w="85" w:type="dxa"/>
              <w:left w:w="85" w:type="dxa"/>
              <w:right w:w="85" w:type="dxa"/>
            </w:tcMar>
          </w:tcPr>
          <w:p>
            <w:pPr>
              <w:spacing w:after="40" w:before="40" w:line="240" w:lineRule="auto"/>
            </w:pPr>
            <w:r>
              <w:rPr>
                <w:b w:val="0"/>
                <w:i w:val="0"/>
                <w:sz w:val="20"/>
              </w:rPr>
              <w:t>At the beginning of an executable procedure.</w:t>
            </w:r>
          </w:p>
        </w:tc>
        <w:tc>
          <w:tcPr>
            <w:tcW w:type="dxa" w:w="4061"/>
            <w:vAlign w:val="center"/>
            <w:shd w:fill="FFFFFF"/>
            <w:tcMar>
              <w:top w:w="85" w:type="dxa"/>
              <w:bottom w:w="85" w:type="dxa"/>
              <w:left w:w="85" w:type="dxa"/>
              <w:right w:w="85" w:type="dxa"/>
            </w:tcMar>
          </w:tcPr>
          <w:p>
            <w:pPr>
              <w:spacing w:after="40" w:before="40" w:line="240" w:lineRule="auto"/>
            </w:pPr>
            <w:r>
              <w:rPr>
                <w:b w:val="0"/>
                <w:i w:val="0"/>
                <w:sz w:val="20"/>
              </w:rPr>
              <w:t>Prerequisites and the responsible user group.</w:t>
            </w:r>
          </w:p>
        </w:tc>
      </w:tr>
      <w:tr>
        <w:trPr>
          <w:cantSplit/>
        </w:trPr>
        <w:tc>
          <w:tcPr>
            <w:tcW w:type="dxa" w:w="2016"/>
            <w:vAlign w:val="center"/>
            <w:shd w:fill="F6F7FA"/>
            <w:tcMar>
              <w:top w:w="85" w:type="dxa"/>
              <w:bottom w:w="85" w:type="dxa"/>
              <w:left w:w="85" w:type="dxa"/>
              <w:right w:w="85" w:type="dxa"/>
            </w:tcMar>
          </w:tcPr>
          <w:p>
            <w:pPr>
              <w:spacing w:after="40" w:before="40" w:line="240" w:lineRule="auto"/>
            </w:pPr>
            <w:r>
              <w:rPr>
                <w:b w:val="0"/>
                <w:i w:val="0"/>
                <w:sz w:val="20"/>
              </w:rPr>
              <w:t>STEP COMPLETE</w:t>
            </w:r>
          </w:p>
        </w:tc>
        <w:tc>
          <w:tcPr>
            <w:tcW w:type="dxa" w:w="3816"/>
            <w:vAlign w:val="center"/>
            <w:shd w:fill="F6F7FA"/>
            <w:tcMar>
              <w:top w:w="85" w:type="dxa"/>
              <w:bottom w:w="85" w:type="dxa"/>
              <w:left w:w="85" w:type="dxa"/>
              <w:right w:w="85" w:type="dxa"/>
            </w:tcMar>
          </w:tcPr>
          <w:p>
            <w:pPr>
              <w:spacing w:after="40" w:before="40" w:line="240" w:lineRule="auto"/>
            </w:pPr>
            <w:r>
              <w:rPr>
                <w:b w:val="0"/>
                <w:i w:val="0"/>
                <w:sz w:val="20"/>
              </w:rPr>
              <w:t>An intermediate stage is done but another subprocedure follows.</w:t>
            </w:r>
          </w:p>
        </w:tc>
        <w:tc>
          <w:tcPr>
            <w:tcW w:type="dxa" w:w="4061"/>
            <w:vAlign w:val="center"/>
            <w:shd w:fill="F6F7FA"/>
            <w:tcMar>
              <w:top w:w="85" w:type="dxa"/>
              <w:bottom w:w="85" w:type="dxa"/>
              <w:left w:w="85" w:type="dxa"/>
              <w:right w:w="85" w:type="dxa"/>
            </w:tcMar>
          </w:tcPr>
          <w:p>
            <w:pPr>
              <w:spacing w:after="40" w:before="40" w:line="240" w:lineRule="auto"/>
            </w:pPr>
            <w:r>
              <w:rPr>
                <w:b w:val="0"/>
                <w:i w:val="0"/>
                <w:sz w:val="20"/>
              </w:rPr>
              <w:t>The completed output and a working Continue to link to the next subprocedure.</w:t>
            </w:r>
          </w:p>
        </w:tc>
      </w:tr>
      <w:tr>
        <w:trPr>
          <w:cantSplit/>
        </w:trPr>
        <w:tc>
          <w:tcPr>
            <w:tcW w:type="dxa" w:w="2016"/>
            <w:vAlign w:val="center"/>
            <w:shd w:fill="FFFFFF"/>
            <w:tcMar>
              <w:top w:w="85" w:type="dxa"/>
              <w:bottom w:w="85" w:type="dxa"/>
              <w:left w:w="85" w:type="dxa"/>
              <w:right w:w="85" w:type="dxa"/>
            </w:tcMar>
          </w:tcPr>
          <w:p>
            <w:pPr>
              <w:spacing w:after="40" w:before="40" w:line="240" w:lineRule="auto"/>
            </w:pPr>
            <w:r>
              <w:rPr>
                <w:b w:val="0"/>
                <w:i w:val="0"/>
                <w:sz w:val="20"/>
              </w:rPr>
              <w:t>PROCESS COMPLETE</w:t>
            </w:r>
          </w:p>
        </w:tc>
        <w:tc>
          <w:tcPr>
            <w:tcW w:type="dxa" w:w="3816"/>
            <w:vAlign w:val="center"/>
            <w:shd w:fill="FFFFFF"/>
            <w:tcMar>
              <w:top w:w="85" w:type="dxa"/>
              <w:bottom w:w="85" w:type="dxa"/>
              <w:left w:w="85" w:type="dxa"/>
              <w:right w:w="85" w:type="dxa"/>
            </w:tcMar>
          </w:tcPr>
          <w:p>
            <w:pPr>
              <w:spacing w:after="40" w:before="40" w:line="240" w:lineRule="auto"/>
            </w:pPr>
            <w:r>
              <w:rPr>
                <w:b w:val="0"/>
                <w:i w:val="0"/>
                <w:sz w:val="20"/>
              </w:rPr>
              <w:t>The overall topic outcome is achieved.</w:t>
            </w:r>
          </w:p>
        </w:tc>
        <w:tc>
          <w:tcPr>
            <w:tcW w:type="dxa" w:w="4061"/>
            <w:vAlign w:val="center"/>
            <w:shd w:fill="FFFFFF"/>
            <w:tcMar>
              <w:top w:w="85" w:type="dxa"/>
              <w:bottom w:w="85" w:type="dxa"/>
              <w:left w:w="85" w:type="dxa"/>
              <w:right w:w="85" w:type="dxa"/>
            </w:tcMar>
          </w:tcPr>
          <w:p>
            <w:pPr>
              <w:spacing w:after="40" w:before="40" w:line="240" w:lineRule="auto"/>
            </w:pPr>
            <w:r>
              <w:rPr>
                <w:b w:val="0"/>
                <w:i w:val="0"/>
                <w:sz w:val="20"/>
              </w:rPr>
              <w:t>The confirmed final state and evidence of completion.</w:t>
            </w:r>
          </w:p>
        </w:tc>
      </w:tr>
    </w:tbl>
    <w:p>
      <w:pPr>
        <w:spacing w:after="0"/>
      </w:pPr>
      <w:r>
        <w:rPr>
          <w:b w:val="0"/>
          <w:i w:val="0"/>
        </w:rPr>
      </w:r>
    </w:p>
    <w:p>
      <w:r>
        <w:rPr>
          <w:b w:val="0"/>
          <w:i w:val="0"/>
        </w:rPr>
        <w:t xml:space="preserve">Boundary rows are unnumbered. They do not require an italicized action verb. Use light blue </w:t>
      </w:r>
      <w:r>
        <w:rPr>
          <w:b/>
          <w:i w:val="0"/>
        </w:rPr>
        <w:t>DEEAF6</w:t>
      </w:r>
      <w:r>
        <w:rPr>
          <w:b w:val="0"/>
          <w:i w:val="0"/>
        </w:rPr>
        <w:t xml:space="preserve"> for start/end of a step, light green </w:t>
      </w:r>
      <w:r>
        <w:rPr>
          <w:b/>
          <w:i w:val="0"/>
        </w:rPr>
        <w:t>E2EFD9</w:t>
      </w:r>
      <w:r>
        <w:rPr>
          <w:b w:val="0"/>
          <w:i w:val="0"/>
        </w:rPr>
        <w:t xml:space="preserve"> for process completion, and light gray </w:t>
      </w:r>
      <w:r>
        <w:rPr>
          <w:b/>
          <w:i w:val="0"/>
        </w:rPr>
        <w:t>E7E6E6</w:t>
      </w:r>
      <w:r>
        <w:rPr>
          <w:b w:val="0"/>
          <w:i w:val="0"/>
        </w:rPr>
        <w:t xml:space="preserve"> for off-system highlighting. Preserve the template’s color key and styling.</w:t>
      </w:r>
    </w:p>
    <w:p>
      <w:pPr>
        <w:pStyle w:val="Heading2"/>
      </w:pPr>
      <w:r>
        <w:t>Make completion verifiable</w:t>
      </w:r>
    </w:p>
    <w:p>
      <w:r>
        <w:rPr>
          <w:b w:val="0"/>
          <w:i w:val="0"/>
        </w:rPr>
        <w:t>“The task is complete” is too vague. State what should now exist or be visible, based on the source: a saved record, a posted status, an exported file, or a confirmed handoff. Do not assert that a journal posts automatically or requires approval unless the SME confirms that behavior for this process.</w:t>
      </w:r>
    </w:p>
    <w:p>
      <w:pPr>
        <w:pStyle w:val="Heading2"/>
      </w:pPr>
      <w:r>
        <w:t>Document work outside D365</w:t>
      </w:r>
    </w:p>
    <w:p>
      <w:r>
        <w:rPr>
          <w:b w:val="0"/>
          <w:i w:val="0"/>
        </w:rPr>
        <w:t xml:space="preserve">Use the supplied </w:t>
      </w:r>
      <w:r>
        <w:rPr>
          <w:b/>
          <w:i w:val="0"/>
        </w:rPr>
        <w:t>Off-system</w:t>
      </w:r>
      <w:r>
        <w:rPr>
          <w:b w:val="0"/>
          <w:i w:val="0"/>
        </w:rPr>
        <w:t xml:space="preserve"> callout, then </w:t>
      </w:r>
      <w:r>
        <w:rPr>
          <w:b/>
          <w:i w:val="0"/>
        </w:rPr>
        <w:t>Task Overview, Responsibility and Summary</w:t>
      </w:r>
      <w:r>
        <w:rPr>
          <w:b w:val="0"/>
          <w:i w:val="0"/>
        </w:rPr>
        <w:t>. Identify the external system or location, the purpose of the activity, and the required output. In the Summary table, explain the handoff, receiving role and link back to the relevant D365 procedure.</w:t>
      </w:r>
    </w:p>
    <w:p>
      <w:r>
        <w:rPr>
          <w:b w:val="0"/>
          <w:i w:val="0"/>
        </w:rPr>
        <w:t>An off-system summary is normally sufficient. Add detailed external-system steps only when they are needed to perform the task and supported by evidence. Do not turn every email or spreadsheet activity into a full click-by-click procedure.</w:t>
      </w:r>
    </w:p>
    <w:p>
      <w:pPr>
        <w:pStyle w:val="Heading2"/>
      </w:pPr>
      <w:r>
        <w:t>Handle alternatives explicitly</w:t>
      </w:r>
    </w:p>
    <w:p>
      <w:r>
        <w:rPr>
          <w:b w:val="0"/>
          <w:i w:val="0"/>
        </w:rPr>
        <w:t>State the condition for each path and where the paths rejoin. An optional stage should say when to skip it and link to the next stage. Do not insert a green PROCESS COMPLETE row simply because one screen has finished if the parent process still has work remaining.</w:t>
      </w:r>
    </w:p>
    <w:p>
      <w:r>
        <w:br w:type="page"/>
      </w:r>
    </w:p>
    <w:p>
      <w:bookmarkStart w:id="8" w:name="section8"/>
      <w:pPr>
        <w:pStyle w:val="Heading1"/>
      </w:pPr>
      <w:r>
        <w:t>Complete Reports and Additional Resources</w:t>
      </w:r>
      <w:bookmarkEnd w:id="8"/>
    </w:p>
    <w:p>
      <w:pPr>
        <w:pStyle w:val="Heading2"/>
      </w:pPr>
      <w:r>
        <w:t>Retain Part 3 Reports</w:t>
      </w:r>
    </w:p>
    <w:p>
      <w:r>
        <w:rPr>
          <w:b w:val="0"/>
          <w:i w:val="0"/>
        </w:rPr>
        <w:t xml:space="preserve">Reports is mandatory. Start with an Overview explaining how the reports or inquiries support the process. Give </w:t>
      </w:r>
      <w:r>
        <w:rPr>
          <w:b/>
          <w:i w:val="0"/>
        </w:rPr>
        <w:t>each unique report or inquiry its own Heading 5 title</w:t>
      </w:r>
      <w:r>
        <w:rPr>
          <w:b w:val="0"/>
          <w:i w:val="0"/>
        </w:rPr>
        <w:t xml:space="preserve">, immediately followed by its own </w:t>
      </w:r>
      <w:r>
        <w:rPr>
          <w:b/>
          <w:i w:val="0"/>
        </w:rPr>
        <w:t>Navigation | Description</w:t>
      </w:r>
      <w:r>
        <w:rPr>
          <w:b w:val="0"/>
          <w:i w:val="0"/>
        </w:rPr>
        <w:t xml:space="preserve"> table. Do not combine unrelated reports into separate rows of one table.</w:t>
      </w:r>
    </w:p>
    <w:p>
      <w:r>
        <w:rPr>
          <w:b w:val="0"/>
          <w:i w:val="0"/>
        </w:rPr>
        <w:t>In Navigation, use the exact confirmed path with one native bullet per level and &gt; between levels. In Description, write a short, informative paragraph, normally two to four substantive sentences as the source supports. Cover what the report shows, its scope, when users need it, and the check or decision it supports. Add confirmed filters or interpretation guidance where useful.</w:t>
      </w:r>
    </w:p>
    <w:p>
      <w:pPr>
        <w:pStyle w:val="Heading2"/>
      </w:pPr>
      <w:r>
        <w:t>A report description should answer these questions</w:t>
      </w:r>
    </w:p>
    <w:p>
      <w:pPr>
        <w:pStyle w:val="ListBullet"/>
      </w:pPr>
      <w:r>
        <w:rPr>
          <w:b w:val="0"/>
          <w:i w:val="0"/>
        </w:rPr>
        <w:t>What data or balance will the reader see?</w:t>
      </w:r>
    </w:p>
    <w:p>
      <w:pPr>
        <w:pStyle w:val="ListBullet"/>
      </w:pPr>
      <w:r>
        <w:rPr>
          <w:b w:val="0"/>
          <w:i w:val="0"/>
        </w:rPr>
        <w:t>Why and when does the reader use this report in this process?</w:t>
      </w:r>
    </w:p>
    <w:p>
      <w:pPr>
        <w:pStyle w:val="ListBullet"/>
      </w:pPr>
      <w:r>
        <w:rPr>
          <w:b w:val="0"/>
          <w:i w:val="0"/>
        </w:rPr>
        <w:t>Which confirmed inputs, filters or comparisons matter to that use?</w:t>
      </w:r>
    </w:p>
    <w:p>
      <w:pPr>
        <w:pStyle w:val="ListBullet"/>
      </w:pPr>
      <w:r>
        <w:rPr>
          <w:b w:val="0"/>
          <w:i w:val="0"/>
        </w:rPr>
        <w:t>What should the reader check or conclude from the result?</w:t>
      </w:r>
    </w:p>
    <w:p>
      <w:r>
        <w:rPr>
          <w:b w:val="0"/>
          <w:i w:val="0"/>
        </w:rPr>
        <w:t>Do not pad a short source with invented fields or behavior. “Review the report” is not a sufficient description. If the report is part of an executable procedure, document the required actions there and use this section as a concise report reference.</w:t>
      </w:r>
    </w:p>
    <w:p>
      <w:pPr>
        <w:pStyle w:val="Heading2"/>
      </w:pPr>
      <w:r>
        <w:t>Manage gaps and duplication</w:t>
      </w:r>
    </w:p>
    <w:p>
      <w:r>
        <w:rPr>
          <w:b w:val="0"/>
          <w:i w:val="0"/>
        </w:rPr>
        <w:t xml:space="preserve">If one report has several confirmed access routes, document those routes under the same report. If no report information is supplied, keep Part 3 and ask the SME. Use </w:t>
      </w:r>
      <w:r>
        <w:rPr>
          <w:b/>
          <w:i w:val="0"/>
        </w:rPr>
        <w:t>No applicable reports</w:t>
      </w:r>
      <w:r>
        <w:rPr>
          <w:b w:val="0"/>
          <w:i w:val="0"/>
        </w:rPr>
        <w:t xml:space="preserve"> only after explicit confirmation; an empty source does not establish that no reports apply.</w:t>
      </w:r>
    </w:p>
    <w:p>
      <w:pPr>
        <w:pStyle w:val="Heading2"/>
      </w:pPr>
      <w:r>
        <w:t>Retain the standard support content</w:t>
      </w:r>
    </w:p>
    <w:p>
      <w:r>
        <w:rPr>
          <w:b w:val="0"/>
          <w:i w:val="0"/>
        </w:rPr>
        <w:t xml:space="preserve">Keep </w:t>
      </w:r>
      <w:r>
        <w:rPr>
          <w:b/>
          <w:i w:val="0"/>
        </w:rPr>
        <w:t>Additional Resources</w:t>
      </w:r>
      <w:r>
        <w:rPr>
          <w:b w:val="0"/>
          <w:i w:val="0"/>
        </w:rPr>
        <w:t xml:space="preserve"> with its fixed </w:t>
      </w:r>
      <w:r>
        <w:rPr>
          <w:b/>
          <w:i w:val="0"/>
        </w:rPr>
        <w:t>User Support</w:t>
      </w:r>
      <w:r>
        <w:rPr>
          <w:b w:val="0"/>
          <w:i w:val="0"/>
        </w:rPr>
        <w:t xml:space="preserve"> and </w:t>
      </w:r>
      <w:r>
        <w:rPr>
          <w:b/>
          <w:i w:val="0"/>
        </w:rPr>
        <w:t>Self-Service Resources</w:t>
      </w:r>
      <w:r>
        <w:rPr>
          <w:b w:val="0"/>
          <w:i w:val="0"/>
        </w:rPr>
        <w:t xml:space="preserve"> wording, order and hyperlink destinations. It contains the D365 issue form, Atlas D365 User Support Hub, AVA, Procedure Guides and Atlas Training Hub. Do not add Troubleshooting or Keywords sections to this standard block.</w:t>
      </w:r>
    </w:p>
    <w:p>
      <w:r>
        <w:rPr>
          <w:b w:val="0"/>
          <w:i w:val="0"/>
        </w:rPr>
        <w:t>Use relevant approved resources in the procedure where they help the task, such as an import template or another PG. Link to a resource that intended users can access; do not publish an author’s Downloads path. Preserve exact filenames and worksheet names. Test that the link opens the intended resource and, where practical, check access with a representative user.</w:t>
      </w:r>
    </w:p>
    <w:p>
      <w:pPr>
        <w:pStyle w:val="Heading2"/>
      </w:pPr>
      <w:r>
        <w:t>Screenshots are optional</w:t>
      </w:r>
    </w:p>
    <w:p>
      <w:r>
        <w:rPr>
          <w:b w:val="0"/>
          <w:i w:val="0"/>
        </w:rPr>
        <w:t>Use a screenshot only when it adds useful context. The text must still explain the required action and result. Avoid relying on the image to supply a missing field value or approval rule. Keep images readable, current and free of unnecessary sensitive information; do not leave screenshot placeholders in a clean guide.</w:t>
      </w:r>
    </w:p>
    <w:p>
      <w:r>
        <w:br w:type="page"/>
      </w:r>
    </w:p>
    <w:p>
      <w:bookmarkStart w:id="9" w:name="section9"/>
      <w:pPr>
        <w:pStyle w:val="Heading1"/>
      </w:pPr>
      <w:r>
        <w:t>Keep Word formatting and links working</w:t>
      </w:r>
      <w:bookmarkEnd w:id="9"/>
    </w:p>
    <w:p>
      <w:pPr>
        <w:pStyle w:val="Heading2"/>
      </w:pPr>
      <w:r>
        <w:t>Copy components without changing the design</w:t>
      </w:r>
    </w:p>
    <w:p>
      <w:r>
        <w:rPr>
          <w:b w:val="0"/>
          <w:i w:val="0"/>
        </w:rPr>
        <w:t>Use Word’s Styles pane to confirm the applied style. Copy an existing topic block or the correct table row rather than formatting from scratch. When bringing in source prose, paste text only into the destination and then apply the destination style and required bold/italic emphasis. Do not paste an entire source document’s formatting over the master.</w:t>
      </w:r>
    </w:p>
    <w:p>
      <w:r>
        <w:rPr>
          <w:b w:val="0"/>
          <w:i w:val="0"/>
        </w:rPr>
        <w:t>Preserve the template’s fonts, spacing, page geometry, logos and section breaks. Use table Insert Rows commands or copy a matching action row to expand a procedure. Keep header rows repeating across pages. Avoid fixed row heights that clip text. Use paragraph and table pagination settings rather than blank lines to push content onto another page.</w:t>
      </w:r>
    </w:p>
    <w:p>
      <w:pPr>
        <w:pStyle w:val="Heading2"/>
      </w:pPr>
      <w:r>
        <w:t>Repair numbering at the affected paragraph</w:t>
      </w:r>
    </w:p>
    <w:p>
      <w:r>
        <w:rPr>
          <w:b w:val="0"/>
          <w:i w:val="0"/>
        </w:rPr>
        <w:t xml:space="preserve">For topic headings, copy a heading at the correct level and keep the linked multilevel numbering. For a third level, use </w:t>
      </w:r>
      <w:r>
        <w:rPr>
          <w:b/>
          <w:i w:val="0"/>
        </w:rPr>
        <w:t>PG Further Subdivision</w:t>
      </w:r>
      <w:r>
        <w:rPr>
          <w:b w:val="0"/>
          <w:i w:val="0"/>
        </w:rPr>
        <w:t xml:space="preserve"> at list level 3. For Action cells, use the existing action list; use Word’s numbering controls to continue or restart the intended sequence. Never correct a displayed number by typing over it. Recheck neighboring topics and tables after a change.</w:t>
      </w:r>
    </w:p>
    <w:p>
      <w:pPr>
        <w:pStyle w:val="Heading2"/>
      </w:pPr>
      <w:r>
        <w:t>Create or repair an internal hyperlink</w:t>
      </w:r>
    </w:p>
    <w:p>
      <w:pPr>
        <w:pStyle w:val="ListBullet"/>
      </w:pPr>
      <w:r>
        <w:rPr>
          <w:b w:val="0"/>
          <w:i w:val="0"/>
        </w:rPr>
        <w:t>Create the destination heading first and apply the correct style.</w:t>
      </w:r>
    </w:p>
    <w:p>
      <w:pPr>
        <w:pStyle w:val="ListBullet"/>
      </w:pPr>
      <w:r>
        <w:rPr>
          <w:b w:val="0"/>
          <w:i w:val="0"/>
        </w:rPr>
        <w:t xml:space="preserve">Select the display text in the Process table, role matrix or Continue to instruction. Open </w:t>
      </w:r>
      <w:r>
        <w:rPr>
          <w:b/>
          <w:i w:val="0"/>
        </w:rPr>
        <w:t>Insert &gt; Link</w:t>
      </w:r>
      <w:r>
        <w:rPr>
          <w:b w:val="0"/>
          <w:i w:val="0"/>
        </w:rPr>
        <w:t xml:space="preserve">, choose </w:t>
      </w:r>
      <w:r>
        <w:rPr>
          <w:b/>
          <w:i w:val="0"/>
        </w:rPr>
        <w:t>Place in This Document</w:t>
      </w:r>
      <w:r>
        <w:rPr>
          <w:b w:val="0"/>
          <w:i w:val="0"/>
        </w:rPr>
        <w:t>, and select the intended heading or bookmark.</w:t>
      </w:r>
    </w:p>
    <w:p>
      <w:pPr>
        <w:pStyle w:val="ListBullet"/>
      </w:pPr>
      <w:r>
        <w:rPr>
          <w:b w:val="0"/>
          <w:i w:val="0"/>
        </w:rPr>
        <w:t xml:space="preserve">If using a bookmark, select the destination and use </w:t>
      </w:r>
      <w:r>
        <w:rPr>
          <w:b/>
          <w:i w:val="0"/>
        </w:rPr>
        <w:t>Insert &gt; Bookmark</w:t>
      </w:r>
      <w:r>
        <w:rPr>
          <w:b w:val="0"/>
          <w:i w:val="0"/>
        </w:rPr>
        <w:t>. Give it a unique name starting with a letter and containing no spaces, then add the hyperlink to that bookmark.</w:t>
      </w:r>
    </w:p>
    <w:p>
      <w:pPr>
        <w:pStyle w:val="ListBullet"/>
      </w:pPr>
      <w:r>
        <w:rPr>
          <w:b w:val="0"/>
          <w:i w:val="0"/>
        </w:rPr>
        <w:t>Test the link in Word, normally with Ctrl+click, and confirm it reaches the correct heading. After duplicating a topic, check copied links individually; a copied link can still point to the original topic.</w:t>
      </w:r>
    </w:p>
    <w:p>
      <w:pPr>
        <w:pStyle w:val="Heading2"/>
      </w:pPr>
      <w:r>
        <w:t>Refresh the document before review</w:t>
      </w:r>
    </w:p>
    <w:p>
      <w:r>
        <w:rPr>
          <w:b w:val="0"/>
          <w:i w:val="0"/>
        </w:rPr>
        <w:t xml:space="preserve">Update the live contents using </w:t>
      </w:r>
      <w:r>
        <w:rPr>
          <w:b/>
          <w:i w:val="0"/>
        </w:rPr>
        <w:t>Update Table &gt; Update entire table</w:t>
      </w:r>
      <w:r>
        <w:rPr>
          <w:b w:val="0"/>
          <w:i w:val="0"/>
        </w:rPr>
        <w:t>. Select the document body and update its fields, then check the title and page/date fields in the footer separately. On Windows, F9 updates selected fields; some keyboards require Fn+F9. Do not assume a body selection updates every header or footer field.</w:t>
      </w:r>
    </w:p>
    <w:p>
      <w:r>
        <w:rPr>
          <w:b w:val="0"/>
          <w:i w:val="0"/>
        </w:rPr>
        <w:t>Check every Process-table, role-matrix, Topic Overview and continuation link after updating. Keep existing heading bookmarks when replacing text; if a destination was deleted, recreate it and repair the link. Search for “Error!” and review the whole contents list. Heading 5 labels and report names need not appear in the contents because the master’s contents uses higher heading levels.</w:t>
      </w:r>
    </w:p>
    <w:p>
      <w:r>
        <w:rPr>
          <w:b w:val="0"/>
          <w:i w:val="0"/>
        </w:rPr>
        <w:t>Export a review PDF and inspect every page for clipping, split content, large accidental gaps and incorrect footers. Test links in the PDF as well as Word. The Word file remains the editable source.</w:t>
      </w:r>
    </w:p>
    <w:p>
      <w:r>
        <w:br w:type="page"/>
      </w:r>
    </w:p>
    <w:p>
      <w:bookmarkStart w:id="10" w:name="section10"/>
      <w:pPr>
        <w:pStyle w:val="Heading1"/>
      </w:pPr>
      <w:r>
        <w:t>Resolve questions and prepare review</w:t>
      </w:r>
      <w:bookmarkEnd w:id="10"/>
    </w:p>
    <w:p>
      <w:pPr>
        <w:pStyle w:val="Heading2"/>
      </w:pPr>
      <w:r>
        <w:t>Separate writing decisions from missing facts</w:t>
      </w:r>
    </w:p>
    <w:p>
      <w:r>
        <w:rPr>
          <w:b w:val="0"/>
          <w:i w:val="0"/>
        </w:rPr>
        <w:t>An author can simplify wording, organize topics and apply styles. The author cannot infer a menu path, approval rule, journal behavior, field setting or report result merely to finish the draft. Check existing SME responses and related current guides before asking a duplicate question, but do not assume one process’s answer applies to another.</w:t>
      </w:r>
    </w:p>
    <w:p>
      <w:r>
        <w:rPr>
          <w:b w:val="0"/>
          <w:i w:val="0"/>
        </w:rPr>
        <w:t>Maintain a separate question log. Use stable identifiers such as Q01 and Q02, state the affected topic, describe the missing or conflicting fact, and record the answer and source. Keep identifiers stable when closing items so previous responses remain traceable.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861"/>
      </w:tblGrid>
      <w:tr>
        <w:trPr>
          <w:cantSplit/>
          <w:tblHeader/>
        </w:trPr>
        <w:tc>
          <w:tcPr>
            <w:tcW w:type="dxa" w:w="4032"/>
            <w:vAlign w:val="center"/>
            <w:shd w:fill="E7EDF5"/>
            <w:tcMar>
              <w:top w:w="85" w:type="dxa"/>
              <w:bottom w:w="85" w:type="dxa"/>
              <w:left w:w="85" w:type="dxa"/>
              <w:right w:w="85" w:type="dxa"/>
            </w:tcMar>
          </w:tcPr>
          <w:p>
            <w:pPr>
              <w:spacing w:after="40" w:before="40" w:line="240" w:lineRule="auto"/>
            </w:pPr>
            <w:r>
              <w:rPr>
                <w:b/>
                <w:i w:val="0"/>
                <w:sz w:val="20"/>
              </w:rPr>
              <w:t>Situation</w:t>
            </w:r>
          </w:p>
        </w:tc>
        <w:tc>
          <w:tcPr>
            <w:tcW w:type="dxa" w:w="5861"/>
            <w:vAlign w:val="center"/>
            <w:shd w:fill="E7EDF5"/>
            <w:tcMar>
              <w:top w:w="85" w:type="dxa"/>
              <w:bottom w:w="85" w:type="dxa"/>
              <w:left w:w="85" w:type="dxa"/>
              <w:right w:w="85" w:type="dxa"/>
            </w:tcMar>
          </w:tcPr>
          <w:p>
            <w:pPr>
              <w:spacing w:after="40" w:before="40" w:line="240" w:lineRule="auto"/>
            </w:pPr>
            <w:r>
              <w:rPr>
                <w:b/>
                <w:i w:val="0"/>
                <w:sz w:val="20"/>
              </w:rPr>
              <w:t>Appropriate action</w:t>
            </w:r>
          </w:p>
        </w:tc>
      </w:tr>
      <w:tr>
        <w:trPr>
          <w:cantSplit/>
        </w:trPr>
        <w:tc>
          <w:tcPr>
            <w:tcW w:type="dxa" w:w="4032"/>
            <w:vAlign w:val="center"/>
            <w:shd w:fill="FFFFFF"/>
            <w:tcMar>
              <w:top w:w="85" w:type="dxa"/>
              <w:bottom w:w="85" w:type="dxa"/>
              <w:left w:w="85" w:type="dxa"/>
              <w:right w:w="85" w:type="dxa"/>
            </w:tcMar>
          </w:tcPr>
          <w:p>
            <w:pPr>
              <w:spacing w:after="40" w:before="40" w:line="240" w:lineRule="auto"/>
            </w:pPr>
            <w:r>
              <w:rPr>
                <w:b w:val="0"/>
                <w:i w:val="0"/>
                <w:sz w:val="20"/>
              </w:rPr>
              <w:t>The source summarizes several clicks as “post the invoice.”</w:t>
            </w:r>
          </w:p>
        </w:tc>
        <w:tc>
          <w:tcPr>
            <w:tcW w:type="dxa" w:w="5861"/>
            <w:vAlign w:val="center"/>
            <w:shd w:fill="FFFFFF"/>
            <w:tcMar>
              <w:top w:w="85" w:type="dxa"/>
              <w:bottom w:w="85" w:type="dxa"/>
              <w:left w:w="85" w:type="dxa"/>
              <w:right w:w="85" w:type="dxa"/>
            </w:tcMar>
          </w:tcPr>
          <w:p>
            <w:pPr>
              <w:spacing w:after="40" w:before="40" w:line="240" w:lineRule="auto"/>
            </w:pPr>
            <w:r>
              <w:rPr>
                <w:b w:val="0"/>
                <w:i w:val="0"/>
                <w:sz w:val="20"/>
              </w:rPr>
              <w:t>Ask for the actual actions, selections and confirmations.</w:t>
            </w:r>
          </w:p>
        </w:tc>
      </w:tr>
      <w:tr>
        <w:trPr>
          <w:cantSplit/>
        </w:trPr>
        <w:tc>
          <w:tcPr>
            <w:tcW w:type="dxa" w:w="4032"/>
            <w:vAlign w:val="center"/>
            <w:shd w:fill="F6F7FA"/>
            <w:tcMar>
              <w:top w:w="85" w:type="dxa"/>
              <w:bottom w:w="85" w:type="dxa"/>
              <w:left w:w="85" w:type="dxa"/>
              <w:right w:w="85" w:type="dxa"/>
            </w:tcMar>
          </w:tcPr>
          <w:p>
            <w:pPr>
              <w:spacing w:after="40" w:before="40" w:line="240" w:lineRule="auto"/>
            </w:pPr>
            <w:r>
              <w:rPr>
                <w:b w:val="0"/>
                <w:i w:val="0"/>
                <w:sz w:val="20"/>
              </w:rPr>
              <w:t>A screenshot conflicts with the written setting.</w:t>
            </w:r>
          </w:p>
        </w:tc>
        <w:tc>
          <w:tcPr>
            <w:tcW w:type="dxa" w:w="5861"/>
            <w:vAlign w:val="center"/>
            <w:shd w:fill="F6F7FA"/>
            <w:tcMar>
              <w:top w:w="85" w:type="dxa"/>
              <w:bottom w:w="85" w:type="dxa"/>
              <w:left w:w="85" w:type="dxa"/>
              <w:right w:w="85" w:type="dxa"/>
            </w:tcMar>
          </w:tcPr>
          <w:p>
            <w:pPr>
              <w:spacing w:after="40" w:before="40" w:line="240" w:lineRule="auto"/>
            </w:pPr>
            <w:r>
              <w:rPr>
                <w:b w:val="0"/>
                <w:i w:val="0"/>
                <w:sz w:val="20"/>
              </w:rPr>
              <w:t>Show the discrepancy and ask which setting and condition apply.</w:t>
            </w:r>
          </w:p>
        </w:tc>
      </w:tr>
      <w:tr>
        <w:trPr>
          <w:cantSplit/>
        </w:trPr>
        <w:tc>
          <w:tcPr>
            <w:tcW w:type="dxa" w:w="4032"/>
            <w:vAlign w:val="center"/>
            <w:shd w:fill="FFFFFF"/>
            <w:tcMar>
              <w:top w:w="85" w:type="dxa"/>
              <w:bottom w:w="85" w:type="dxa"/>
              <w:left w:w="85" w:type="dxa"/>
              <w:right w:w="85" w:type="dxa"/>
            </w:tcMar>
          </w:tcPr>
          <w:p>
            <w:pPr>
              <w:spacing w:after="40" w:before="40" w:line="240" w:lineRule="auto"/>
            </w:pPr>
            <w:r>
              <w:rPr>
                <w:b w:val="0"/>
                <w:i w:val="0"/>
                <w:sz w:val="20"/>
              </w:rPr>
              <w:t>The SME says the detail is case-dependent and outside scope.</w:t>
            </w:r>
          </w:p>
        </w:tc>
        <w:tc>
          <w:tcPr>
            <w:tcW w:type="dxa" w:w="5861"/>
            <w:vAlign w:val="center"/>
            <w:shd w:fill="FFFFFF"/>
            <w:tcMar>
              <w:top w:w="85" w:type="dxa"/>
              <w:bottom w:w="85" w:type="dxa"/>
              <w:left w:w="85" w:type="dxa"/>
              <w:right w:w="85" w:type="dxa"/>
            </w:tcMar>
          </w:tcPr>
          <w:p>
            <w:pPr>
              <w:spacing w:after="40" w:before="40" w:line="240" w:lineRule="auto"/>
            </w:pPr>
            <w:r>
              <w:rPr>
                <w:b w:val="0"/>
                <w:i w:val="0"/>
                <w:sz w:val="20"/>
              </w:rPr>
              <w:t>Record that decision and keep the guide at the confirmed level. Do not invent a universal rule.</w:t>
            </w:r>
          </w:p>
        </w:tc>
      </w:tr>
      <w:tr>
        <w:trPr>
          <w:cantSplit/>
        </w:trPr>
        <w:tc>
          <w:tcPr>
            <w:tcW w:type="dxa" w:w="4032"/>
            <w:vAlign w:val="center"/>
            <w:shd w:fill="F6F7FA"/>
            <w:tcMar>
              <w:top w:w="85" w:type="dxa"/>
              <w:bottom w:w="85" w:type="dxa"/>
              <w:left w:w="85" w:type="dxa"/>
              <w:right w:w="85" w:type="dxa"/>
            </w:tcMar>
          </w:tcPr>
          <w:p>
            <w:pPr>
              <w:spacing w:after="40" w:before="40" w:line="240" w:lineRule="auto"/>
            </w:pPr>
            <w:r>
              <w:rPr>
                <w:b w:val="0"/>
                <w:i w:val="0"/>
                <w:sz w:val="20"/>
              </w:rPr>
              <w:t>The answer refers to a revised attachment.</w:t>
            </w:r>
          </w:p>
        </w:tc>
        <w:tc>
          <w:tcPr>
            <w:tcW w:type="dxa" w:w="5861"/>
            <w:vAlign w:val="center"/>
            <w:shd w:fill="F6F7FA"/>
            <w:tcMar>
              <w:top w:w="85" w:type="dxa"/>
              <w:bottom w:w="85" w:type="dxa"/>
              <w:left w:w="85" w:type="dxa"/>
              <w:right w:w="85" w:type="dxa"/>
            </w:tcMar>
          </w:tcPr>
          <w:p>
            <w:pPr>
              <w:spacing w:after="40" w:before="40" w:line="240" w:lineRule="auto"/>
            </w:pPr>
            <w:r>
              <w:rPr>
                <w:b w:val="0"/>
                <w:i w:val="0"/>
                <w:sz w:val="20"/>
              </w:rPr>
              <w:t>Obtain and review that attachment before closing the dependent detail.</w:t>
            </w:r>
          </w:p>
        </w:tc>
      </w:tr>
      <w:tr>
        <w:trPr>
          <w:cantSplit/>
        </w:trPr>
        <w:tc>
          <w:tcPr>
            <w:tcW w:type="dxa" w:w="4032"/>
            <w:vAlign w:val="center"/>
            <w:shd w:fill="FFFFFF"/>
            <w:tcMar>
              <w:top w:w="85" w:type="dxa"/>
              <w:bottom w:w="85" w:type="dxa"/>
              <w:left w:w="85" w:type="dxa"/>
              <w:right w:w="85" w:type="dxa"/>
            </w:tcMar>
          </w:tcPr>
          <w:p>
            <w:pPr>
              <w:spacing w:after="40" w:before="40" w:line="240" w:lineRule="auto"/>
            </w:pPr>
            <w:r>
              <w:rPr>
                <w:b w:val="0"/>
                <w:i w:val="0"/>
                <w:sz w:val="20"/>
              </w:rPr>
              <w:t>Only the layout is complete.</w:t>
            </w:r>
          </w:p>
        </w:tc>
        <w:tc>
          <w:tcPr>
            <w:tcW w:type="dxa" w:w="5861"/>
            <w:vAlign w:val="center"/>
            <w:shd w:fill="FFFFFF"/>
            <w:tcMar>
              <w:top w:w="85" w:type="dxa"/>
              <w:bottom w:w="85" w:type="dxa"/>
              <w:left w:w="85" w:type="dxa"/>
              <w:right w:w="85" w:type="dxa"/>
            </w:tcMar>
          </w:tcPr>
          <w:p>
            <w:pPr>
              <w:spacing w:after="40" w:before="40" w:line="240" w:lineRule="auto"/>
            </w:pPr>
            <w:r>
              <w:rPr>
                <w:b w:val="0"/>
                <w:i w:val="0"/>
                <w:sz w:val="20"/>
              </w:rPr>
              <w:t>Label the document as an SME review draft, not approved or published.</w:t>
            </w:r>
          </w:p>
        </w:tc>
      </w:tr>
    </w:tbl>
    <w:p>
      <w:pPr>
        <w:spacing w:after="0"/>
      </w:pPr>
      <w:r>
        <w:rPr>
          <w:b w:val="0"/>
          <w:i w:val="0"/>
        </w:rPr>
      </w:r>
    </w:p>
    <w:p>
      <w:pPr>
        <w:pStyle w:val="Heading2"/>
      </w:pPr>
      <w:r>
        <w:t>Close a question only when the document reflects the answer</w:t>
      </w:r>
    </w:p>
    <w:p>
      <w:r>
        <w:rPr>
          <w:b w:val="0"/>
          <w:i w:val="0"/>
        </w:rPr>
        <w:t>Check the answer against the relevant text, tables and screenshots. Update every affected occurrence, including prerequisites, reports and summaries. Record whether the answer confirms the detail, removes it from scope or points to another guide. If the core action remains unclear, keep that question open; vague wording does not resolve it.</w:t>
      </w:r>
    </w:p>
    <w:p>
      <w:pPr>
        <w:pStyle w:val="Heading2"/>
      </w:pPr>
      <w:r>
        <w:t>Suggested review request</w:t>
      </w:r>
    </w:p>
    <w:p>
      <w:r>
        <w:rPr>
          <w:b w:val="0"/>
          <w:i w:val="0"/>
        </w:rPr>
        <w:t>Hi [SME name], the [Guide title] draft is ready for factual review. Please check the procedures, roles, settings and outcomes. The remaining questions are listed below by topic. Reply against each question ID, identify any non-applicable items, and assign the ticket back to [author] when your review is complete. Q01 — [Topic and specific question]. Thank you.</w:t>
      </w:r>
    </w:p>
    <w:p>
      <w:r>
        <w:rPr>
          <w:b w:val="0"/>
          <w:i w:val="0"/>
        </w:rPr>
        <w:t>Replace the sample placeholders and include only open questions. Provide the draft link and the actual review request outside the PG. Do not copy source-analysis notes or local file paths into a ticket comment.</w:t>
      </w:r>
    </w:p>
    <w:p>
      <w:pPr>
        <w:pStyle w:val="Heading2"/>
      </w:pPr>
      <w:r>
        <w:t>Review and approval are separate</w:t>
      </w:r>
    </w:p>
    <w:p>
      <w:r>
        <w:rPr>
          <w:b w:val="0"/>
          <w:i w:val="0"/>
        </w:rPr>
        <w:t>SME answers resolve content questions. The designated reviewer then reviews the clean draft under the team’s process. Record actual approval evidence before publication; a completed conversion or closed question log is not approval. Update the tracking board with the actual stage, assignee, next action and current link.</w:t>
      </w:r>
    </w:p>
    <w:p>
      <w:r>
        <w:br w:type="page"/>
      </w:r>
    </w:p>
    <w:p>
      <w:bookmarkStart w:id="11" w:name="section11"/>
      <w:pPr>
        <w:pStyle w:val="Heading1"/>
      </w:pPr>
      <w:r>
        <w:t>Use a worked authoring example</w:t>
      </w:r>
      <w:bookmarkEnd w:id="11"/>
    </w:p>
    <w:p>
      <w:r>
        <w:rPr>
          <w:b w:val="0"/>
          <w:i w:val="0"/>
        </w:rPr>
        <w:t xml:space="preserve">This example shows how to turn source information into the template structure. </w:t>
      </w:r>
      <w:r>
        <w:rPr>
          <w:b/>
          <w:i w:val="0"/>
        </w:rPr>
        <w:t>It is an illustrative writing exercise, not approved D365 procedure guidance.</w:t>
      </w:r>
      <w:r>
        <w:rPr>
          <w:b w:val="0"/>
          <w:i w:val="0"/>
        </w:rPr>
        <w:t xml:space="preserve"> Use your own confirmed process evidence for the final guide.</w:t>
      </w:r>
    </w:p>
    <w:p>
      <w:pPr>
        <w:pStyle w:val="Heading2"/>
      </w:pPr>
      <w:r>
        <w:t>Start with a clear outcome</w:t>
      </w:r>
    </w:p>
    <w:p>
      <w:r>
        <w:rPr>
          <w:b w:val="0"/>
          <w:i w:val="0"/>
        </w:rPr>
        <w:t xml:space="preserve">Suppose the verified source says a preparer reviews a file, imports it and confirms the result. The outline could be </w:t>
      </w:r>
      <w:r>
        <w:rPr>
          <w:b/>
          <w:i w:val="0"/>
        </w:rPr>
        <w:t>1. Import and Verify the File</w:t>
      </w:r>
      <w:r>
        <w:rPr>
          <w:b w:val="0"/>
          <w:i w:val="0"/>
        </w:rPr>
        <w:t xml:space="preserve">, with </w:t>
      </w:r>
      <w:r>
        <w:rPr>
          <w:b/>
          <w:i w:val="0"/>
        </w:rPr>
        <w:t>1.1 Prepare the File</w:t>
      </w:r>
      <w:r>
        <w:rPr>
          <w:b w:val="0"/>
          <w:i w:val="0"/>
        </w:rPr>
        <w:t xml:space="preserve">, </w:t>
      </w:r>
      <w:r>
        <w:rPr>
          <w:b/>
          <w:i w:val="0"/>
        </w:rPr>
        <w:t>1.2 Import the File</w:t>
      </w:r>
      <w:r>
        <w:rPr>
          <w:b w:val="0"/>
          <w:i w:val="0"/>
        </w:rPr>
        <w:t xml:space="preserve"> and </w:t>
      </w:r>
      <w:r>
        <w:rPr>
          <w:b/>
          <w:i w:val="0"/>
        </w:rPr>
        <w:t>1.3 Verify the Import</w:t>
      </w:r>
      <w:r>
        <w:rPr>
          <w:b w:val="0"/>
          <w:i w:val="0"/>
        </w:rPr>
        <w:t>. The Part 1 Process table has one row for topic 1, not three rows for its subtopics.</w:t>
      </w:r>
    </w:p>
    <w:p>
      <w:r>
        <w:rPr>
          <w:b w:val="0"/>
          <w:i w:val="0"/>
        </w:rPr>
        <w:t>The parent Description explains the file’s purpose and scope. Responsibility names the preparer in a bullet. Initiation states when the confirmed source file is ready. Topic Overview lists the three stages and their outputs. Each subprocedure starts with its own necessary prerequisites and responsible role.</w:t>
      </w:r>
    </w:p>
    <w:p>
      <w:pPr>
        <w:pStyle w:val="Heading2"/>
      </w:pPr>
      <w:r>
        <w:t>Improve an action row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13"/>
      </w:tblGrid>
      <w:tr>
        <w:trPr>
          <w:cantSplit/>
          <w:tblHeader/>
        </w:trPr>
        <w:tc>
          <w:tcPr>
            <w:tcW w:type="dxa" w:w="2880"/>
            <w:vAlign w:val="center"/>
            <w:shd w:fill="E7EDF5"/>
            <w:tcMar>
              <w:top w:w="85" w:type="dxa"/>
              <w:bottom w:w="85" w:type="dxa"/>
              <w:left w:w="85" w:type="dxa"/>
              <w:right w:w="85" w:type="dxa"/>
            </w:tcMar>
          </w:tcPr>
          <w:p>
            <w:pPr>
              <w:spacing w:after="40" w:before="40" w:line="240" w:lineRule="auto"/>
            </w:pPr>
            <w:r>
              <w:rPr>
                <w:b/>
                <w:i w:val="0"/>
                <w:sz w:val="20"/>
              </w:rPr>
              <w:t>Too compressed</w:t>
            </w:r>
          </w:p>
        </w:tc>
        <w:tc>
          <w:tcPr>
            <w:tcW w:type="dxa" w:w="7013"/>
            <w:vAlign w:val="center"/>
            <w:shd w:fill="E7EDF5"/>
            <w:tcMar>
              <w:top w:w="85" w:type="dxa"/>
              <w:bottom w:w="85" w:type="dxa"/>
              <w:left w:w="85" w:type="dxa"/>
              <w:right w:w="85" w:type="dxa"/>
            </w:tcMar>
          </w:tcPr>
          <w:p>
            <w:pPr>
              <w:spacing w:after="40" w:before="40" w:line="240" w:lineRule="auto"/>
            </w:pPr>
            <w:r>
              <w:rPr>
                <w:b/>
                <w:i w:val="0"/>
                <w:sz w:val="20"/>
              </w:rPr>
              <w:t>Better authoring pattern</w:t>
            </w:r>
          </w:p>
        </w:tc>
      </w:tr>
      <w:tr>
        <w:trPr>
          <w:cantSplit/>
        </w:trPr>
        <w:tc>
          <w:tcPr>
            <w:tcW w:type="dxa" w:w="2880"/>
            <w:vAlign w:val="center"/>
            <w:shd w:fill="FFFFFF"/>
            <w:tcMar>
              <w:top w:w="85" w:type="dxa"/>
              <w:bottom w:w="85" w:type="dxa"/>
              <w:left w:w="85" w:type="dxa"/>
              <w:right w:w="85" w:type="dxa"/>
            </w:tcMar>
          </w:tcPr>
          <w:p>
            <w:pPr>
              <w:spacing w:after="40" w:before="40" w:line="240" w:lineRule="auto"/>
            </w:pPr>
            <w:r>
              <w:rPr>
                <w:b w:val="0"/>
                <w:i w:val="0"/>
                <w:sz w:val="20"/>
              </w:rPr>
              <w:t>Select the file, click Import and check that it worked.</w:t>
            </w:r>
          </w:p>
        </w:tc>
        <w:tc>
          <w:tcPr>
            <w:tcW w:type="dxa" w:w="7013"/>
            <w:vAlign w:val="center"/>
            <w:shd w:fill="FFFFFF"/>
            <w:tcMar>
              <w:top w:w="85" w:type="dxa"/>
              <w:bottom w:w="85" w:type="dxa"/>
              <w:left w:w="85" w:type="dxa"/>
              <w:right w:w="85" w:type="dxa"/>
            </w:tcMar>
          </w:tcPr>
          <w:p>
            <w:pPr>
              <w:spacing w:after="40" w:before="40" w:line="240" w:lineRule="auto"/>
            </w:pPr>
            <w:r>
              <w:rPr>
                <w:b w:val="0"/>
                <w:i w:val="0"/>
                <w:sz w:val="20"/>
              </w:rPr>
              <w:t>Row 1: Select the File. Description identifies the confirmed file and location.</w:t>
              <w:br/>
              <w:t>Row 2: Click the confirmed import control. Description explains the expected system response.</w:t>
              <w:br/>
              <w:t>Row 3: Confirm the Import Result. Description states the verified success criterion.</w:t>
            </w:r>
          </w:p>
        </w:tc>
      </w:tr>
    </w:tbl>
    <w:p>
      <w:pPr>
        <w:spacing w:after="0"/>
      </w:pPr>
      <w:r>
        <w:rPr>
          <w:b w:val="0"/>
          <w:i w:val="0"/>
        </w:rPr>
      </w:r>
    </w:p>
    <w:p>
      <w:r>
        <w:rPr>
          <w:b w:val="0"/>
          <w:i w:val="0"/>
        </w:rPr>
        <w:t>In the PG, italicize Select, Click and Confirm; bold the actual UI control or complete business object. Replace “confirmed import control” and “verified success criterion” with the real label and observable result. If those facts are missing, ask the SME rather than publishing these phrases.</w:t>
      </w:r>
    </w:p>
    <w:p>
      <w:pPr>
        <w:pStyle w:val="Heading2"/>
      </w:pPr>
      <w:r>
        <w:t>Connect the stages</w:t>
      </w:r>
    </w:p>
    <w:p>
      <w:r>
        <w:rPr>
          <w:b w:val="0"/>
          <w:i w:val="0"/>
        </w:rPr>
        <w:t xml:space="preserve">End preparation with </w:t>
      </w:r>
      <w:r>
        <w:rPr>
          <w:b/>
          <w:i w:val="0"/>
        </w:rPr>
        <w:t>STEP COMPLETE</w:t>
      </w:r>
      <w:r>
        <w:rPr>
          <w:b w:val="0"/>
          <w:i w:val="0"/>
        </w:rPr>
        <w:t xml:space="preserve">, state that the file is ready, and link </w:t>
      </w:r>
      <w:r>
        <w:rPr>
          <w:b/>
          <w:i w:val="0"/>
        </w:rPr>
        <w:t>Continue to Import the File</w:t>
      </w:r>
      <w:r>
        <w:rPr>
          <w:b w:val="0"/>
          <w:i w:val="0"/>
        </w:rPr>
        <w:t xml:space="preserve"> to subtopic 1.2. End import with a link to verification. Use </w:t>
      </w:r>
      <w:r>
        <w:rPr>
          <w:b/>
          <w:i w:val="0"/>
        </w:rPr>
        <w:t>PROCESS COMPLETE</w:t>
      </w:r>
      <w:r>
        <w:rPr>
          <w:b w:val="0"/>
          <w:i w:val="0"/>
        </w:rPr>
        <w:t xml:space="preserve"> after the confirmed final verification outcome. If the source allows a different sequence, document that sequence instead.</w:t>
      </w:r>
    </w:p>
    <w:p>
      <w:pPr>
        <w:pStyle w:val="Heading2"/>
      </w:pPr>
      <w:r>
        <w:t>Build a useful report entry</w:t>
      </w:r>
    </w:p>
    <w:p>
      <w:r>
        <w:rPr>
          <w:b w:val="0"/>
          <w:i w:val="0"/>
        </w:rPr>
        <w:t>Use this description pattern only as a writing prompt: “The [report] displays [confirmed data and scope]. Use it after [confirmed activity] to check [confirmed comparison or result]. Apply [confirmed filter] when [condition].” Convert the prompts into a short paragraph and remove any sentence the source cannot support.</w:t>
      </w:r>
    </w:p>
    <w:p>
      <w:pPr>
        <w:pStyle w:val="Heading2"/>
      </w:pPr>
      <w:r>
        <w:t>Check the same fact everywhere</w:t>
      </w:r>
    </w:p>
    <w:p>
      <w:r>
        <w:rPr>
          <w:b w:val="0"/>
          <w:i w:val="0"/>
        </w:rPr>
        <w:t>If the SME changes the responsible role or the trigger, update the Stream table, Process table, role matrix, parent bullets and PROCESS START blocks as applicable. If a topic title changes, update its display text in summaries and retest its links. A consistent guide is more than a correctly formatted procedure table.</w:t>
      </w:r>
    </w:p>
    <w:p>
      <w:r>
        <w:br w:type="page"/>
      </w:r>
    </w:p>
    <w:p>
      <w:bookmarkStart w:id="12" w:name="section12"/>
      <w:pPr>
        <w:pStyle w:val="Heading1"/>
      </w:pPr>
      <w:r>
        <w:t>Check and hand over the finished guide</w:t>
      </w:r>
      <w:bookmarkEnd w:id="12"/>
    </w:p>
    <w:p>
      <w:pPr>
        <w:pStyle w:val="Heading2"/>
      </w:pPr>
      <w:r>
        <w:t>Content and structure</w:t>
      </w:r>
    </w:p>
    <w:p>
      <w:pPr>
        <w:pStyle w:val="ListBullet"/>
      </w:pPr>
      <w:r>
        <w:rPr>
          <w:b w:val="0"/>
          <w:i w:val="0"/>
        </w:rPr>
        <w:t>Cover, contents, version history, About this guide, Parts 1–3 and Additional Resources are present in the correct order.</w:t>
      </w:r>
    </w:p>
    <w:p>
      <w:pPr>
        <w:pStyle w:val="ListBullet"/>
      </w:pPr>
      <w:r>
        <w:rPr>
          <w:b w:val="0"/>
          <w:i w:val="0"/>
        </w:rPr>
        <w:t>Every placeholder and author instruction is replaced or removed. Search for square brackets, “Process Name,” “Role A,” “Fill the empty cell,” and unused example titles; inspect matches rather than deleting legitimate UI text.</w:t>
      </w:r>
    </w:p>
    <w:p>
      <w:pPr>
        <w:pStyle w:val="ListBullet"/>
      </w:pPr>
      <w:r>
        <w:rPr>
          <w:b w:val="0"/>
          <w:i w:val="0"/>
        </w:rPr>
        <w:t>Process-table rows match major Part 2 topics. Who, When and Where are complete. Roles and BPOs reflect confirmed evidence.</w:t>
      </w:r>
    </w:p>
    <w:p>
      <w:pPr>
        <w:pStyle w:val="ListBullet"/>
      </w:pPr>
      <w:r>
        <w:rPr>
          <w:b w:val="0"/>
          <w:i w:val="0"/>
        </w:rPr>
        <w:t>Each main in-system topic has Description, Responsibility and Initiation. Each action is executable, sufficiently detailed and source-supported.</w:t>
      </w:r>
    </w:p>
    <w:p>
      <w:pPr>
        <w:pStyle w:val="ListBullet"/>
      </w:pPr>
      <w:r>
        <w:rPr>
          <w:b w:val="0"/>
          <w:i w:val="0"/>
        </w:rPr>
        <w:t>Prerequisites, boundaries, alternatives and completion checks are correct. Every report has its own Heading 5 and Navigation/Description table.</w:t>
      </w:r>
    </w:p>
    <w:p>
      <w:pPr>
        <w:pStyle w:val="Heading2"/>
      </w:pPr>
      <w:r>
        <w:t>Formatting and navigation</w:t>
      </w:r>
    </w:p>
    <w:p>
      <w:pPr>
        <w:pStyle w:val="ListBullet"/>
      </w:pPr>
      <w:r>
        <w:rPr>
          <w:b w:val="0"/>
          <w:i w:val="0"/>
        </w:rPr>
        <w:t>American English is used throughout; exact system labels and identifiers are preserved. Native bullets, heading numbers, action numbers and hanging indents remain intact.</w:t>
      </w:r>
    </w:p>
    <w:p>
      <w:pPr>
        <w:pStyle w:val="ListBullet"/>
      </w:pPr>
      <w:r>
        <w:rPr>
          <w:b w:val="0"/>
          <w:i w:val="0"/>
        </w:rPr>
        <w:t>Action verbs are italicized and UI labels or action objects are bold. Boundary rows are unnumbered and use the supplied styles and shading.</w:t>
      </w:r>
    </w:p>
    <w:p>
      <w:pPr>
        <w:pStyle w:val="ListBullet"/>
      </w:pPr>
      <w:r>
        <w:rPr>
          <w:b w:val="0"/>
          <w:i w:val="0"/>
        </w:rPr>
        <w:t>Contents, footer title, dates, page numbers, internal links and external links are updated and tested. Every page of the exported PDF is readable and unclipped.</w:t>
      </w:r>
    </w:p>
    <w:p>
      <w:pPr>
        <w:pStyle w:val="Heading2"/>
      </w:pPr>
      <w:r>
        <w:t>Review and handoff</w:t>
      </w:r>
    </w:p>
    <w:p>
      <w:pPr>
        <w:pStyle w:val="ListBullet"/>
      </w:pPr>
      <w:r>
        <w:rPr>
          <w:b w:val="0"/>
          <w:i w:val="0"/>
        </w:rPr>
        <w:t>The question log records resolved answers and any genuinely open items. No unresolved process fact is presented as approved guidance.</w:t>
      </w:r>
    </w:p>
    <w:p>
      <w:pPr>
        <w:pStyle w:val="ListBullet"/>
      </w:pPr>
      <w:r>
        <w:rPr>
          <w:b w:val="0"/>
          <w:i w:val="0"/>
        </w:rPr>
        <w:t>Keep an authoring copy with review evidence. Before release, resolve tracked changes and comments with the appropriate reviewer and remove draft-only notes from the release copy.</w:t>
      </w:r>
    </w:p>
    <w:p>
      <w:pPr>
        <w:pStyle w:val="ListBullet"/>
      </w:pPr>
      <w:r>
        <w:rPr>
          <w:b w:val="0"/>
          <w:i w:val="0"/>
        </w:rPr>
        <w:t>Hand over the editable Word file, the actual review or approval status, the separate question/change record, and the relevant draft link. Include a PDF when required for review or publication.</w:t>
      </w:r>
    </w:p>
    <w:p>
      <w:pPr>
        <w:pStyle w:val="ListBullet"/>
      </w:pPr>
      <w:r>
        <w:rPr>
          <w:b w:val="0"/>
          <w:i w:val="0"/>
        </w:rPr>
        <w:t>After approval, publish through the team’s process, verify the final Hub link and update the tracker. Preserve the previous version and transition mapping where a guide code changes.</w:t>
      </w:r>
    </w:p>
    <w:p>
      <w:pPr>
        <w:pStyle w:val="Heading2"/>
      </w:pPr>
      <w:r>
        <w:t>Basis and maintenance</w:t>
      </w:r>
    </w:p>
    <w:p>
      <w:r>
        <w:rPr>
          <w:b w:val="0"/>
          <w:i w:val="0"/>
        </w:rPr>
        <w:t>Prepared against the supplied .PG_Word_Template-MASTER TEMPLATE.docx and the confirmed PG authoring rules through October 2026, including American English, bulleted Responsibility and Initiation, complete major-topic Process tables, and separate report headings and tables. Keep this handbook with the distributed master and revise it when the template rules change.</w:t>
      </w:r>
    </w:p>
    <w:p>
      <w:r>
        <w:rPr>
          <w:b w:val="0"/>
          <w:i w:val="0"/>
        </w:rPr>
        <w:t>For R2R allocations, refer to R2R_PG_Numbering_Standard_v1.docx and its paired numbering register, or their current replacements. This handbook does not allocate or migrate guide codes. For process facts, use current SME-confirmed evidence and the designated review process.</w:t>
      </w:r>
    </w:p>
    <w:sectPr w:rsidR="00FC693F" w:rsidRPr="0006063C" w:rsidSect="00034616">
      <w:headerReference w:type="default" r:id="rId9"/>
      <w:footerReference w:type="default" r:id="rId10"/>
      <w:pgSz w:w="11909" w:h="16834"/>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Template companion  |  v1.0  |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PROCEDURE GUIDE AUTHORING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7"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47"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the Procedure Guide Template</dc:title>
  <dc:subject>Authoring instructions for the supplied PG master template</dc:subject>
  <dc:creator>Daniel.Moreira@wisetechglobal.com</dc:creator>
  <cp:keywords/>
  <dc:description>generated by python-docx</dc:description>
  <cp:lastModifiedBy/>
  <cp:revision>1</cp:revision>
  <dcterms:created xsi:type="dcterms:W3CDTF">2013-12-23T23:15:00Z</dcterms:created>
  <dcterms:modified xsi:type="dcterms:W3CDTF">2013-12-23T23:15:00Z</dcterms:modified>
  <cp:category/>
</cp:coreProperties>
</file>