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7484" w:rsidRDefault="00617484">
      <w:pPr>
        <w:jc w:val="right"/>
      </w:pPr>
    </w:p>
    <w:p w:rsidR="00617484" w:rsidRDefault="00CA27BC">
      <w:pPr>
        <w:jc w:val="right"/>
      </w:pPr>
      <w:r>
        <w:rPr>
          <w:rFonts w:ascii="Arial" w:eastAsia="Arial" w:hAnsi="Arial" w:cs="Arial"/>
          <w:b/>
          <w:sz w:val="36"/>
        </w:rPr>
        <w:t>Sistema de Gestión SAMOC</w:t>
      </w:r>
    </w:p>
    <w:p w:rsidR="00617484" w:rsidRDefault="00CA27BC">
      <w:pPr>
        <w:jc w:val="right"/>
      </w:pPr>
      <w:r>
        <w:rPr>
          <w:rFonts w:ascii="Arial" w:eastAsia="Arial" w:hAnsi="Arial" w:cs="Arial"/>
          <w:b/>
          <w:sz w:val="36"/>
        </w:rPr>
        <w:t xml:space="preserve">Especificación del Caso de Uso: </w:t>
      </w:r>
      <w:r w:rsidR="00A67E5B">
        <w:rPr>
          <w:rFonts w:ascii="Arial" w:eastAsia="Arial" w:hAnsi="Arial" w:cs="Arial"/>
          <w:b/>
          <w:sz w:val="36"/>
        </w:rPr>
        <w:t xml:space="preserve">Recibo de </w:t>
      </w:r>
      <w:r w:rsidR="00325F1C">
        <w:rPr>
          <w:rFonts w:ascii="Arial" w:eastAsia="Arial" w:hAnsi="Arial" w:cs="Arial"/>
          <w:b/>
          <w:sz w:val="36"/>
        </w:rPr>
        <w:t>Aportes</w:t>
      </w:r>
    </w:p>
    <w:p w:rsidR="00617484" w:rsidRDefault="00617484">
      <w:pPr>
        <w:jc w:val="right"/>
      </w:pPr>
    </w:p>
    <w:p w:rsidR="00617484" w:rsidRDefault="00CA27BC">
      <w:pPr>
        <w:jc w:val="right"/>
      </w:pPr>
      <w:r>
        <w:rPr>
          <w:rFonts w:ascii="Arial" w:eastAsia="Arial" w:hAnsi="Arial" w:cs="Arial"/>
          <w:b/>
          <w:sz w:val="28"/>
        </w:rPr>
        <w:t>Versión 1.0</w:t>
      </w:r>
    </w:p>
    <w:p w:rsidR="00617484" w:rsidRDefault="00617484">
      <w:pPr>
        <w:jc w:val="center"/>
      </w:pPr>
    </w:p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CA27BC">
      <w:pPr>
        <w:jc w:val="center"/>
      </w:pPr>
      <w:r>
        <w:t>Cajamarca, 2013</w:t>
      </w: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325F1C" w:rsidRDefault="00325F1C">
      <w:pPr>
        <w:jc w:val="center"/>
      </w:pPr>
    </w:p>
    <w:p w:rsidR="00617484" w:rsidRDefault="00CA27BC">
      <w:pPr>
        <w:spacing w:before="480" w:line="276" w:lineRule="auto"/>
        <w:ind w:left="720" w:hanging="719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Contenido</w:t>
      </w:r>
      <w:hyperlink w:anchor="h.gjdgxs"/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gjdgxs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1.</w:t>
        </w:r>
      </w:hyperlink>
      <w:hyperlink w:anchor="h.gjdgxs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gjdgxs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Descripción Breve</w:t>
        </w:r>
      </w:hyperlink>
      <w:hyperlink w:anchor="h.30j0zll">
        <w:r w:rsidR="00CA27BC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30j0zll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2.</w:t>
        </w:r>
      </w:hyperlink>
      <w:hyperlink w:anchor="h.30j0zll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Flujo Básico de Eventos</w:t>
        </w:r>
      </w:hyperlink>
      <w:hyperlink w:anchor="h.1fob9te">
        <w:r w:rsidR="00CA27BC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1fob9te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3.</w:t>
        </w:r>
      </w:hyperlink>
      <w:hyperlink w:anchor="h.1fob9te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Flujos Alternativos</w:t>
        </w:r>
      </w:hyperlink>
      <w:r w:rsidR="00CA27BC">
        <w:rPr>
          <w:rFonts w:ascii="Cambria" w:eastAsia="Cambria" w:hAnsi="Cambria" w:cs="Cambria"/>
          <w:b/>
          <w:smallCaps/>
          <w:sz w:val="24"/>
        </w:rPr>
        <w:tab/>
      </w:r>
    </w:p>
    <w:p w:rsidR="00617484" w:rsidRDefault="00CA27BC">
      <w:pPr>
        <w:tabs>
          <w:tab w:val="left" w:pos="600"/>
          <w:tab w:val="right" w:pos="8778"/>
        </w:tabs>
        <w:spacing w:before="240"/>
        <w:ind w:left="600"/>
      </w:pPr>
      <w:r>
        <w:rPr>
          <w:rFonts w:ascii="Calibri" w:eastAsia="Calibri" w:hAnsi="Calibri" w:cs="Calibri"/>
          <w:b/>
          <w:color w:val="0000FF"/>
          <w:u w:val="single"/>
        </w:rPr>
        <w:t>3.1&lt;Flujo Alternativo 1 &gt;</w:t>
      </w:r>
      <w:hyperlink w:anchor="h.3znysh7">
        <w:r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3znysh7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4.</w:t>
        </w:r>
      </w:hyperlink>
      <w:hyperlink w:anchor="h.3znysh7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Escenarios Claves</w:t>
        </w:r>
      </w:hyperlink>
      <w:hyperlink w:anchor="h.2et92p0">
        <w:r w:rsidR="00CA27BC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2et92p0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5.</w:t>
        </w:r>
      </w:hyperlink>
      <w:hyperlink w:anchor="h.2et92p0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Precondiciones</w:t>
        </w:r>
      </w:hyperlink>
      <w:r w:rsidR="00CA27BC">
        <w:rPr>
          <w:rFonts w:ascii="Cambria" w:eastAsia="Cambria" w:hAnsi="Cambria" w:cs="Cambria"/>
          <w:b/>
          <w:smallCaps/>
          <w:sz w:val="24"/>
        </w:rPr>
        <w:tab/>
      </w:r>
    </w:p>
    <w:p w:rsidR="00617484" w:rsidRDefault="00CA27BC">
      <w:pPr>
        <w:tabs>
          <w:tab w:val="left" w:pos="600"/>
          <w:tab w:val="right" w:pos="8778"/>
        </w:tabs>
        <w:spacing w:before="240"/>
        <w:ind w:left="600"/>
      </w:pPr>
      <w:r>
        <w:rPr>
          <w:rFonts w:ascii="Calibri" w:eastAsia="Calibri" w:hAnsi="Calibri" w:cs="Calibri"/>
          <w:b/>
          <w:color w:val="0000FF"/>
          <w:u w:val="single"/>
        </w:rPr>
        <w:t>5.1&lt; Precondición 1 &gt;</w:t>
      </w:r>
      <w:hyperlink w:anchor="h.tyjcwt">
        <w:r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tyjcwt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6.</w:t>
        </w:r>
      </w:hyperlink>
      <w:hyperlink w:anchor="h.tyjcwt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Post-Condiciones</w:t>
        </w:r>
      </w:hyperlink>
      <w:hyperlink w:anchor="h.tyjcwt">
        <w:r w:rsidR="00CA27BC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240"/>
        <w:ind w:left="600"/>
      </w:pPr>
      <w:hyperlink w:anchor="h.tyjcwt">
        <w:r w:rsidR="00CA27BC">
          <w:rPr>
            <w:rFonts w:ascii="Calibri" w:eastAsia="Calibri" w:hAnsi="Calibri" w:cs="Calibri"/>
            <w:b/>
            <w:color w:val="0000FF"/>
            <w:u w:val="single"/>
          </w:rPr>
          <w:t>6.1&lt; Post-condición 1 &gt;</w:t>
        </w:r>
      </w:hyperlink>
      <w:hyperlink w:anchor="h.3dy6vkm">
        <w:r w:rsidR="00CA27BC"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3dy6vkm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7.</w:t>
        </w:r>
      </w:hyperlink>
      <w:hyperlink w:anchor="h.3dy6vkm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Puntos de Extensión</w:t>
        </w:r>
      </w:hyperlink>
      <w:r w:rsidR="00CA27BC">
        <w:rPr>
          <w:rFonts w:ascii="Cambria" w:eastAsia="Cambria" w:hAnsi="Cambria" w:cs="Cambria"/>
          <w:b/>
          <w:smallCaps/>
          <w:sz w:val="24"/>
        </w:rPr>
        <w:tab/>
      </w:r>
    </w:p>
    <w:p w:rsidR="00617484" w:rsidRDefault="00CA27BC">
      <w:pPr>
        <w:tabs>
          <w:tab w:val="left" w:pos="600"/>
          <w:tab w:val="right" w:pos="8778"/>
        </w:tabs>
        <w:spacing w:before="240"/>
        <w:ind w:left="600"/>
      </w:pPr>
      <w:r>
        <w:rPr>
          <w:rFonts w:ascii="Calibri" w:eastAsia="Calibri" w:hAnsi="Calibri" w:cs="Calibri"/>
          <w:b/>
          <w:color w:val="0000FF"/>
          <w:u w:val="single"/>
        </w:rPr>
        <w:t>7.1&lt;Nombre del Punto de Extensión&gt;</w:t>
      </w:r>
      <w:hyperlink w:anchor="h.1t3h5sf">
        <w:r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1t3h5sf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8.</w:t>
        </w:r>
      </w:hyperlink>
      <w:hyperlink w:anchor="h.1t3h5sf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Requerimientos Especiales</w:t>
        </w:r>
      </w:hyperlink>
      <w:hyperlink w:anchor="h.4d34og8">
        <w:r w:rsidR="00CA27BC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240"/>
        <w:ind w:left="600"/>
      </w:pPr>
      <w:hyperlink w:anchor="h.4d34og8">
        <w:r w:rsidR="00CA27BC">
          <w:rPr>
            <w:rFonts w:ascii="Calibri" w:eastAsia="Calibri" w:hAnsi="Calibri" w:cs="Calibri"/>
            <w:b/>
            <w:color w:val="0000FF"/>
            <w:u w:val="single"/>
          </w:rPr>
          <w:t>8.1&lt; Requerimiento Especial 1&gt;</w:t>
        </w:r>
      </w:hyperlink>
      <w:hyperlink w:anchor="h.2s8eyo1">
        <w:r w:rsidR="00CA27BC"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2s8eyo1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9.</w:t>
        </w:r>
      </w:hyperlink>
      <w:hyperlink w:anchor="h.2s8eyo1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Grafo – Escenarios</w:t>
        </w:r>
      </w:hyperlink>
      <w:hyperlink w:anchor="h.17dp8vu">
        <w:r w:rsidR="00CA27BC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360"/>
      </w:pPr>
      <w:hyperlink w:anchor="h.17dp8vu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10.</w:t>
        </w:r>
      </w:hyperlink>
      <w:hyperlink w:anchor="h.17dp8vu">
        <w:r w:rsidR="00CA27BC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CA27BC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Información Adicional</w:t>
        </w:r>
      </w:hyperlink>
      <w:hyperlink w:anchor="h.3rdcrjn">
        <w:r w:rsidR="00CA27BC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240"/>
        <w:ind w:left="600"/>
      </w:pPr>
      <w:hyperlink w:anchor="h.3rdcrjn">
        <w:r w:rsidR="00CA27BC">
          <w:rPr>
            <w:rFonts w:ascii="Calibri" w:eastAsia="Calibri" w:hAnsi="Calibri" w:cs="Calibri"/>
            <w:b/>
            <w:color w:val="0000FF"/>
            <w:u w:val="single"/>
          </w:rPr>
          <w:t>10.1Prototipo Visual</w:t>
        </w:r>
      </w:hyperlink>
      <w:hyperlink w:anchor="h.26in1rg">
        <w:r w:rsidR="00CA27BC"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240"/>
        <w:ind w:left="600"/>
      </w:pPr>
      <w:hyperlink w:anchor="h.26in1rg">
        <w:r w:rsidR="00CA27BC">
          <w:rPr>
            <w:rFonts w:ascii="Calibri" w:eastAsia="Calibri" w:hAnsi="Calibri" w:cs="Calibri"/>
            <w:b/>
            <w:color w:val="0000FF"/>
            <w:u w:val="single"/>
          </w:rPr>
          <w:t>10.2Información Complementaria</w:t>
        </w:r>
      </w:hyperlink>
      <w:hyperlink w:anchor="h.lnxbz9">
        <w:r w:rsidR="00CA27BC"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pPr>
        <w:tabs>
          <w:tab w:val="left" w:pos="600"/>
          <w:tab w:val="right" w:pos="8778"/>
        </w:tabs>
        <w:spacing w:before="240"/>
        <w:ind w:left="600"/>
      </w:pPr>
      <w:hyperlink w:anchor="h.lnxbz9">
        <w:r w:rsidR="00CA27BC">
          <w:rPr>
            <w:rFonts w:ascii="Calibri" w:eastAsia="Calibri" w:hAnsi="Calibri" w:cs="Calibri"/>
            <w:b/>
            <w:color w:val="0000FF"/>
            <w:u w:val="single"/>
          </w:rPr>
          <w:t>10.3Reglas de Negocio Aplicables</w:t>
        </w:r>
      </w:hyperlink>
      <w:hyperlink w:anchor="_Toc302769594">
        <w:r w:rsidR="00CA27BC">
          <w:rPr>
            <w:rFonts w:ascii="Calibri" w:eastAsia="Calibri" w:hAnsi="Calibri" w:cs="Calibri"/>
            <w:b/>
          </w:rPr>
          <w:tab/>
        </w:r>
      </w:hyperlink>
    </w:p>
    <w:p w:rsidR="00617484" w:rsidRDefault="006913A5">
      <w:hyperlink w:anchor="_Toc302769594"/>
    </w:p>
    <w:p w:rsidR="00617484" w:rsidRDefault="00CA27BC">
      <w:r>
        <w:br w:type="page"/>
      </w:r>
    </w:p>
    <w:p w:rsidR="00617484" w:rsidRDefault="00CA27BC">
      <w:pPr>
        <w:tabs>
          <w:tab w:val="right" w:pos="8789"/>
        </w:tabs>
        <w:jc w:val="center"/>
      </w:pPr>
      <w:r>
        <w:rPr>
          <w:rFonts w:ascii="Verdana" w:eastAsia="Verdana" w:hAnsi="Verdana" w:cs="Verdana"/>
          <w:b/>
          <w:sz w:val="28"/>
        </w:rPr>
        <w:lastRenderedPageBreak/>
        <w:t xml:space="preserve">Especificación del Caso de Uso: </w:t>
      </w:r>
      <w:r w:rsidR="00325F1C">
        <w:rPr>
          <w:rFonts w:ascii="Verdana" w:eastAsia="Verdana" w:hAnsi="Verdana" w:cs="Verdana"/>
          <w:b/>
          <w:sz w:val="28"/>
        </w:rPr>
        <w:t>Pagar Aporte</w:t>
      </w:r>
    </w:p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t>Descripción Breve</w:t>
      </w:r>
    </w:p>
    <w:p w:rsidR="00617484" w:rsidRDefault="00CA27BC">
      <w:pPr>
        <w:ind w:left="720"/>
        <w:jc w:val="both"/>
      </w:pPr>
      <w:bookmarkStart w:id="1" w:name="h.30j0zll" w:colFirst="0" w:colLast="0"/>
      <w:bookmarkEnd w:id="1"/>
      <w:r>
        <w:t xml:space="preserve">El caso de uso permite al Secretario Ordinario poder </w:t>
      </w:r>
      <w:r w:rsidR="00325F1C">
        <w:t>pagar los aportes de un socio.</w:t>
      </w:r>
    </w:p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Flujo Básico de Eventos</w:t>
      </w:r>
    </w:p>
    <w:p w:rsidR="00617484" w:rsidRDefault="00CA27BC">
      <w:pPr>
        <w:numPr>
          <w:ilvl w:val="0"/>
          <w:numId w:val="1"/>
        </w:numPr>
        <w:ind w:left="709" w:hanging="282"/>
        <w:jc w:val="both"/>
      </w:pPr>
      <w:r>
        <w:t xml:space="preserve">El caso de uso inicia cuando el Secretario Ordinario desea  </w:t>
      </w:r>
      <w:r w:rsidR="00325F1C">
        <w:t>pagar un aporte de un socio eligiendo desde el caso de uso gestionar socio</w:t>
      </w:r>
      <w:r>
        <w:t>.</w:t>
      </w:r>
    </w:p>
    <w:p w:rsidR="00617484" w:rsidRDefault="00325F1C" w:rsidP="00325F1C">
      <w:pPr>
        <w:numPr>
          <w:ilvl w:val="0"/>
          <w:numId w:val="1"/>
        </w:numPr>
        <w:ind w:left="709" w:hanging="282"/>
        <w:jc w:val="both"/>
      </w:pPr>
      <w:r>
        <w:t>El sistema muestra la pantalla lista con los datos del socio, y con los conceptos de aportes que debe pagar el socio.</w:t>
      </w:r>
    </w:p>
    <w:p w:rsidR="00325F1C" w:rsidRDefault="00325F1C" w:rsidP="00325F1C">
      <w:pPr>
        <w:numPr>
          <w:ilvl w:val="0"/>
          <w:numId w:val="1"/>
        </w:numPr>
        <w:ind w:left="709" w:hanging="282"/>
        <w:jc w:val="both"/>
      </w:pPr>
      <w:r>
        <w:t>El secretario ordinario elige los conceptos a pagar de aportes.</w:t>
      </w:r>
    </w:p>
    <w:p w:rsidR="00617484" w:rsidRDefault="00325F1C" w:rsidP="00325F1C">
      <w:pPr>
        <w:numPr>
          <w:ilvl w:val="0"/>
          <w:numId w:val="1"/>
        </w:numPr>
        <w:ind w:left="709" w:hanging="282"/>
        <w:jc w:val="both"/>
      </w:pPr>
      <w:r>
        <w:t>El sistema carga los conceptos de aportes en un detalle con el id, nombre, monto, mes, año del concepto de aporte.</w:t>
      </w:r>
    </w:p>
    <w:p w:rsidR="00617484" w:rsidRDefault="00CA27BC">
      <w:pPr>
        <w:numPr>
          <w:ilvl w:val="0"/>
          <w:numId w:val="1"/>
        </w:numPr>
        <w:ind w:left="709" w:hanging="282"/>
        <w:jc w:val="both"/>
      </w:pPr>
      <w:r>
        <w:t xml:space="preserve">El sistema muestra </w:t>
      </w:r>
      <w:r w:rsidR="00325F1C">
        <w:t>el total a pagar.</w:t>
      </w:r>
    </w:p>
    <w:p w:rsidR="00617484" w:rsidRDefault="00CA27BC">
      <w:pPr>
        <w:numPr>
          <w:ilvl w:val="0"/>
          <w:numId w:val="1"/>
        </w:numPr>
        <w:ind w:left="709" w:hanging="282"/>
        <w:jc w:val="both"/>
      </w:pPr>
      <w:r>
        <w:t xml:space="preserve">El Secretario de ordinario termina el flujo del caso de uso, cuando selecciona </w:t>
      </w:r>
      <w:r w:rsidR="00325F1C">
        <w:t>guardar</w:t>
      </w:r>
      <w:r>
        <w:t>.</w:t>
      </w:r>
    </w:p>
    <w:p w:rsidR="00617484" w:rsidRDefault="00617484"/>
    <w:p w:rsidR="00617484" w:rsidRDefault="00CA27BC" w:rsidP="00325F1C">
      <w:pPr>
        <w:numPr>
          <w:ilvl w:val="0"/>
          <w:numId w:val="4"/>
        </w:numPr>
        <w:spacing w:before="120" w:after="60"/>
        <w:ind w:left="720" w:hanging="719"/>
      </w:pPr>
      <w:bookmarkStart w:id="2" w:name="h.ag20zsrgjzam" w:colFirst="0" w:colLast="0"/>
      <w:bookmarkEnd w:id="2"/>
      <w:r>
        <w:rPr>
          <w:rFonts w:ascii="Verdana" w:eastAsia="Verdana" w:hAnsi="Verdana" w:cs="Verdana"/>
          <w:b/>
          <w:sz w:val="22"/>
        </w:rPr>
        <w:t>Flujos Alternativos:</w:t>
      </w:r>
      <w:bookmarkStart w:id="3" w:name="h.h2le5ag561h1" w:colFirst="0" w:colLast="0"/>
      <w:bookmarkEnd w:id="3"/>
    </w:p>
    <w:p w:rsidR="00617484" w:rsidRDefault="00CA27BC">
      <w:pPr>
        <w:spacing w:before="120" w:after="60"/>
      </w:pPr>
      <w:r>
        <w:tab/>
      </w:r>
      <w:r>
        <w:rPr>
          <w:rFonts w:ascii="Verdana" w:eastAsia="Verdana" w:hAnsi="Verdana" w:cs="Verdana"/>
          <w:b/>
          <w:sz w:val="22"/>
        </w:rPr>
        <w:t>Escenarios Claves:</w:t>
      </w:r>
    </w:p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bookmarkStart w:id="4" w:name="h.2et92p0" w:colFirst="0" w:colLast="0"/>
      <w:bookmarkEnd w:id="4"/>
      <w:r>
        <w:rPr>
          <w:rFonts w:ascii="Verdana" w:eastAsia="Verdana" w:hAnsi="Verdana" w:cs="Verdana"/>
          <w:b/>
          <w:sz w:val="22"/>
        </w:rPr>
        <w:t>Precondiciones</w:t>
      </w:r>
    </w:p>
    <w:p w:rsidR="00617484" w:rsidRDefault="00CA27BC">
      <w:pPr>
        <w:spacing w:before="120" w:after="60"/>
        <w:ind w:left="1276" w:hanging="566"/>
      </w:pPr>
      <w:r>
        <w:rPr>
          <w:rFonts w:ascii="Verdana" w:eastAsia="Verdana" w:hAnsi="Verdana" w:cs="Verdana"/>
          <w:b/>
        </w:rPr>
        <w:t>5.1. PREC 1: Usuario autenticado y autorizado.</w:t>
      </w:r>
    </w:p>
    <w:p w:rsidR="00617484" w:rsidRDefault="00CA27BC" w:rsidP="00325F1C">
      <w:pPr>
        <w:spacing w:before="120" w:after="60"/>
        <w:ind w:left="720"/>
        <w:jc w:val="both"/>
      </w:pPr>
      <w:r>
        <w:t xml:space="preserve">El secretario ordinario deberá encontrarse autentificado como tal y estar autorizado para realizar </w:t>
      </w:r>
      <w:r w:rsidR="00325F1C">
        <w:t>pago de aportes.</w:t>
      </w:r>
    </w:p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bookmarkStart w:id="5" w:name="h.tyjcwt" w:colFirst="0" w:colLast="0"/>
      <w:bookmarkEnd w:id="5"/>
      <w:r>
        <w:rPr>
          <w:rFonts w:ascii="Verdana" w:eastAsia="Verdana" w:hAnsi="Verdana" w:cs="Verdana"/>
          <w:b/>
          <w:sz w:val="22"/>
        </w:rPr>
        <w:t>Post-Condiciones</w:t>
      </w:r>
    </w:p>
    <w:p w:rsidR="00617484" w:rsidRDefault="00CA27BC">
      <w:pPr>
        <w:spacing w:before="120" w:after="60"/>
        <w:ind w:left="1276" w:hanging="566"/>
      </w:pPr>
      <w:r>
        <w:rPr>
          <w:rFonts w:ascii="Verdana" w:eastAsia="Verdana" w:hAnsi="Verdana" w:cs="Verdana"/>
          <w:b/>
        </w:rPr>
        <w:t xml:space="preserve">5.1. POSC 1: </w:t>
      </w:r>
      <w:r w:rsidR="00325F1C">
        <w:rPr>
          <w:rFonts w:ascii="Verdana" w:eastAsia="Verdana" w:hAnsi="Verdana" w:cs="Verdana"/>
          <w:b/>
        </w:rPr>
        <w:t>Se debe pagar aportes</w:t>
      </w:r>
      <w:r>
        <w:rPr>
          <w:rFonts w:ascii="Verdana" w:eastAsia="Verdana" w:hAnsi="Verdana" w:cs="Verdana"/>
          <w:b/>
        </w:rPr>
        <w:t>.</w:t>
      </w:r>
    </w:p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bookmarkStart w:id="6" w:name="h.3dy6vkm" w:colFirst="0" w:colLast="0"/>
      <w:bookmarkEnd w:id="6"/>
      <w:r>
        <w:rPr>
          <w:rFonts w:ascii="Verdana" w:eastAsia="Verdana" w:hAnsi="Verdana" w:cs="Verdana"/>
          <w:b/>
          <w:sz w:val="22"/>
        </w:rPr>
        <w:t>Puntos de Extensión</w:t>
      </w:r>
    </w:p>
    <w:p w:rsidR="00617484" w:rsidRDefault="00325F1C" w:rsidP="00325F1C">
      <w:pPr>
        <w:spacing w:before="120" w:after="60"/>
        <w:ind w:left="1276" w:hanging="566"/>
      </w:pPr>
      <w:r w:rsidRPr="00325F1C">
        <w:rPr>
          <w:rFonts w:ascii="Verdana" w:eastAsia="Verdana" w:hAnsi="Verdana" w:cs="Verdana"/>
        </w:rPr>
        <w:t>Este caso de uso no tiene puntos de extensión</w:t>
      </w:r>
      <w:r>
        <w:rPr>
          <w:rFonts w:ascii="Verdana" w:eastAsia="Verdana" w:hAnsi="Verdana" w:cs="Verdana"/>
          <w:b/>
        </w:rPr>
        <w:t>.</w:t>
      </w:r>
    </w:p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bookmarkStart w:id="7" w:name="h.1t3h5sf" w:colFirst="0" w:colLast="0"/>
      <w:bookmarkEnd w:id="7"/>
      <w:r>
        <w:rPr>
          <w:rFonts w:ascii="Verdana" w:eastAsia="Verdana" w:hAnsi="Verdana" w:cs="Verdana"/>
          <w:b/>
          <w:sz w:val="22"/>
        </w:rPr>
        <w:t>Requerimientos Especiales</w:t>
      </w:r>
    </w:p>
    <w:p w:rsidR="00617484" w:rsidRDefault="00CA27BC">
      <w:pPr>
        <w:spacing w:before="120" w:after="60"/>
        <w:ind w:left="1276" w:hanging="566"/>
      </w:pPr>
      <w:bookmarkStart w:id="8" w:name="h.4d34og8" w:colFirst="0" w:colLast="0"/>
      <w:bookmarkEnd w:id="8"/>
      <w:r>
        <w:rPr>
          <w:rFonts w:ascii="Verdana" w:eastAsia="Verdana" w:hAnsi="Verdana" w:cs="Verdana"/>
          <w:b/>
        </w:rPr>
        <w:t xml:space="preserve"> Requerimiento Especial 1</w:t>
      </w:r>
    </w:p>
    <w:p w:rsidR="00617484" w:rsidRDefault="00CA27BC">
      <w:pPr>
        <w:numPr>
          <w:ilvl w:val="0"/>
          <w:numId w:val="3"/>
        </w:numPr>
        <w:ind w:hanging="359"/>
        <w:contextualSpacing/>
      </w:pPr>
      <w:bookmarkStart w:id="9" w:name="h.trpg3k3ukvzw" w:colFirst="0" w:colLast="0"/>
      <w:bookmarkEnd w:id="9"/>
      <w:r>
        <w:rPr>
          <w:sz w:val="14"/>
        </w:rPr>
        <w:t xml:space="preserve"> </w:t>
      </w:r>
      <w:r>
        <w:t xml:space="preserve">El tiempo para que el sistema </w:t>
      </w:r>
      <w:r w:rsidR="00325F1C">
        <w:t>guarde el pago de aportes debe tardar menos de 3 segundos.</w:t>
      </w:r>
    </w:p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Grafo – Escenarios</w:t>
      </w:r>
    </w:p>
    <w:p w:rsidR="00617484" w:rsidRDefault="00617484"/>
    <w:p w:rsidR="00617484" w:rsidRDefault="00CA27BC">
      <w:pPr>
        <w:numPr>
          <w:ilvl w:val="0"/>
          <w:numId w:val="4"/>
        </w:numPr>
        <w:spacing w:before="120" w:after="60"/>
        <w:ind w:left="720" w:hanging="719"/>
      </w:pPr>
      <w:bookmarkStart w:id="10" w:name="h.17dp8vu" w:colFirst="0" w:colLast="0"/>
      <w:bookmarkEnd w:id="10"/>
      <w:r>
        <w:rPr>
          <w:rFonts w:ascii="Verdana" w:eastAsia="Verdana" w:hAnsi="Verdana" w:cs="Verdana"/>
          <w:b/>
          <w:sz w:val="22"/>
        </w:rPr>
        <w:t>Información Adicional</w:t>
      </w:r>
    </w:p>
    <w:p w:rsidR="00617484" w:rsidRDefault="00CA27BC">
      <w:pPr>
        <w:spacing w:before="120" w:after="60"/>
        <w:ind w:left="1276" w:hanging="566"/>
        <w:rPr>
          <w:rFonts w:ascii="Verdana" w:eastAsia="Verdana" w:hAnsi="Verdana" w:cs="Verdana"/>
          <w:b/>
        </w:rPr>
      </w:pPr>
      <w:bookmarkStart w:id="11" w:name="h.3rdcrjn" w:colFirst="0" w:colLast="0"/>
      <w:bookmarkEnd w:id="11"/>
      <w:r>
        <w:rPr>
          <w:rFonts w:ascii="Verdana" w:eastAsia="Verdana" w:hAnsi="Verdana" w:cs="Verdana"/>
          <w:b/>
        </w:rPr>
        <w:t>Prototipo Visual</w:t>
      </w:r>
      <w:r w:rsidR="00325F1C">
        <w:rPr>
          <w:rFonts w:ascii="Verdana" w:eastAsia="Verdana" w:hAnsi="Verdana" w:cs="Verdana"/>
          <w:b/>
        </w:rPr>
        <w:t>:</w:t>
      </w:r>
    </w:p>
    <w:p w:rsidR="00325F1C" w:rsidRDefault="00325F1C">
      <w:pPr>
        <w:spacing w:before="120" w:after="60"/>
        <w:ind w:left="1276" w:hanging="566"/>
      </w:pPr>
    </w:p>
    <w:p w:rsidR="00617484" w:rsidRDefault="00617484"/>
    <w:p w:rsidR="00617484" w:rsidRDefault="00617484"/>
    <w:p w:rsidR="00617484" w:rsidRDefault="00CA27BC">
      <w:pPr>
        <w:spacing w:before="120" w:after="60"/>
        <w:ind w:left="1276" w:hanging="566"/>
      </w:pPr>
      <w:bookmarkStart w:id="12" w:name="h.26in1rg" w:colFirst="0" w:colLast="0"/>
      <w:bookmarkEnd w:id="12"/>
      <w:r>
        <w:rPr>
          <w:rFonts w:ascii="Verdana" w:eastAsia="Verdana" w:hAnsi="Verdana" w:cs="Verdana"/>
          <w:b/>
        </w:rPr>
        <w:lastRenderedPageBreak/>
        <w:t>Información Compl</w:t>
      </w:r>
      <w:r w:rsidR="0099114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73660</wp:posOffset>
            </wp:positionV>
            <wp:extent cx="5580380" cy="4782185"/>
            <wp:effectExtent l="0" t="0" r="127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 w:cs="Verdana"/>
          <w:b/>
        </w:rPr>
        <w:t>ementaria</w:t>
      </w:r>
    </w:p>
    <w:p w:rsidR="00617484" w:rsidRDefault="00CA27BC">
      <w:pPr>
        <w:spacing w:before="120" w:after="60"/>
        <w:ind w:left="1276" w:hanging="566"/>
      </w:pPr>
      <w:bookmarkStart w:id="13" w:name="h.lnxbz9" w:colFirst="0" w:colLast="0"/>
      <w:bookmarkEnd w:id="13"/>
      <w:r>
        <w:rPr>
          <w:rFonts w:ascii="Verdana" w:eastAsia="Verdana" w:hAnsi="Verdana" w:cs="Verdana"/>
          <w:b/>
        </w:rPr>
        <w:t>Reglas de Negocio Aplicables</w:t>
      </w:r>
    </w:p>
    <w:p w:rsidR="00617484" w:rsidRDefault="00CA27BC">
      <w:r>
        <w:br w:type="page"/>
      </w:r>
    </w:p>
    <w:p w:rsidR="00617484" w:rsidRDefault="00617484"/>
    <w:p w:rsidR="00617484" w:rsidRDefault="00CA27BC">
      <w:pPr>
        <w:jc w:val="center"/>
      </w:pPr>
      <w:r>
        <w:rPr>
          <w:rFonts w:ascii="Arial" w:eastAsia="Arial" w:hAnsi="Arial" w:cs="Arial"/>
          <w:b/>
          <w:sz w:val="36"/>
        </w:rPr>
        <w:t>Historia de las Revisiones</w:t>
      </w:r>
    </w:p>
    <w:tbl>
      <w:tblPr>
        <w:tblW w:w="9504" w:type="dxa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CA27BC">
            <w:pPr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CA27BC">
            <w:pPr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CA27BC">
            <w:pPr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CA27BC">
            <w:pPr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CA27BC">
            <w:pPr>
              <w:spacing w:after="120"/>
            </w:pPr>
            <w:r>
              <w:t>17/09/2013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CA27BC">
            <w:pPr>
              <w:spacing w:after="120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CA27BC">
            <w:pPr>
              <w:spacing w:after="120"/>
            </w:pPr>
            <w:r>
              <w:t>Gestionar Socio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560ED0">
            <w:pPr>
              <w:spacing w:after="120"/>
            </w:pPr>
            <w:r>
              <w:t>Carmona Aquino, Kinverli</w:t>
            </w:r>
          </w:p>
        </w:tc>
      </w:tr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991146">
            <w:pPr>
              <w:spacing w:after="120"/>
            </w:pPr>
            <w:r>
              <w:t>29/10/13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991146">
            <w:pPr>
              <w:spacing w:after="120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991146">
            <w:pPr>
              <w:spacing w:after="120"/>
            </w:pPr>
            <w:r>
              <w:t>Implementación del flujo básico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991146">
            <w:pPr>
              <w:spacing w:after="120"/>
            </w:pPr>
            <w:r>
              <w:t>Carmona Aquino, Kinverli</w:t>
            </w:r>
          </w:p>
        </w:tc>
      </w:tr>
      <w:tr w:rsidR="00A67E5B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  <w:r>
              <w:t>20/04/14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  <w:r>
              <w:t xml:space="preserve">Actualización 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  <w:r>
              <w:t>Todo el grupo</w:t>
            </w:r>
          </w:p>
        </w:tc>
      </w:tr>
      <w:tr w:rsidR="00A67E5B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67E5B" w:rsidRDefault="00A67E5B" w:rsidP="00A67E5B">
            <w:pPr>
              <w:spacing w:after="120"/>
            </w:pPr>
          </w:p>
        </w:tc>
      </w:tr>
    </w:tbl>
    <w:p w:rsidR="00617484" w:rsidRDefault="00617484"/>
    <w:p w:rsidR="00617484" w:rsidRDefault="00617484"/>
    <w:p w:rsidR="00617484" w:rsidRDefault="00617484">
      <w:pPr>
        <w:tabs>
          <w:tab w:val="right" w:pos="8789"/>
        </w:tabs>
      </w:pPr>
    </w:p>
    <w:sectPr w:rsidR="006174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3A5" w:rsidRDefault="006913A5">
      <w:r>
        <w:separator/>
      </w:r>
    </w:p>
  </w:endnote>
  <w:endnote w:type="continuationSeparator" w:id="0">
    <w:p w:rsidR="006913A5" w:rsidRDefault="0069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E5B" w:rsidRDefault="00A67E5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484" w:rsidRDefault="00617484">
    <w:pPr>
      <w:spacing w:after="200" w:line="276" w:lineRule="auto"/>
    </w:pPr>
  </w:p>
  <w:tbl>
    <w:tblPr>
      <w:tblW w:w="9486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69"/>
      <w:gridCol w:w="3118"/>
      <w:gridCol w:w="2999"/>
    </w:tblGrid>
    <w:tr w:rsidR="00617484">
      <w:tc>
        <w:tcPr>
          <w:tcW w:w="336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CA27BC">
          <w:pPr>
            <w:ind w:right="360"/>
          </w:pPr>
          <w:r>
            <w:rPr>
              <w:rFonts w:ascii="Arial" w:eastAsia="Arial" w:hAnsi="Arial" w:cs="Arial"/>
              <w:sz w:val="18"/>
            </w:rPr>
            <w:t>Realizado por: &lt;Elaborado Por&gt;</w:t>
          </w:r>
        </w:p>
        <w:p w:rsidR="00617484" w:rsidRDefault="00CA27BC">
          <w:pPr>
            <w:ind w:right="360"/>
          </w:pPr>
          <w:r>
            <w:rPr>
              <w:rFonts w:ascii="Arial" w:eastAsia="Arial" w:hAnsi="Arial" w:cs="Arial"/>
              <w:sz w:val="18"/>
            </w:rPr>
            <w:t>Revisado por: &lt;Revisado Por&gt;</w:t>
          </w:r>
        </w:p>
        <w:p w:rsidR="00617484" w:rsidRDefault="00CA27BC">
          <w:pPr>
            <w:ind w:right="360"/>
          </w:pPr>
          <w:r>
            <w:rPr>
              <w:rFonts w:ascii="Arial" w:eastAsia="Arial" w:hAnsi="Arial" w:cs="Arial"/>
              <w:sz w:val="18"/>
            </w:rPr>
            <w:t>Aprobado por: &lt;Aprobado Por&gt;</w:t>
          </w:r>
        </w:p>
      </w:tc>
      <w:tc>
        <w:tcPr>
          <w:tcW w:w="3118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617484" w:rsidRDefault="00A67E5B">
          <w:pPr>
            <w:jc w:val="center"/>
          </w:pPr>
          <w:r w:rsidRPr="00A67E5B">
            <w:rPr>
              <w:noProof/>
            </w:rPr>
            <w:drawing>
              <wp:inline distT="0" distB="0" distL="0" distR="0" wp14:anchorId="636A2B14" wp14:editId="7B039B51">
                <wp:extent cx="1381125" cy="371420"/>
                <wp:effectExtent l="0" t="0" r="0" b="0"/>
                <wp:docPr id="3" name="Imagen 3" descr="C:\Users\Kimi\Desktop\nuevoLogoU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Kimi\Desktop\nuevoLogoU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545" cy="38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CA27BC">
          <w:pPr>
            <w:jc w:val="right"/>
          </w:pPr>
          <w:r>
            <w:rPr>
              <w:rFonts w:ascii="Arial" w:eastAsia="Arial" w:hAnsi="Arial" w:cs="Arial"/>
              <w:sz w:val="18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67E5B">
            <w:rPr>
              <w:noProof/>
            </w:rPr>
            <w:t>4</w:t>
          </w:r>
          <w:r>
            <w:fldChar w:fldCharType="end"/>
          </w:r>
          <w:r>
            <w:rPr>
              <w:rFonts w:ascii="Arial" w:eastAsia="Arial" w:hAnsi="Arial" w:cs="Arial"/>
              <w:sz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67E5B">
            <w:rPr>
              <w:noProof/>
            </w:rPr>
            <w:t>5</w:t>
          </w:r>
          <w:r>
            <w:fldChar w:fldCharType="end"/>
          </w:r>
        </w:p>
      </w:tc>
    </w:tr>
  </w:tbl>
  <w:p w:rsidR="00617484" w:rsidRDefault="00617484">
    <w:pPr>
      <w:tabs>
        <w:tab w:val="center" w:pos="4320"/>
        <w:tab w:val="right" w:pos="8640"/>
      </w:tabs>
    </w:pPr>
    <w:bookmarkStart w:id="14" w:name="_GoBack"/>
    <w:bookmarkEnd w:id="14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E5B" w:rsidRDefault="00A67E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3A5" w:rsidRDefault="006913A5">
      <w:r>
        <w:separator/>
      </w:r>
    </w:p>
  </w:footnote>
  <w:footnote w:type="continuationSeparator" w:id="0">
    <w:p w:rsidR="006913A5" w:rsidRDefault="00691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E5B" w:rsidRDefault="00A67E5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484" w:rsidRDefault="00617484">
    <w:pPr>
      <w:spacing w:after="200" w:line="276" w:lineRule="auto"/>
    </w:pPr>
  </w:p>
  <w:tbl>
    <w:tblPr>
      <w:tblW w:w="9039" w:type="dxa"/>
      <w:tblInd w:w="10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2660"/>
    </w:tblGrid>
    <w:tr w:rsidR="00617484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CA27BC">
          <w:r>
            <w:t>Sistema de Gestión SAMOC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A67E5B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1.2</w:t>
          </w:r>
        </w:p>
      </w:tc>
    </w:tr>
    <w:tr w:rsidR="00617484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CA27BC" w:rsidP="00325F1C">
          <w:r>
            <w:t xml:space="preserve">Especificación de Caso de Uso: </w:t>
          </w:r>
          <w:r w:rsidR="00325F1C">
            <w:t>Pagar Aportes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A67E5B" w:rsidRDefault="00A67E5B" w:rsidP="00991146">
          <w:r>
            <w:t xml:space="preserve">  Fecha:  20/04/2014</w:t>
          </w:r>
        </w:p>
      </w:tc>
    </w:tr>
    <w:tr w:rsidR="00617484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CA27BC">
          <w:r>
            <w:t>Especificación de Caso de Uso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617484">
          <w:pPr>
            <w:spacing w:after="200" w:line="276" w:lineRule="auto"/>
          </w:pPr>
        </w:p>
      </w:tc>
    </w:tr>
  </w:tbl>
  <w:p w:rsidR="00617484" w:rsidRDefault="00617484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E5B" w:rsidRDefault="00A67E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BAB"/>
    <w:multiLevelType w:val="multilevel"/>
    <w:tmpl w:val="D8664F0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660499D"/>
    <w:multiLevelType w:val="multilevel"/>
    <w:tmpl w:val="8244E40A"/>
    <w:lvl w:ilvl="0">
      <w:start w:val="1"/>
      <w:numFmt w:val="bullet"/>
      <w:lvlText w:val="✓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">
    <w:nsid w:val="09790FD6"/>
    <w:multiLevelType w:val="multilevel"/>
    <w:tmpl w:val="760C22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E354255"/>
    <w:multiLevelType w:val="multilevel"/>
    <w:tmpl w:val="026E9F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4F437FC5"/>
    <w:multiLevelType w:val="multilevel"/>
    <w:tmpl w:val="EE223A8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17484"/>
    <w:rsid w:val="00226AD2"/>
    <w:rsid w:val="00325F1C"/>
    <w:rsid w:val="00560ED0"/>
    <w:rsid w:val="00617484"/>
    <w:rsid w:val="006913A5"/>
    <w:rsid w:val="00991146"/>
    <w:rsid w:val="00A67E5B"/>
    <w:rsid w:val="00BB743E"/>
    <w:rsid w:val="00C04958"/>
    <w:rsid w:val="00CA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52B68A-A9FB-4EBF-9E67-62575849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Verdana" w:eastAsia="Verdana" w:hAnsi="Verdana" w:cs="Verdana"/>
      <w:b/>
      <w:sz w:val="22"/>
    </w:rPr>
  </w:style>
  <w:style w:type="paragraph" w:styleId="Ttulo2">
    <w:name w:val="heading 2"/>
    <w:basedOn w:val="Normal"/>
    <w:next w:val="Normal"/>
    <w:pPr>
      <w:spacing w:before="120" w:after="60"/>
      <w:ind w:left="1276" w:hanging="566"/>
      <w:outlineLvl w:val="1"/>
    </w:pPr>
    <w:rPr>
      <w:rFonts w:ascii="Verdana" w:eastAsia="Verdana" w:hAnsi="Verdana" w:cs="Verdana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Verdana" w:eastAsia="Verdana" w:hAnsi="Verdana" w:cs="Verdana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Verdana" w:eastAsia="Verdana" w:hAnsi="Verdana" w:cs="Verdana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E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ED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F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5F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25F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F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 - Gestionar  Socio.docx</vt:lpstr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 - Gestionar  Socio.docx</dc:title>
  <dc:creator>yasmin</dc:creator>
  <cp:lastModifiedBy>Kimi</cp:lastModifiedBy>
  <cp:revision>5</cp:revision>
  <dcterms:created xsi:type="dcterms:W3CDTF">2013-10-15T14:26:00Z</dcterms:created>
  <dcterms:modified xsi:type="dcterms:W3CDTF">2014-04-20T05:04:00Z</dcterms:modified>
</cp:coreProperties>
</file>