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CDA5" w14:textId="76A25988" w:rsidR="00181C76" w:rsidRDefault="0095661B" w:rsidP="0095661B">
      <w:pPr>
        <w:jc w:val="center"/>
        <w:rPr>
          <w:rFonts w:asciiTheme="majorHAnsi" w:hAnsiTheme="majorHAnsi"/>
          <w:b/>
          <w:bCs/>
          <w:sz w:val="40"/>
          <w:szCs w:val="40"/>
          <w:lang w:val="en-US"/>
        </w:rPr>
      </w:pPr>
      <w:r w:rsidRPr="0095661B">
        <w:rPr>
          <w:rFonts w:asciiTheme="majorHAnsi" w:hAnsiTheme="majorHAnsi"/>
          <w:b/>
          <w:bCs/>
          <w:sz w:val="40"/>
          <w:szCs w:val="40"/>
          <w:lang w:val="en-US"/>
        </w:rPr>
        <w:t>Phase 5: Deployment, Documentation, and Final Representation</w:t>
      </w:r>
    </w:p>
    <w:p w14:paraId="4B288582" w14:textId="77777777" w:rsidR="0095661B" w:rsidRPr="0095661B" w:rsidRDefault="0095661B" w:rsidP="0095661B">
      <w:pPr>
        <w:jc w:val="center"/>
        <w:rPr>
          <w:rFonts w:asciiTheme="majorHAnsi" w:hAnsiTheme="majorHAnsi"/>
          <w:b/>
          <w:bCs/>
          <w:sz w:val="40"/>
          <w:szCs w:val="40"/>
          <w:lang w:val="en-US"/>
        </w:rPr>
      </w:pPr>
    </w:p>
    <w:p w14:paraId="62152EB0" w14:textId="77777777" w:rsidR="0095661B" w:rsidRDefault="0095661B" w:rsidP="0095661B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95661B">
        <w:rPr>
          <w:rFonts w:asciiTheme="majorHAnsi" w:hAnsiTheme="majorHAnsi"/>
          <w:b/>
          <w:bCs/>
          <w:sz w:val="40"/>
          <w:szCs w:val="40"/>
        </w:rPr>
        <w:t xml:space="preserve">Scalability &amp; </w:t>
      </w:r>
      <w:proofErr w:type="gramStart"/>
      <w:r w:rsidRPr="0095661B">
        <w:rPr>
          <w:rFonts w:asciiTheme="majorHAnsi" w:hAnsiTheme="majorHAnsi"/>
          <w:b/>
          <w:bCs/>
          <w:sz w:val="40"/>
          <w:szCs w:val="40"/>
        </w:rPr>
        <w:t>Future Plan</w:t>
      </w:r>
      <w:proofErr w:type="gramEnd"/>
    </w:p>
    <w:p w14:paraId="73247C90" w14:textId="77777777" w:rsidR="0095661B" w:rsidRPr="0095661B" w:rsidRDefault="0095661B" w:rsidP="0095661B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61AD0102" w14:textId="77777777" w:rsidR="0095661B" w:rsidRPr="0095661B" w:rsidRDefault="0095661B" w:rsidP="0095661B">
      <w:pPr>
        <w:rPr>
          <w:rFonts w:asciiTheme="majorHAnsi" w:hAnsiTheme="majorHAnsi"/>
          <w:b/>
          <w:bCs/>
          <w:sz w:val="28"/>
          <w:szCs w:val="28"/>
        </w:rPr>
      </w:pPr>
      <w:r w:rsidRPr="0095661B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450C9938" w14:textId="701D5083" w:rsidR="0095661B" w:rsidRPr="0095661B" w:rsidRDefault="0095661B" w:rsidP="0095661B">
      <w:pPr>
        <w:ind w:firstLine="851"/>
        <w:jc w:val="both"/>
        <w:rPr>
          <w:rFonts w:asciiTheme="majorHAnsi" w:hAnsiTheme="majorHAnsi"/>
          <w:sz w:val="28"/>
          <w:szCs w:val="28"/>
        </w:rPr>
      </w:pPr>
      <w:r w:rsidRPr="0095661B">
        <w:rPr>
          <w:rFonts w:asciiTheme="majorHAnsi" w:hAnsiTheme="majorHAnsi"/>
          <w:sz w:val="28"/>
          <w:szCs w:val="28"/>
        </w:rPr>
        <w:t xml:space="preserve">The solution is designed with scalability in mind, allowing seamless expansion as organizational needs grow. Future enhancements include auto-provisioning of network services through integrations with external network management tools such as Cisco DNA </w:t>
      </w:r>
      <w:r>
        <w:rPr>
          <w:rFonts w:asciiTheme="majorHAnsi" w:hAnsiTheme="majorHAnsi"/>
          <w:sz w:val="28"/>
          <w:szCs w:val="28"/>
        </w:rPr>
        <w:t>Centre</w:t>
      </w:r>
      <w:r w:rsidRPr="0095661B">
        <w:rPr>
          <w:rFonts w:asciiTheme="majorHAnsi" w:hAnsiTheme="majorHAnsi"/>
          <w:sz w:val="28"/>
          <w:szCs w:val="28"/>
        </w:rPr>
        <w:t xml:space="preserve"> and Ansible, enabling end-to-end automation beyond ServiceNow.</w:t>
      </w:r>
    </w:p>
    <w:p w14:paraId="0F5EDDFA" w14:textId="3C871A03" w:rsidR="0095661B" w:rsidRPr="0095661B" w:rsidRDefault="0095661B" w:rsidP="0095661B">
      <w:pPr>
        <w:ind w:firstLine="851"/>
        <w:jc w:val="both"/>
        <w:rPr>
          <w:rFonts w:asciiTheme="majorHAnsi" w:hAnsiTheme="majorHAnsi"/>
          <w:sz w:val="28"/>
          <w:szCs w:val="28"/>
        </w:rPr>
      </w:pPr>
      <w:r w:rsidRPr="0095661B">
        <w:rPr>
          <w:rFonts w:asciiTheme="majorHAnsi" w:hAnsiTheme="majorHAnsi"/>
          <w:sz w:val="28"/>
          <w:szCs w:val="28"/>
        </w:rPr>
        <w:t xml:space="preserve">Additionally, the use of ServiceNow Integration Hub can support advanced orchestration workflows across multiple IT systems. Planned enhancements also include reporting and analytics dashboards to track request volumes, approval efficiency, and </w:t>
      </w:r>
      <w:r>
        <w:rPr>
          <w:rFonts w:asciiTheme="majorHAnsi" w:hAnsiTheme="majorHAnsi"/>
          <w:sz w:val="28"/>
          <w:szCs w:val="28"/>
        </w:rPr>
        <w:t>fulfilment</w:t>
      </w:r>
      <w:r w:rsidRPr="0095661B">
        <w:rPr>
          <w:rFonts w:asciiTheme="majorHAnsi" w:hAnsiTheme="majorHAnsi"/>
          <w:sz w:val="28"/>
          <w:szCs w:val="28"/>
        </w:rPr>
        <w:t xml:space="preserve"> performance. The architecture can be easily extended to support other IT service requests</w:t>
      </w:r>
      <w:r>
        <w:rPr>
          <w:rFonts w:asciiTheme="majorHAnsi" w:hAnsiTheme="majorHAnsi"/>
          <w:sz w:val="28"/>
          <w:szCs w:val="28"/>
        </w:rPr>
        <w:t>,</w:t>
      </w:r>
      <w:r w:rsidRPr="0095661B">
        <w:rPr>
          <w:rFonts w:asciiTheme="majorHAnsi" w:hAnsiTheme="majorHAnsi"/>
          <w:sz w:val="28"/>
          <w:szCs w:val="28"/>
        </w:rPr>
        <w:t xml:space="preserve"> such as device provisioning, access management, and infrastructure services, making the solution adaptable and </w:t>
      </w:r>
      <w:r>
        <w:rPr>
          <w:rFonts w:asciiTheme="majorHAnsi" w:hAnsiTheme="majorHAnsi"/>
          <w:sz w:val="28"/>
          <w:szCs w:val="28"/>
        </w:rPr>
        <w:t>future-ready</w:t>
      </w:r>
      <w:r w:rsidRPr="0095661B">
        <w:rPr>
          <w:rFonts w:asciiTheme="majorHAnsi" w:hAnsiTheme="majorHAnsi"/>
          <w:sz w:val="28"/>
          <w:szCs w:val="28"/>
        </w:rPr>
        <w:t>.</w:t>
      </w:r>
    </w:p>
    <w:p w14:paraId="52F9CEDE" w14:textId="77777777" w:rsidR="0095661B" w:rsidRPr="0095661B" w:rsidRDefault="0095661B">
      <w:pPr>
        <w:rPr>
          <w:lang w:val="en-US"/>
        </w:rPr>
      </w:pPr>
    </w:p>
    <w:sectPr w:rsidR="0095661B" w:rsidRPr="00956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1B"/>
    <w:rsid w:val="00000717"/>
    <w:rsid w:val="00181C76"/>
    <w:rsid w:val="0095661B"/>
    <w:rsid w:val="00962390"/>
    <w:rsid w:val="00A036DA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6F851"/>
  <w15:chartTrackingRefBased/>
  <w15:docId w15:val="{40A2345A-B150-49C7-A8A1-92A57230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2025-12-24T16:56:00Z</dcterms:created>
  <dcterms:modified xsi:type="dcterms:W3CDTF">2025-12-24T16:58:00Z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3f001c0e-9edb-488b-83fd-448aeec8bd22</vt:lpwstr>
  </property>
</Properties>
</file>