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A22F" w14:textId="0E3DC1B8" w:rsidR="00BB0457" w:rsidRPr="00BB0457" w:rsidRDefault="00BB0457" w:rsidP="00BB0457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BB0457">
        <w:rPr>
          <w:rFonts w:asciiTheme="majorHAnsi" w:hAnsiTheme="majorHAnsi"/>
          <w:b/>
          <w:bCs/>
          <w:sz w:val="40"/>
          <w:szCs w:val="40"/>
        </w:rPr>
        <w:t>Phase 4: Data Migration, Testing and Security Description</w:t>
      </w:r>
    </w:p>
    <w:p w14:paraId="306171EB" w14:textId="7BC45909" w:rsidR="00BB0457" w:rsidRDefault="00BB0457" w:rsidP="00BB0457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BB0457">
        <w:rPr>
          <w:rFonts w:asciiTheme="majorHAnsi" w:hAnsiTheme="majorHAnsi"/>
          <w:b/>
          <w:bCs/>
          <w:sz w:val="40"/>
          <w:szCs w:val="40"/>
        </w:rPr>
        <w:t>Access Control</w:t>
      </w:r>
    </w:p>
    <w:p w14:paraId="5DE5D52B" w14:textId="77777777" w:rsidR="00BB0457" w:rsidRPr="00BB0457" w:rsidRDefault="00BB0457" w:rsidP="00BB0457">
      <w:pPr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255C18BE" w14:textId="77777777" w:rsidR="00BB0457" w:rsidRPr="00BB0457" w:rsidRDefault="00BB0457" w:rsidP="00BB0457">
      <w:pPr>
        <w:rPr>
          <w:rFonts w:asciiTheme="majorHAnsi" w:hAnsiTheme="majorHAnsi"/>
          <w:b/>
          <w:bCs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592DF8BB" w14:textId="447C5B03" w:rsidR="00BB0457" w:rsidRDefault="00BB0457" w:rsidP="00BB0457">
      <w:pPr>
        <w:ind w:firstLine="851"/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While creating the custom table u_network_database, ServiceNow automatically generates four default Access Control Rules (ACLs).</w:t>
      </w:r>
      <w:r w:rsidRPr="00BB0457">
        <w:rPr>
          <w:rFonts w:asciiTheme="majorHAnsi" w:hAnsiTheme="majorHAnsi"/>
          <w:sz w:val="28"/>
          <w:szCs w:val="28"/>
        </w:rPr>
        <w:br/>
        <w:t xml:space="preserve">In this implementation, the default ACLs were </w:t>
      </w:r>
      <w:r>
        <w:rPr>
          <w:rFonts w:asciiTheme="majorHAnsi" w:hAnsiTheme="majorHAnsi"/>
          <w:sz w:val="28"/>
          <w:szCs w:val="28"/>
        </w:rPr>
        <w:t>utilised</w:t>
      </w:r>
      <w:r w:rsidRPr="00BB0457">
        <w:rPr>
          <w:rFonts w:asciiTheme="majorHAnsi" w:hAnsiTheme="majorHAnsi"/>
          <w:sz w:val="28"/>
          <w:szCs w:val="28"/>
        </w:rPr>
        <w:t xml:space="preserve"> without creating additional custom rules.</w:t>
      </w:r>
    </w:p>
    <w:p w14:paraId="3BE6E29A" w14:textId="77777777" w:rsidR="00BB0457" w:rsidRPr="00BB0457" w:rsidRDefault="00BB0457" w:rsidP="00BB0457">
      <w:pPr>
        <w:ind w:firstLine="851"/>
        <w:jc w:val="both"/>
        <w:rPr>
          <w:rFonts w:asciiTheme="majorHAnsi" w:hAnsiTheme="majorHAnsi"/>
          <w:sz w:val="28"/>
          <w:szCs w:val="28"/>
        </w:rPr>
      </w:pPr>
    </w:p>
    <w:p w14:paraId="53ABF141" w14:textId="77777777" w:rsidR="00BB0457" w:rsidRPr="00BB0457" w:rsidRDefault="00BB0457" w:rsidP="00BB0457">
      <w:p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Access Control Rules (ACLs) are configured to:</w:t>
      </w:r>
    </w:p>
    <w:p w14:paraId="065323DB" w14:textId="77777777" w:rsidR="00BB0457" w:rsidRPr="00BB0457" w:rsidRDefault="00BB0457" w:rsidP="00BB0457">
      <w:pPr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Restrict read and write access to sensitive fields</w:t>
      </w:r>
    </w:p>
    <w:p w14:paraId="3E9348D9" w14:textId="77777777" w:rsidR="00BB0457" w:rsidRPr="00BB0457" w:rsidRDefault="00BB0457" w:rsidP="00BB0457">
      <w:pPr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Enforce role-based access across users</w:t>
      </w:r>
    </w:p>
    <w:p w14:paraId="335E80D4" w14:textId="77777777" w:rsidR="00BB0457" w:rsidRPr="00BB0457" w:rsidRDefault="00BB0457" w:rsidP="00BB0457">
      <w:pPr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Protect request data from unauthorized access</w:t>
      </w:r>
    </w:p>
    <w:p w14:paraId="4B81103E" w14:textId="77777777" w:rsidR="00BB0457" w:rsidRPr="00BB0457" w:rsidRDefault="00BB0457" w:rsidP="00BB0457">
      <w:p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This ensures data security while maintaining system simplicity.</w:t>
      </w:r>
    </w:p>
    <w:p w14:paraId="31590273" w14:textId="2DC08849" w:rsidR="00BB0457" w:rsidRPr="00BB0457" w:rsidRDefault="00BB0457" w:rsidP="00BB0457">
      <w:pPr>
        <w:rPr>
          <w:rFonts w:asciiTheme="majorHAnsi" w:hAnsiTheme="majorHAnsi"/>
          <w:sz w:val="28"/>
          <w:szCs w:val="28"/>
        </w:rPr>
      </w:pPr>
    </w:p>
    <w:p w14:paraId="3EBFCD25" w14:textId="77777777" w:rsidR="00BB0457" w:rsidRPr="00BB0457" w:rsidRDefault="00BB0457" w:rsidP="00BB0457">
      <w:pPr>
        <w:rPr>
          <w:rFonts w:asciiTheme="majorHAnsi" w:hAnsiTheme="majorHAnsi"/>
          <w:b/>
          <w:bCs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Dynamic Approver Assignment via Flow Designer</w:t>
      </w:r>
    </w:p>
    <w:p w14:paraId="5F2DD656" w14:textId="77777777" w:rsidR="00BB0457" w:rsidRPr="00BB0457" w:rsidRDefault="00BB0457" w:rsidP="00BB0457">
      <w:pPr>
        <w:rPr>
          <w:rFonts w:asciiTheme="majorHAnsi" w:hAnsiTheme="majorHAnsi"/>
          <w:b/>
          <w:bCs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7C848F89" w14:textId="238FF222" w:rsidR="00BB0457" w:rsidRPr="00BB0457" w:rsidRDefault="00BB0457" w:rsidP="00BB0457">
      <w:pPr>
        <w:ind w:firstLine="851"/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 xml:space="preserve">Dynamic approvals are implemented using Flow Designer to automatically determine the appropriate approver based on </w:t>
      </w:r>
      <w:r>
        <w:rPr>
          <w:rFonts w:asciiTheme="majorHAnsi" w:hAnsiTheme="majorHAnsi"/>
          <w:sz w:val="28"/>
          <w:szCs w:val="28"/>
        </w:rPr>
        <w:t xml:space="preserve">the </w:t>
      </w:r>
      <w:r w:rsidRPr="00BB0457">
        <w:rPr>
          <w:rFonts w:asciiTheme="majorHAnsi" w:hAnsiTheme="majorHAnsi"/>
          <w:sz w:val="28"/>
          <w:szCs w:val="28"/>
        </w:rPr>
        <w:t>request context.</w:t>
      </w:r>
    </w:p>
    <w:p w14:paraId="04836300" w14:textId="77777777" w:rsidR="00BB0457" w:rsidRPr="00BB0457" w:rsidRDefault="00BB0457" w:rsidP="00BB0457">
      <w:p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The approval logic dynamically assigns approvers based on:</w:t>
      </w:r>
    </w:p>
    <w:p w14:paraId="3F799D97" w14:textId="77777777" w:rsidR="00BB0457" w:rsidRPr="00BB0457" w:rsidRDefault="00BB0457" w:rsidP="00BB0457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Requester’s Department</w:t>
      </w:r>
      <w:r w:rsidRPr="00BB0457">
        <w:rPr>
          <w:rFonts w:asciiTheme="majorHAnsi" w:hAnsiTheme="majorHAnsi"/>
          <w:sz w:val="28"/>
          <w:szCs w:val="28"/>
        </w:rPr>
        <w:br/>
        <w:t>→ Network Group Manager receives the approval</w:t>
      </w:r>
    </w:p>
    <w:p w14:paraId="379F723D" w14:textId="77777777" w:rsidR="00BB0457" w:rsidRPr="00BB0457" w:rsidRDefault="00BB0457" w:rsidP="00BB0457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Approval State Validation</w:t>
      </w:r>
      <w:r w:rsidRPr="00BB0457">
        <w:rPr>
          <w:rFonts w:asciiTheme="majorHAnsi" w:hAnsiTheme="majorHAnsi"/>
          <w:sz w:val="28"/>
          <w:szCs w:val="28"/>
        </w:rPr>
        <w:br/>
        <w:t>→ Workflow proceeds only when the request is approved</w:t>
      </w:r>
    </w:p>
    <w:p w14:paraId="7AEE5377" w14:textId="77777777" w:rsidR="00BB0457" w:rsidRPr="00BB0457" w:rsidRDefault="00BB0457" w:rsidP="00BB0457">
      <w:pPr>
        <w:ind w:firstLine="851"/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This approach eliminates hard-coded approvals and supports scalable governance.</w:t>
      </w:r>
    </w:p>
    <w:p w14:paraId="2404FD1C" w14:textId="6800C320" w:rsidR="00BB0457" w:rsidRPr="00BB0457" w:rsidRDefault="00BB0457" w:rsidP="00BB0457">
      <w:pPr>
        <w:rPr>
          <w:rFonts w:asciiTheme="majorHAnsi" w:hAnsiTheme="majorHAnsi"/>
          <w:sz w:val="28"/>
          <w:szCs w:val="28"/>
        </w:rPr>
      </w:pPr>
    </w:p>
    <w:p w14:paraId="6E6EDED4" w14:textId="77777777" w:rsidR="00BB0457" w:rsidRPr="00BB0457" w:rsidRDefault="00BB0457" w:rsidP="00BB0457">
      <w:pPr>
        <w:rPr>
          <w:rFonts w:asciiTheme="majorHAnsi" w:hAnsiTheme="majorHAnsi"/>
          <w:b/>
          <w:bCs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lastRenderedPageBreak/>
        <w:t>Approval Configuration Process</w:t>
      </w:r>
    </w:p>
    <w:p w14:paraId="2E676C0B" w14:textId="77777777" w:rsidR="00BB0457" w:rsidRPr="00BB0457" w:rsidRDefault="00BB0457" w:rsidP="00BB0457">
      <w:pPr>
        <w:rPr>
          <w:rFonts w:asciiTheme="majorHAnsi" w:hAnsiTheme="majorHAnsi"/>
          <w:b/>
          <w:bCs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Step-by-Step Flow Logic</w:t>
      </w:r>
    </w:p>
    <w:p w14:paraId="50A8B3BE" w14:textId="77777777" w:rsidR="00BB0457" w:rsidRPr="00BB0457" w:rsidRDefault="00BB0457" w:rsidP="00BB0457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Create a Flow</w:t>
      </w:r>
    </w:p>
    <w:p w14:paraId="73046061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Navigate to Flow Designer</w:t>
      </w:r>
    </w:p>
    <w:p w14:paraId="09F259B6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Create a new flow with an appropriate trigger</w:t>
      </w:r>
    </w:p>
    <w:p w14:paraId="316840F5" w14:textId="77777777" w:rsidR="00BB0457" w:rsidRPr="00BB0457" w:rsidRDefault="00BB0457" w:rsidP="00BB0457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Configure Trigger</w:t>
      </w:r>
    </w:p>
    <w:p w14:paraId="0790C66F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Trigger based on Service Catalog request submission</w:t>
      </w:r>
    </w:p>
    <w:p w14:paraId="5819321E" w14:textId="77777777" w:rsidR="00BB0457" w:rsidRPr="00BB0457" w:rsidRDefault="00BB0457" w:rsidP="00BB0457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Ask for Approval Action</w:t>
      </w:r>
    </w:p>
    <w:p w14:paraId="59A47FAA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Add Ask for Approval action</w:t>
      </w:r>
    </w:p>
    <w:p w14:paraId="16C283A3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Select approver:</w:t>
      </w:r>
    </w:p>
    <w:p w14:paraId="3F40C6C0" w14:textId="77777777" w:rsidR="00BB0457" w:rsidRPr="00BB0457" w:rsidRDefault="00BB0457" w:rsidP="00BB0457">
      <w:pPr>
        <w:numPr>
          <w:ilvl w:val="2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Dynamic group or manager (based on requester attributes)</w:t>
      </w:r>
    </w:p>
    <w:p w14:paraId="331598FB" w14:textId="2B15917A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 xml:space="preserve">Define approval reason and </w:t>
      </w:r>
      <w:r w:rsidRPr="00BB0457">
        <w:rPr>
          <w:rFonts w:asciiTheme="majorHAnsi" w:hAnsiTheme="majorHAnsi"/>
          <w:sz w:val="28"/>
          <w:szCs w:val="28"/>
        </w:rPr>
        <w:t>behaviour</w:t>
      </w:r>
    </w:p>
    <w:p w14:paraId="5E9A97DE" w14:textId="77777777" w:rsidR="00BB0457" w:rsidRPr="00BB0457" w:rsidRDefault="00BB0457" w:rsidP="00BB0457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Flow Logic – If Condition</w:t>
      </w:r>
    </w:p>
    <w:p w14:paraId="6BC112D0" w14:textId="1B72CE1C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 xml:space="preserve">Add </w:t>
      </w:r>
      <w:r>
        <w:rPr>
          <w:rFonts w:asciiTheme="majorHAnsi" w:hAnsiTheme="majorHAnsi"/>
          <w:sz w:val="28"/>
          <w:szCs w:val="28"/>
        </w:rPr>
        <w:t xml:space="preserve">an </w:t>
      </w:r>
      <w:r w:rsidRPr="00BB0457">
        <w:rPr>
          <w:rFonts w:asciiTheme="majorHAnsi" w:hAnsiTheme="majorHAnsi"/>
          <w:sz w:val="28"/>
          <w:szCs w:val="28"/>
        </w:rPr>
        <w:t>If condition using Flow Logic</w:t>
      </w:r>
    </w:p>
    <w:p w14:paraId="68FB965E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Validate approval state from the Network Database table</w:t>
      </w:r>
    </w:p>
    <w:p w14:paraId="16C48811" w14:textId="77777777" w:rsidR="00BB0457" w:rsidRPr="00BB0457" w:rsidRDefault="00BB0457" w:rsidP="00BB0457">
      <w:pPr>
        <w:numPr>
          <w:ilvl w:val="2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Approved → Continue process</w:t>
      </w:r>
    </w:p>
    <w:p w14:paraId="0CA4A794" w14:textId="77777777" w:rsidR="00BB0457" w:rsidRPr="00BB0457" w:rsidRDefault="00BB0457" w:rsidP="00BB0457">
      <w:pPr>
        <w:numPr>
          <w:ilvl w:val="2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Rejected → Stop or update record accordingly</w:t>
      </w:r>
    </w:p>
    <w:p w14:paraId="23BDA379" w14:textId="77777777" w:rsidR="00BB0457" w:rsidRPr="00BB0457" w:rsidRDefault="00BB0457" w:rsidP="00BB0457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Finalize Flow</w:t>
      </w:r>
    </w:p>
    <w:p w14:paraId="3D35101B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Save and activate the flow</w:t>
      </w:r>
    </w:p>
    <w:p w14:paraId="37B7A9A9" w14:textId="77777777" w:rsidR="00BB0457" w:rsidRPr="00BB0457" w:rsidRDefault="00BB0457" w:rsidP="00BB0457">
      <w:pPr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Test approval routing with different user scenarios</w:t>
      </w:r>
    </w:p>
    <w:p w14:paraId="1BF487AC" w14:textId="343FBF86" w:rsidR="00BB0457" w:rsidRPr="00BB0457" w:rsidRDefault="00BB0457" w:rsidP="00BB0457">
      <w:pPr>
        <w:rPr>
          <w:rFonts w:asciiTheme="majorHAnsi" w:hAnsiTheme="majorHAnsi"/>
          <w:sz w:val="28"/>
          <w:szCs w:val="28"/>
        </w:rPr>
      </w:pPr>
    </w:p>
    <w:p w14:paraId="0F058BB5" w14:textId="77777777" w:rsidR="00BB0457" w:rsidRPr="00BB0457" w:rsidRDefault="00BB0457" w:rsidP="00BB0457">
      <w:pPr>
        <w:rPr>
          <w:rFonts w:asciiTheme="majorHAnsi" w:hAnsiTheme="majorHAnsi"/>
          <w:b/>
          <w:bCs/>
          <w:sz w:val="28"/>
          <w:szCs w:val="28"/>
        </w:rPr>
      </w:pPr>
      <w:r w:rsidRPr="00BB0457">
        <w:rPr>
          <w:rFonts w:asciiTheme="majorHAnsi" w:hAnsiTheme="majorHAnsi"/>
          <w:b/>
          <w:bCs/>
          <w:sz w:val="28"/>
          <w:szCs w:val="28"/>
        </w:rPr>
        <w:t>Outcome</w:t>
      </w:r>
    </w:p>
    <w:p w14:paraId="3E13D3A5" w14:textId="77777777" w:rsidR="00BB0457" w:rsidRDefault="00BB0457" w:rsidP="00BB0457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Secure, role-based access control</w:t>
      </w:r>
    </w:p>
    <w:p w14:paraId="3813B5CF" w14:textId="77777777" w:rsidR="00BB0457" w:rsidRDefault="00BB0457" w:rsidP="00BB0457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Automated and dynamic approval routing</w:t>
      </w:r>
    </w:p>
    <w:p w14:paraId="034E4A22" w14:textId="2DEE2611" w:rsidR="00BB0457" w:rsidRDefault="00BB0457" w:rsidP="00BB0457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 xml:space="preserve"> Improved compliance and auditability</w:t>
      </w:r>
    </w:p>
    <w:p w14:paraId="62CD5766" w14:textId="291E1D14" w:rsidR="00BB0457" w:rsidRPr="00BB0457" w:rsidRDefault="00BB0457" w:rsidP="00BB0457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8"/>
          <w:szCs w:val="28"/>
        </w:rPr>
      </w:pPr>
      <w:r w:rsidRPr="00BB0457">
        <w:rPr>
          <w:rFonts w:asciiTheme="majorHAnsi" w:hAnsiTheme="majorHAnsi"/>
          <w:sz w:val="28"/>
          <w:szCs w:val="28"/>
        </w:rPr>
        <w:t>Reduced manual approval management</w:t>
      </w:r>
    </w:p>
    <w:p w14:paraId="108FECCB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3C1F"/>
    <w:multiLevelType w:val="multilevel"/>
    <w:tmpl w:val="659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C6D1D"/>
    <w:multiLevelType w:val="hybridMultilevel"/>
    <w:tmpl w:val="6908D05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0A1774D"/>
    <w:multiLevelType w:val="multilevel"/>
    <w:tmpl w:val="19B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62C34"/>
    <w:multiLevelType w:val="multilevel"/>
    <w:tmpl w:val="1D3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94325">
    <w:abstractNumId w:val="3"/>
  </w:num>
  <w:num w:numId="2" w16cid:durableId="672681880">
    <w:abstractNumId w:val="0"/>
  </w:num>
  <w:num w:numId="3" w16cid:durableId="822703342">
    <w:abstractNumId w:val="2"/>
  </w:num>
  <w:num w:numId="4" w16cid:durableId="995186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57"/>
    <w:rsid w:val="00181C76"/>
    <w:rsid w:val="00962390"/>
    <w:rsid w:val="00A036DA"/>
    <w:rsid w:val="00B430D4"/>
    <w:rsid w:val="00BB0457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AE55"/>
  <w15:chartTrackingRefBased/>
  <w15:docId w15:val="{2B5540B8-C7AD-4A9A-9ACC-3148810C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2025-12-24T11:08:00Z</dcterms:created>
  <dcterms:modified xsi:type="dcterms:W3CDTF">2025-12-24T11:17:00Z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3794860e-41ac-483d-9b59-9ca7775632e1</vt:lpwstr>
  </property>
</Properties>
</file>