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bookmarkStart w:colFirst="0" w:colLast="0" w:name="_c0ijr1czqria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1 - OBJETIVO</w:t>
      </w:r>
    </w:p>
    <w:p w:rsidR="00000000" w:rsidDel="00000000" w:rsidP="00000000" w:rsidRDefault="00000000" w:rsidRPr="00000000" w14:paraId="00000003">
      <w:pPr>
        <w:jc w:val="both"/>
        <w:rPr/>
        <w:sectPr>
          <w:headerReference r:id="rId6" w:type="default"/>
          <w:headerReference r:id="rId7" w:type="first"/>
          <w:footerReference r:id="rId8" w:type="first"/>
          <w:type w:val="nextPage"/>
          <w:pgSz w:h="16838" w:w="11906" w:orient="portrait"/>
          <w:pgMar w:bottom="1440.0000000000002" w:top="1440.0000000000002" w:left="1440.0000000000002" w:right="1440.0000000000002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  <w:t xml:space="preserve">Garantir o ingest eficiente e sem erros de um material, assegurando a conformidade com as especificações técnicas e de conteúdo para a exibição sem falhas. 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9" w:type="default"/>
          <w:headerReference r:id="rId10" w:type="first"/>
          <w:footerReference r:id="rId11" w:type="first"/>
          <w:type w:val="nextPage"/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bookmarkStart w:colFirst="0" w:colLast="0" w:name="_2qm0kwbictm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PROCEDIMENTO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="240" w:lineRule="auto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O ingest de materiais exige atenção a alguns pontos cruciais para garantir um fluxo de trabalho impecável e evitar problemas na exibição. Com base nas funcionalidades do sistema aqui estão os principais pontos de atenção:</w:t>
      </w:r>
    </w:p>
    <w:p w:rsidR="00000000" w:rsidDel="00000000" w:rsidP="00000000" w:rsidRDefault="00000000" w:rsidRPr="00000000" w14:paraId="00000006">
      <w:pPr>
        <w:spacing w:after="200" w:before="20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VALIDAÇÃO DE METADADOS: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Certifique-se de que metadados (título, duração, código, datas de exibição) estejam </w:t>
      </w:r>
      <w:r w:rsidDel="00000000" w:rsidR="00000000" w:rsidRPr="00000000">
        <w:rPr>
          <w:rtl w:val="0"/>
        </w:rPr>
        <w:t xml:space="preserve">presentes e corretos.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240" w:before="0" w:before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Erros de digitação ou divergências podem resultar no ingest do material errado ou falha na exibição.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 DE VERSÕES: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240" w:before="0" w:before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Em campanhas com múltiplas versões de um material, especifique claramente qual versão deve ser ingestada.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DURAÇÃO EXATA: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Confira se a duração do material é precisamente a esperada.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240" w:before="0" w:before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Um segundo a mais ou a menos pode causar problemas na programação.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PADRÕES DE QUALIDADE (QC):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Garanta que os materiais cheguem dentro dos padrões de broadcast exigidos (níveis de áudio, formato de vídeo, codec, resolução, proporção de tela).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240" w:before="0" w:before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Falhas podem resultar em rejeição ou problemas de áudio/vídeo no 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LEGAIS/CENSURA: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240" w:before="0" w:before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Verifique requisitos específicos de conteúdo ou legendas (Ex: conteúdos com bebidas alcoólicas devem conter frases de advertência sobre os riscos do consumo excessivo e a proibição da venda a menores).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VERIFICAÇÃO VISUAL E SONORA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widowControl w:val="0"/>
        <w:spacing w:after="240" w:before="240" w:line="240" w:lineRule="auto"/>
        <w:ind w:left="425.19685039370086" w:firstLine="720"/>
        <w:jc w:val="both"/>
        <w:rPr/>
      </w:pPr>
      <w:r w:rsidDel="00000000" w:rsidR="00000000" w:rsidRPr="00000000">
        <w:rPr>
          <w:rtl w:val="0"/>
        </w:rPr>
        <w:t xml:space="preserve">Antes ou após o ingest, realize uma verificação detalhada para identificar e corrigir falhas.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Aspectos Visuais a Observar: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2"/>
          <w:numId w:val="1"/>
        </w:numPr>
        <w:spacing w:after="0" w:afterAutospacing="0" w:before="24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Informações Fora da Safe Area: Garanta que textos, gráficos e elementos visuais importantes estejam dentro da "safe area", evitando cortes.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Erros Gramaticais e Ortográficos: Revise a grafia de títulos, legendas, </w:t>
      </w:r>
      <w:r w:rsidDel="00000000" w:rsidR="00000000" w:rsidRPr="00000000">
        <w:rPr>
          <w:rtl w:val="0"/>
        </w:rPr>
        <w:t xml:space="preserve">GC's e</w:t>
      </w:r>
      <w:r w:rsidDel="00000000" w:rsidR="00000000" w:rsidRPr="00000000">
        <w:rPr>
          <w:rtl w:val="0"/>
        </w:rPr>
        <w:t xml:space="preserve"> textos, sinalizando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2"/>
          <w:numId w:val="1"/>
        </w:numPr>
        <w:spacing w:after="24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 Visuais Indesejados: Procure por blocos de compressão, ruídos de vídeo ou </w:t>
      </w:r>
      <w:r w:rsidDel="00000000" w:rsidR="00000000" w:rsidRPr="00000000">
        <w:rPr>
          <w:rtl w:val="0"/>
        </w:rPr>
        <w:t xml:space="preserve">black frames.</w:t>
      </w:r>
    </w:p>
    <w:p w:rsidR="00000000" w:rsidDel="00000000" w:rsidP="00000000" w:rsidRDefault="00000000" w:rsidRPr="00000000" w14:paraId="00000026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before="24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Aspectos Sonoros a Observar: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2"/>
          <w:numId w:val="1"/>
        </w:numPr>
        <w:spacing w:after="0" w:afterAutospacing="0" w:before="24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Distorções e Picos de Áudio: Monitore níveis de áudio para evitar distorções</w:t>
      </w:r>
      <w:r w:rsidDel="00000000" w:rsidR="00000000" w:rsidRPr="00000000">
        <w:rPr>
          <w:rtl w:val="0"/>
        </w:rPr>
        <w:t xml:space="preserve"> e volumes excessivamente altos ou baixos.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Divergência entre Imagem e Locução: Verifique a sincronia entre áudio e vídeo.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2"/>
          <w:numId w:val="1"/>
        </w:numPr>
        <w:spacing w:after="240" w:before="0" w:before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Ausência de Áudio em Partes Específicas: Confirme que não há trechos sem áudio onde ele deveria estar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PADRÃO DE ENTREGA DE COMERCIAIS.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FINALIZAÇÃO</w:t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Após as checagens, quaisquer divergências devem ser comunicadas por e-mail para as correções necessárias. </w:t>
      </w:r>
      <w:r w:rsidDel="00000000" w:rsidR="00000000" w:rsidRPr="00000000">
        <w:rPr>
          <w:rtl w:val="0"/>
        </w:rPr>
        <w:t xml:space="preserve">A execução meticulosa dessas verificações é fundamental para minimizar a chance de erros e garantir a entrega de um produto final de alta qualidade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200" w:before="20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type w:val="nextPage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  <w:tbl>
    <w:tblPr>
      <w:tblStyle w:val="Table1"/>
      <w:tblW w:w="10845.0" w:type="dxa"/>
      <w:jc w:val="left"/>
      <w:tblInd w:w="-91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2670"/>
      <w:gridCol w:w="2310"/>
      <w:gridCol w:w="1500"/>
      <w:gridCol w:w="1500"/>
      <w:gridCol w:w="2865"/>
      <w:tblGridChange w:id="0">
        <w:tblGrid>
          <w:gridCol w:w="2670"/>
          <w:gridCol w:w="2310"/>
          <w:gridCol w:w="1500"/>
          <w:gridCol w:w="1500"/>
          <w:gridCol w:w="2865"/>
        </w:tblGrid>
      </w:tblGridChange>
    </w:tblGrid>
    <w:tr>
      <w:trPr>
        <w:cantSplit w:val="0"/>
        <w:trHeight w:val="1035" w:hRule="atLeast"/>
        <w:tblHeader w:val="0"/>
      </w:trPr>
      <w:tc>
        <w:tcPr>
          <w:vMerge w:val="restart"/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  <w:vAlign w:val="center"/>
        </w:tcPr>
        <w:p w:rsidR="00000000" w:rsidDel="00000000" w:rsidP="00000000" w:rsidRDefault="00000000" w:rsidRPr="00000000" w14:paraId="0000004A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709738" cy="96109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5555" r="-5555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9738" cy="9610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  <w:tcMar>
            <w:top w:w="40.0" w:type="dxa"/>
            <w:left w:w="40.0" w:type="dxa"/>
            <w:bottom w:w="40.0" w:type="dxa"/>
            <w:right w:w="40.0" w:type="dxa"/>
          </w:tcMar>
          <w:vAlign w:val="center"/>
        </w:tcPr>
        <w:p w:rsidR="00000000" w:rsidDel="00000000" w:rsidP="00000000" w:rsidRDefault="00000000" w:rsidRPr="00000000" w14:paraId="0000004B">
          <w:pPr>
            <w:widowControl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PROCEDIMENTO OPERACIONAL PADRÃO - POP</w:t>
          </w:r>
        </w:p>
      </w:tc>
    </w:tr>
    <w:tr>
      <w:trPr>
        <w:cantSplit w:val="0"/>
        <w:trHeight w:val="315" w:hRule="atLeast"/>
        <w:tblHeader w:val="0"/>
      </w:trPr>
      <w:tc>
        <w:tcPr>
          <w:vMerge w:val="continue"/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</w:tcPr>
        <w:p w:rsidR="00000000" w:rsidDel="00000000" w:rsidP="00000000" w:rsidRDefault="00000000" w:rsidRPr="00000000" w14:paraId="0000004F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  <w:tcMar>
            <w:top w:w="40.0" w:type="dxa"/>
            <w:left w:w="40.0" w:type="dxa"/>
            <w:bottom w:w="40.0" w:type="dxa"/>
            <w:right w:w="40.0" w:type="dxa"/>
          </w:tcMar>
          <w:vAlign w:val="center"/>
        </w:tcPr>
        <w:p w:rsidR="00000000" w:rsidDel="00000000" w:rsidP="00000000" w:rsidRDefault="00000000" w:rsidRPr="00000000" w14:paraId="00000050">
          <w:pPr>
            <w:widowControl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PONTOS DE ATENÇÃO AO INGESTAR UM MATERIAL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15" w:hRule="atLeast"/>
        <w:tblHeader w:val="0"/>
      </w:trPr>
      <w:tc>
        <w:tcPr>
          <w:vMerge w:val="continue"/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</w:tcPr>
        <w:p w:rsidR="00000000" w:rsidDel="00000000" w:rsidP="00000000" w:rsidRDefault="00000000" w:rsidRPr="00000000" w14:paraId="00000054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  <w:tcMar>
            <w:top w:w="40.0" w:type="dxa"/>
            <w:left w:w="40.0" w:type="dxa"/>
            <w:bottom w:w="40.0" w:type="dxa"/>
            <w:right w:w="40.0" w:type="dxa"/>
          </w:tcMar>
          <w:vAlign w:val="bottom"/>
        </w:tcPr>
        <w:p w:rsidR="00000000" w:rsidDel="00000000" w:rsidP="00000000" w:rsidRDefault="00000000" w:rsidRPr="00000000" w14:paraId="00000055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Data:</w:t>
          </w:r>
        </w:p>
      </w:tc>
      <w:tc>
        <w:tcPr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  <w:tcMar>
            <w:top w:w="40.0" w:type="dxa"/>
            <w:left w:w="40.0" w:type="dxa"/>
            <w:bottom w:w="40.0" w:type="dxa"/>
            <w:right w:w="40.0" w:type="dxa"/>
          </w:tcMar>
          <w:vAlign w:val="bottom"/>
        </w:tcPr>
        <w:p w:rsidR="00000000" w:rsidDel="00000000" w:rsidP="00000000" w:rsidRDefault="00000000" w:rsidRPr="00000000" w14:paraId="00000056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25/07/2025</w:t>
          </w:r>
        </w:p>
      </w:tc>
      <w:tc>
        <w:tcPr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  <w:tcMar>
            <w:top w:w="40.0" w:type="dxa"/>
            <w:left w:w="40.0" w:type="dxa"/>
            <w:bottom w:w="40.0" w:type="dxa"/>
            <w:right w:w="40.0" w:type="dxa"/>
          </w:tcMar>
          <w:vAlign w:val="bottom"/>
        </w:tcPr>
        <w:p w:rsidR="00000000" w:rsidDel="00000000" w:rsidP="00000000" w:rsidRDefault="00000000" w:rsidRPr="00000000" w14:paraId="00000057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Elaborado Por:</w:t>
          </w:r>
        </w:p>
      </w:tc>
      <w:tc>
        <w:tcPr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  <w:tcMar>
            <w:top w:w="40.0" w:type="dxa"/>
            <w:left w:w="40.0" w:type="dxa"/>
            <w:bottom w:w="40.0" w:type="dxa"/>
            <w:right w:w="40.0" w:type="dxa"/>
          </w:tcMar>
          <w:vAlign w:val="bottom"/>
        </w:tcPr>
        <w:p w:rsidR="00000000" w:rsidDel="00000000" w:rsidP="00000000" w:rsidRDefault="00000000" w:rsidRPr="00000000" w14:paraId="00000058">
          <w:pPr>
            <w:widowControl w:val="0"/>
            <w:rPr>
              <w:sz w:val="20"/>
              <w:szCs w:val="20"/>
            </w:rPr>
          </w:pPr>
          <w:hyperlink r:id="rId2">
            <w:r w:rsidDel="00000000" w:rsidR="00000000" w:rsidRPr="00000000">
              <w:rPr>
                <w:color w:val="0000ee"/>
                <w:sz w:val="20"/>
                <w:szCs w:val="20"/>
                <w:u w:val="single"/>
                <w:rtl w:val="0"/>
              </w:rPr>
              <w:t xml:space="preserve">Karine Alves</w:t>
            </w:r>
          </w:hyperlink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15" w:hRule="atLeast"/>
        <w:tblHeader w:val="0"/>
      </w:trPr>
      <w:tc>
        <w:tcPr>
          <w:vMerge w:val="continue"/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</w:tcPr>
        <w:p w:rsidR="00000000" w:rsidDel="00000000" w:rsidP="00000000" w:rsidRDefault="00000000" w:rsidRPr="00000000" w14:paraId="00000059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  <w:tcMar>
            <w:top w:w="40.0" w:type="dxa"/>
            <w:left w:w="40.0" w:type="dxa"/>
            <w:bottom w:w="40.0" w:type="dxa"/>
            <w:right w:w="40.0" w:type="dxa"/>
          </w:tcMar>
          <w:vAlign w:val="bottom"/>
        </w:tcPr>
        <w:p w:rsidR="00000000" w:rsidDel="00000000" w:rsidP="00000000" w:rsidRDefault="00000000" w:rsidRPr="00000000" w14:paraId="0000005A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Revisão:</w:t>
          </w:r>
        </w:p>
      </w:tc>
      <w:tc>
        <w:tcPr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  <w:tcMar>
            <w:top w:w="40.0" w:type="dxa"/>
            <w:left w:w="40.0" w:type="dxa"/>
            <w:bottom w:w="40.0" w:type="dxa"/>
            <w:right w:w="40.0" w:type="dxa"/>
          </w:tcMar>
          <w:vAlign w:val="bottom"/>
        </w:tcPr>
        <w:p w:rsidR="00000000" w:rsidDel="00000000" w:rsidP="00000000" w:rsidRDefault="00000000" w:rsidRPr="00000000" w14:paraId="0000005B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</w:t>
          </w:r>
        </w:p>
      </w:tc>
      <w:tc>
        <w:tcPr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  <w:tcMar>
            <w:top w:w="40.0" w:type="dxa"/>
            <w:left w:w="40.0" w:type="dxa"/>
            <w:bottom w:w="40.0" w:type="dxa"/>
            <w:right w:w="40.0" w:type="dxa"/>
          </w:tcMar>
          <w:vAlign w:val="bottom"/>
        </w:tcPr>
        <w:p w:rsidR="00000000" w:rsidDel="00000000" w:rsidP="00000000" w:rsidRDefault="00000000" w:rsidRPr="00000000" w14:paraId="0000005C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Aprovado Por:</w:t>
          </w:r>
        </w:p>
      </w:tc>
      <w:tc>
        <w:tcPr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  <w:tcMar>
            <w:top w:w="40.0" w:type="dxa"/>
            <w:left w:w="40.0" w:type="dxa"/>
            <w:bottom w:w="40.0" w:type="dxa"/>
            <w:right w:w="40.0" w:type="dxa"/>
          </w:tcMar>
          <w:vAlign w:val="bottom"/>
        </w:tcPr>
        <w:p w:rsidR="00000000" w:rsidDel="00000000" w:rsidP="00000000" w:rsidRDefault="00000000" w:rsidRPr="00000000" w14:paraId="0000005D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Lucas Morgante</w:t>
          </w:r>
        </w:p>
      </w:tc>
    </w:tr>
  </w:tbl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4.xml"/><Relationship Id="rId15" Type="http://schemas.openxmlformats.org/officeDocument/2006/relationships/header" Target="header5.xml"/><Relationship Id="rId14" Type="http://schemas.openxmlformats.org/officeDocument/2006/relationships/header" Target="header6.xml"/><Relationship Id="rId17" Type="http://schemas.openxmlformats.org/officeDocument/2006/relationships/footer" Target="footer4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mailto:karine.alves@tvte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