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1440.0000000000002" w:top="1440.0000000000002" w:left="1440.0000000000002" w:right="1440.0000000000002" w:header="720" w:footer="720"/>
          <w:pgNumType w:start="1"/>
        </w:sectPr>
      </w:pPr>
      <w:bookmarkStart w:colFirst="0" w:colLast="0" w:name="_6gahanjio5hf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1 - OBJETIVO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 objetivo destes procedimentos operacionais visa mitigar e prever possíveis problemas   durante o turno da madrugada e ou turnos seguintes.</w:t>
      </w:r>
    </w:p>
    <w:p w:rsidR="00000000" w:rsidDel="00000000" w:rsidP="00000000" w:rsidRDefault="00000000" w:rsidRPr="00000000" w14:paraId="00000005">
      <w:pPr>
        <w:rPr/>
        <w:sectPr>
          <w:headerReference r:id="rId6" w:type="default"/>
          <w:headerReference r:id="rId7" w:type="first"/>
          <w:footerReference r:id="rId8" w:type="first"/>
          <w:type w:val="nextPage"/>
          <w:pgSz w:h="16838" w:w="11906" w:orient="portrait"/>
          <w:pgMar w:bottom="1440.0000000000002" w:top="1440.0000000000002" w:left="1440.0000000000002" w:right="1440.0000000000002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atuando como medida de prevenção e proporcionando possíveis ações para corrigir problemas previamente detectados.</w:t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9" w:type="default"/>
          <w:headerReference r:id="rId10" w:type="first"/>
          <w:footerReference r:id="rId11" w:type="first"/>
          <w:type w:val="nextPage"/>
          <w:pgSz w:h="16838" w:w="11906" w:orient="portrait"/>
          <w:pgMar w:bottom="1440.0000000000002" w:top="1440.0000000000002" w:left="1440.0000000000002" w:right="1440.0000000000002" w:header="720" w:footer="720"/>
          <w:pgNumType w:start="1"/>
        </w:sectPr>
      </w:pPr>
      <w:bookmarkStart w:colFirst="0" w:colLast="0" w:name="_4kfz3wtuu5rz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Guia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PROCEDIMENTOS MADRUGADA</w:t>
      </w:r>
    </w:p>
    <w:p w:rsidR="00000000" w:rsidDel="00000000" w:rsidP="00000000" w:rsidRDefault="00000000" w:rsidRPr="00000000" w14:paraId="00000008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1 - ORIENTAÇÕES.</w:t>
      </w:r>
    </w:p>
    <w:p w:rsidR="00000000" w:rsidDel="00000000" w:rsidP="00000000" w:rsidRDefault="00000000" w:rsidRPr="00000000" w14:paraId="0000000A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Uma vistoria dos equipamentos deve ser realizada no início de cada turno, antes de iniciar as atividades, começando pelo subsolo e subindo para as áreas superiores.</w:t>
      </w:r>
    </w:p>
    <w:p w:rsidR="00000000" w:rsidDel="00000000" w:rsidP="00000000" w:rsidRDefault="00000000" w:rsidRPr="00000000" w14:paraId="0000000C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Pontos iniciais a partir do subsolo:</w:t>
      </w:r>
    </w:p>
    <w:p w:rsidR="00000000" w:rsidDel="00000000" w:rsidP="00000000" w:rsidRDefault="00000000" w:rsidRPr="00000000" w14:paraId="0000000E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1.1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A partir do subsolo, verificar periodicamente se a bomba de água não está acionada a seco (sem água), o que ocasionaria o funcionamento forçado da mesma.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3548063" cy="3629025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2 -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Dando sequência, passamos pela checagem dos quadros de energia de entrada e dos comandos dos painéis dos geradores.</w:t>
      </w:r>
    </w:p>
    <w:p w:rsidR="00000000" w:rsidDel="00000000" w:rsidP="00000000" w:rsidRDefault="00000000" w:rsidRPr="00000000" w14:paraId="00000013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2.1-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Checagem dos nobreaks corporativos e da área técnica.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0438" cy="3171825"/>
            <wp:effectExtent b="0" l="0" r="0" t="0"/>
            <wp:docPr id="1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48100" cy="4891088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-360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89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48050" cy="3729038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3288" cy="3352800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3 -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Checagem das temperaturas do nobreak do subsolo e da área técnica do subsolo andar superior.</w:t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35433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8513" cy="4410075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1825" cy="4138613"/>
            <wp:effectExtent b="0" l="0" r="0" t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4200" cy="4005263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3.1-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Atenção ao detalhe da cor da sílica, responsável por tirar a umidade da linha, bem como à leitura do PSI.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/>
        <w:drawing>
          <wp:inline distB="114300" distT="114300" distL="114300" distR="114300">
            <wp:extent cx="3700463" cy="3400425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3.2 -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Atenção também ao estado dos “GPS” do subsolo.</w:t>
      </w:r>
    </w:p>
    <w:p w:rsidR="00000000" w:rsidDel="00000000" w:rsidP="00000000" w:rsidRDefault="00000000" w:rsidRPr="00000000" w14:paraId="00000021">
      <w:pPr>
        <w:spacing w:after="240" w:before="240" w:lineRule="auto"/>
        <w:jc w:val="center"/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3609975" cy="3519488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4-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Na CTRS, é importante a monitoração dos sinais de retorno das emissoras com o devido recurso de closed caption.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3448050" cy="3294887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9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5-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Checagem de áudio de retorno das emissoras e dos moduladores backup.</w:t>
      </w:r>
      <w:r w:rsidDel="00000000" w:rsidR="00000000" w:rsidRPr="00000000">
        <w:rPr/>
        <w:drawing>
          <wp:inline distB="114300" distT="114300" distL="114300" distR="114300">
            <wp:extent cx="3686175" cy="4824413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6-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Checagem dos geradores pelo software.</w:t>
      </w:r>
    </w:p>
    <w:p w:rsidR="00000000" w:rsidDel="00000000" w:rsidP="00000000" w:rsidRDefault="00000000" w:rsidRPr="00000000" w14:paraId="00000029">
      <w:pPr>
        <w:spacing w:after="240" w:before="240" w:lineRule="auto"/>
        <w:jc w:val="center"/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3419475" cy="3738563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7-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Checagem dos transmissores das emissoras e de nossa área de cobertura.</w:t>
      </w:r>
    </w:p>
    <w:p w:rsidR="00000000" w:rsidDel="00000000" w:rsidP="00000000" w:rsidRDefault="00000000" w:rsidRPr="00000000" w14:paraId="0000002C">
      <w:pPr>
        <w:spacing w:after="240" w:before="240" w:lineRule="auto"/>
        <w:jc w:val="center"/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7675" cy="2809875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 b="36233" l="0" r="-3233" t="254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9525" cy="5976938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97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8 -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Atenção ao monitor das portadoras das emissoras (Promax).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186363" cy="6153150"/>
            <wp:effectExtent b="0" l="0" r="0" t="0"/>
            <wp:docPr id="2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9-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Checagem dos softwares de alarme no celular e monitoramento de Avaré.</w:t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391785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9"/>
                    <a:srcRect b="0" l="18604" r="28604" t="2534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917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275" cy="382905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 b="0" l="16591" r="22645" t="197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10-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Checar e, se necessário, tirar listagem de chamadas para o mestre e ingestar as mesmas.</w:t>
      </w:r>
    </w:p>
    <w:p w:rsidR="00000000" w:rsidDel="00000000" w:rsidP="00000000" w:rsidRDefault="00000000" w:rsidRPr="00000000" w14:paraId="00000049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11-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Verificar se existem programas enviados para serem checados e ingestados.</w:t>
      </w:r>
    </w:p>
    <w:p w:rsidR="00000000" w:rsidDel="00000000" w:rsidP="00000000" w:rsidRDefault="00000000" w:rsidRPr="00000000" w14:paraId="0000004B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12-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Gravar os jornais da Globo e o Hora 1.</w:t>
      </w:r>
    </w:p>
    <w:p w:rsidR="00000000" w:rsidDel="00000000" w:rsidP="00000000" w:rsidRDefault="00000000" w:rsidRPr="00000000" w14:paraId="0000004D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14-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Baixar o EPG na madrugada.</w:t>
      </w:r>
    </w:p>
    <w:p w:rsidR="00000000" w:rsidDel="00000000" w:rsidP="00000000" w:rsidRDefault="00000000" w:rsidRPr="00000000" w14:paraId="0000004F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15-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Verifique se os telefones das híbridas e pontos estão em carregamento.</w:t>
      </w:r>
    </w:p>
    <w:p w:rsidR="00000000" w:rsidDel="00000000" w:rsidP="00000000" w:rsidRDefault="00000000" w:rsidRPr="00000000" w14:paraId="00000051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16-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Cadastrar ocorrências, caso existam.</w:t>
      </w:r>
    </w:p>
    <w:p w:rsidR="00000000" w:rsidDel="00000000" w:rsidP="00000000" w:rsidRDefault="00000000" w:rsidRPr="00000000" w14:paraId="00000053">
      <w:pPr>
        <w:shd w:fill="ffffff" w:val="clear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17-</w:t>
      </w: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highlight w:val="white"/>
          <w:rtl w:val="0"/>
        </w:rPr>
        <w:t xml:space="preserve"> Enviar o RDA do turno devidamente preenchido.</w:t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type w:val="nextPage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tbl>
    <w:tblPr>
      <w:tblStyle w:val="Table1"/>
      <w:tblW w:w="10845.0" w:type="dxa"/>
      <w:jc w:val="left"/>
      <w:tblInd w:w="-91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600"/>
    </w:tblPr>
    <w:tblGrid>
      <w:gridCol w:w="2670"/>
      <w:gridCol w:w="2310"/>
      <w:gridCol w:w="1500"/>
      <w:gridCol w:w="1500"/>
      <w:gridCol w:w="2865"/>
      <w:tblGridChange w:id="0">
        <w:tblGrid>
          <w:gridCol w:w="2670"/>
          <w:gridCol w:w="2310"/>
          <w:gridCol w:w="1500"/>
          <w:gridCol w:w="1500"/>
          <w:gridCol w:w="2865"/>
        </w:tblGrid>
      </w:tblGridChange>
    </w:tblGrid>
    <w:tr>
      <w:trPr>
        <w:cantSplit w:val="0"/>
        <w:trHeight w:val="1035" w:hRule="atLeast"/>
        <w:tblHeader w:val="0"/>
      </w:trPr>
      <w:tc>
        <w:tcPr>
          <w:vMerge w:val="restart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vAlign w:val="center"/>
        </w:tcPr>
        <w:p w:rsidR="00000000" w:rsidDel="00000000" w:rsidP="00000000" w:rsidRDefault="00000000" w:rsidRPr="00000000" w14:paraId="00000058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</w:rPr>
            <w:drawing>
              <wp:inline distB="114300" distT="114300" distL="114300" distR="114300">
                <wp:extent cx="1709738" cy="961095"/>
                <wp:effectExtent b="0" l="0" r="0" t="0"/>
                <wp:docPr id="1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"/>
                        <a:srcRect b="0" l="5555" r="-5555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9738" cy="9610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4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center"/>
        </w:tcPr>
        <w:p w:rsidR="00000000" w:rsidDel="00000000" w:rsidP="00000000" w:rsidRDefault="00000000" w:rsidRPr="00000000" w14:paraId="00000059">
          <w:pPr>
            <w:widowControl w:val="0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PROCEDIMENTO OPERACIONAL PADRÃO - POP</w:t>
          </w:r>
        </w:p>
      </w:tc>
    </w:tr>
    <w:tr>
      <w:trPr>
        <w:cantSplit w:val="0"/>
        <w:trHeight w:val="398.8208007812499" w:hRule="atLeast"/>
        <w:tblHeader w:val="0"/>
      </w:trPr>
      <w:tc>
        <w:tcPr>
          <w:vMerge w:val="continue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</w:tcPr>
        <w:p w:rsidR="00000000" w:rsidDel="00000000" w:rsidP="00000000" w:rsidRDefault="00000000" w:rsidRPr="00000000" w14:paraId="0000005D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4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center"/>
        </w:tcPr>
        <w:p w:rsidR="00000000" w:rsidDel="00000000" w:rsidP="00000000" w:rsidRDefault="00000000" w:rsidRPr="00000000" w14:paraId="0000005E">
          <w:pPr>
            <w:pStyle w:val="Heading1"/>
            <w:widowControl w:val="0"/>
            <w:jc w:val="center"/>
            <w:rPr>
              <w:b w:val="1"/>
              <w:sz w:val="26"/>
              <w:szCs w:val="26"/>
            </w:rPr>
          </w:pPr>
          <w:bookmarkStart w:colFirst="0" w:colLast="0" w:name="_1ci1jlc1h5ah" w:id="2"/>
          <w:bookmarkEnd w:id="2"/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    PROCEDIMENTOS OPERACIONAIS DA MADRUGADA</w:t>
          </w:r>
        </w:p>
      </w:tc>
    </w:tr>
    <w:tr>
      <w:trPr>
        <w:cantSplit w:val="0"/>
        <w:trHeight w:val="315" w:hRule="atLeast"/>
        <w:tblHeader w:val="0"/>
      </w:trPr>
      <w:tc>
        <w:tcPr>
          <w:vMerge w:val="continue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</w:tcPr>
        <w:p w:rsidR="00000000" w:rsidDel="00000000" w:rsidP="00000000" w:rsidRDefault="00000000" w:rsidRPr="00000000" w14:paraId="00000062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63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Data: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64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19/06/2025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65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Elaborado Por: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66">
          <w:pPr>
            <w:widowControl w:val="0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Mauricio Aparecido Justo</w:t>
          </w:r>
        </w:p>
      </w:tc>
    </w:tr>
    <w:tr>
      <w:trPr>
        <w:cantSplit w:val="0"/>
        <w:trHeight w:val="315" w:hRule="atLeast"/>
        <w:tblHeader w:val="0"/>
      </w:trPr>
      <w:tc>
        <w:tcPr>
          <w:vMerge w:val="continue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</w:tcPr>
        <w:p w:rsidR="00000000" w:rsidDel="00000000" w:rsidP="00000000" w:rsidRDefault="00000000" w:rsidRPr="00000000" w14:paraId="00000067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68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Revisão: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69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1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6A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Aprovado Por: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6B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Lucas Morgante</w:t>
          </w:r>
        </w:p>
      </w:tc>
    </w:tr>
  </w:tbl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4.jpg"/><Relationship Id="rId21" Type="http://schemas.openxmlformats.org/officeDocument/2006/relationships/image" Target="media/image13.jpg"/><Relationship Id="rId24" Type="http://schemas.openxmlformats.org/officeDocument/2006/relationships/image" Target="media/image9.jp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4.xml"/><Relationship Id="rId26" Type="http://schemas.openxmlformats.org/officeDocument/2006/relationships/image" Target="media/image16.jpg"/><Relationship Id="rId25" Type="http://schemas.openxmlformats.org/officeDocument/2006/relationships/image" Target="media/image7.jpg"/><Relationship Id="rId28" Type="http://schemas.openxmlformats.org/officeDocument/2006/relationships/image" Target="media/image17.jpg"/><Relationship Id="rId27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3.jpg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31" Type="http://schemas.openxmlformats.org/officeDocument/2006/relationships/header" Target="header6.xml"/><Relationship Id="rId30" Type="http://schemas.openxmlformats.org/officeDocument/2006/relationships/image" Target="media/image12.jpg"/><Relationship Id="rId11" Type="http://schemas.openxmlformats.org/officeDocument/2006/relationships/footer" Target="footer2.xml"/><Relationship Id="rId33" Type="http://schemas.openxmlformats.org/officeDocument/2006/relationships/footer" Target="footer3.xml"/><Relationship Id="rId10" Type="http://schemas.openxmlformats.org/officeDocument/2006/relationships/header" Target="header3.xml"/><Relationship Id="rId32" Type="http://schemas.openxmlformats.org/officeDocument/2006/relationships/header" Target="header5.xml"/><Relationship Id="rId13" Type="http://schemas.openxmlformats.org/officeDocument/2006/relationships/image" Target="media/image10.jpg"/><Relationship Id="rId12" Type="http://schemas.openxmlformats.org/officeDocument/2006/relationships/image" Target="media/image11.jpg"/><Relationship Id="rId15" Type="http://schemas.openxmlformats.org/officeDocument/2006/relationships/image" Target="media/image6.jpg"/><Relationship Id="rId14" Type="http://schemas.openxmlformats.org/officeDocument/2006/relationships/image" Target="media/image1.jpg"/><Relationship Id="rId17" Type="http://schemas.openxmlformats.org/officeDocument/2006/relationships/image" Target="media/image8.jpg"/><Relationship Id="rId16" Type="http://schemas.openxmlformats.org/officeDocument/2006/relationships/image" Target="media/image15.jpg"/><Relationship Id="rId19" Type="http://schemas.openxmlformats.org/officeDocument/2006/relationships/image" Target="media/image18.jpg"/><Relationship Id="rId1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