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1w0jnett1kwv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1 - OBJETIVO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  <w:sectPr>
          <w:headerReference r:id="rId6" w:type="default"/>
          <w:headerReference r:id="rId7" w:type="first"/>
          <w:footerReference r:id="rId8" w:type="first"/>
          <w:type w:val="nextPage"/>
          <w:pgSz w:h="16838" w:w="11906" w:orient="portrait"/>
          <w:pgMar w:bottom="1440.0000000000002" w:top="1440.0000000000002" w:left="1440.0000000000002" w:right="1440.0000000000002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Este documento tem o objetivo de instruir, auxiliar e facilitar a troca do cabo de interatividade dos receptores SAT SP e SAT REDE, apresentando as ferramentas, conectores, cabos e cuidados no momento da realização do procedimento.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9" w:type="default"/>
          <w:headerReference r:id="rId10" w:type="first"/>
          <w:footerReference r:id="rId11" w:type="first"/>
          <w:type w:val="nextPage"/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9h50kvbiwi2r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PROCEDIMENTO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1 - ORIENTAÇÕES.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Primeiro, vamos conhecer e entender como funcionam as ferramentas, conectores, cabos e quais são os cuidados para a realização do procedimento de troca da interatividade.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1.1 - Cabo </w:t>
      </w:r>
      <w:r w:rsidDel="00000000" w:rsidR="00000000" w:rsidRPr="00000000">
        <w:rPr>
          <w:b w:val="1"/>
          <w:i w:val="1"/>
          <w:rtl w:val="0"/>
        </w:rPr>
        <w:t xml:space="preserve">SDI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São cabos coaxiais usados para transmitir sinais de vídeo digitais não compactados, tendo aúdio ou não, entre equipamentos de vídeo. Neste caso, usaremos o cabo </w:t>
      </w:r>
      <w:r w:rsidDel="00000000" w:rsidR="00000000" w:rsidRPr="00000000">
        <w:rPr>
          <w:i w:val="1"/>
          <w:rtl w:val="0"/>
        </w:rPr>
        <w:t xml:space="preserve">SDI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Serial Digital Interface</w:t>
      </w:r>
      <w:r w:rsidDel="00000000" w:rsidR="00000000" w:rsidRPr="00000000">
        <w:rPr>
          <w:rtl w:val="0"/>
        </w:rPr>
        <w:t xml:space="preserve">) para o uso da interatividade vinda da Globo para possibilitar que o telespectador consiga interagir com alguma chamada, promoção ou informação específica escolhida para esse tipo de transmissão.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1400" cy="441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1.2 - Conectores BNC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Os famosos conectores BNC (</w:t>
      </w:r>
      <w:r w:rsidDel="00000000" w:rsidR="00000000" w:rsidRPr="00000000">
        <w:rPr>
          <w:i w:val="1"/>
          <w:rtl w:val="0"/>
        </w:rPr>
        <w:t xml:space="preserve">Bayonet Neill Concelman</w:t>
      </w:r>
      <w:r w:rsidDel="00000000" w:rsidR="00000000" w:rsidRPr="00000000">
        <w:rPr>
          <w:rtl w:val="0"/>
        </w:rPr>
        <w:t xml:space="preserve">) são extremamente importantes quando o assunto é televisão, são eles que fazem a conexão entre cabos coaxiais, como estudado acima, os cabos </w:t>
      </w:r>
      <w:r w:rsidDel="00000000" w:rsidR="00000000" w:rsidRPr="00000000">
        <w:rPr>
          <w:i w:val="1"/>
          <w:rtl w:val="0"/>
        </w:rPr>
        <w:t xml:space="preserve">SDI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Perceba que os conectores fêmea têm dois pontos circulares elevados na ponta da peça e o conector macho tem um corte na peça terminado com um detalhe circular no final deste corte e uma espécie de anel em volta representado pela flecha vermelha que faz o encaixe na ferramenta de </w:t>
      </w:r>
      <w:r w:rsidDel="00000000" w:rsidR="00000000" w:rsidRPr="00000000">
        <w:rPr>
          <w:i w:val="1"/>
          <w:rtl w:val="0"/>
        </w:rPr>
        <w:t xml:space="preserve">Patch</w:t>
      </w:r>
      <w:r w:rsidDel="00000000" w:rsidR="00000000" w:rsidRPr="00000000">
        <w:rPr>
          <w:rtl w:val="0"/>
        </w:rPr>
        <w:t xml:space="preserve">. Detalhes importantes para entender como funciona a conexão entre esses equipamentos.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Ao conectar o BNC macho no BNC fêmea é necessário rodar a peça para encaixar e fixar a conexão, garantindo que o cabo </w:t>
      </w:r>
      <w:r w:rsidDel="00000000" w:rsidR="00000000" w:rsidRPr="00000000">
        <w:rPr>
          <w:i w:val="1"/>
          <w:rtl w:val="0"/>
        </w:rPr>
        <w:t xml:space="preserve">SDI</w:t>
      </w:r>
      <w:r w:rsidDel="00000000" w:rsidR="00000000" w:rsidRPr="00000000">
        <w:rPr>
          <w:rtl w:val="0"/>
        </w:rPr>
        <w:t xml:space="preserve"> não vai se soltar com o tempo ou então por acidente quando outro técnico fizer outro tipo de procedimento no mesmo equipamento.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1.3 - Ferramenta de movimentação de conectores BNC.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Esta ferramenta é essencial para o procedimento de troca de cabos </w:t>
      </w:r>
      <w:r w:rsidDel="00000000" w:rsidR="00000000" w:rsidRPr="00000000">
        <w:rPr>
          <w:i w:val="1"/>
          <w:rtl w:val="0"/>
        </w:rPr>
        <w:t xml:space="preserve">SDI</w:t>
      </w:r>
      <w:r w:rsidDel="00000000" w:rsidR="00000000" w:rsidRPr="00000000">
        <w:rPr>
          <w:rtl w:val="0"/>
        </w:rPr>
        <w:t xml:space="preserve"> com conectores BNC, pois ela facilita muito o manuseio, a rotação de fixação e conexão/desconexão do BNC com o equipamento de vídeo. Geralmente a ferramenta fica entre os racks do subsolo da CTRS, sempre use-a como prioridade, use as mãos apenas em casos de emergência para evitar, principalmente, acidentes físicos ou então esbarrar em outros cabos e danificar o sinal que possivelmente esteja no ar.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1.2 - COMO TROCAR O CABO DE INTERATIVIDADE (SAT SP / SAT REDE)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Primeiro, desça até o subsolo da CTRS e identifique o local que está instalado os receptores SAT SP e SAT REDE. Vá até o acesso pela parte de trás do rack 03 e identifique a parte traseira dos equipamentos, se atente para não errar os receptores e tirar cabos errados de outros equipamentos.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Terá um cabo </w:t>
      </w:r>
      <w:r w:rsidDel="00000000" w:rsidR="00000000" w:rsidRPr="00000000">
        <w:rPr>
          <w:i w:val="1"/>
          <w:rtl w:val="0"/>
        </w:rPr>
        <w:t xml:space="preserve">SDI</w:t>
      </w:r>
      <w:r w:rsidDel="00000000" w:rsidR="00000000" w:rsidRPr="00000000">
        <w:rPr>
          <w:rtl w:val="0"/>
        </w:rPr>
        <w:t xml:space="preserve"> verde, identificado como: </w:t>
      </w:r>
      <w:r w:rsidDel="00000000" w:rsidR="00000000" w:rsidRPr="00000000">
        <w:rPr>
          <w:b w:val="1"/>
          <w:rtl w:val="0"/>
        </w:rPr>
        <w:t xml:space="preserve">“ V1282HD ”</w:t>
      </w:r>
      <w:r w:rsidDel="00000000" w:rsidR="00000000" w:rsidRPr="00000000">
        <w:rPr>
          <w:rtl w:val="0"/>
        </w:rPr>
        <w:t xml:space="preserve">, conectado no receptor da REDE HD2 (</w:t>
      </w:r>
      <w:r w:rsidDel="00000000" w:rsidR="00000000" w:rsidRPr="00000000">
        <w:rPr>
          <w:i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3).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Use a ferramenta de movimentação de conectores BNC, o que chamamos de ferramenta de </w:t>
      </w:r>
      <w:r w:rsidDel="00000000" w:rsidR="00000000" w:rsidRPr="00000000">
        <w:rPr>
          <w:i w:val="1"/>
          <w:rtl w:val="0"/>
        </w:rPr>
        <w:t xml:space="preserve">Patch</w:t>
      </w:r>
      <w:r w:rsidDel="00000000" w:rsidR="00000000" w:rsidRPr="00000000">
        <w:rPr>
          <w:rtl w:val="0"/>
        </w:rPr>
        <w:t xml:space="preserve">, para desconectar do receptor REDE HD2 (</w:t>
      </w:r>
      <w:r w:rsidDel="00000000" w:rsidR="00000000" w:rsidRPr="00000000">
        <w:rPr>
          <w:i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3) e então conecte no receptor SAT SP HD1 (</w:t>
      </w:r>
      <w:r w:rsidDel="00000000" w:rsidR="00000000" w:rsidRPr="00000000">
        <w:rPr>
          <w:i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3).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5410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Pronto, a realização da troca do cabo de interatividade está concluída.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1.5. - Destaques e Observações Importantes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Lembre-se de rotacionar o conector BNC para fixar a conexão.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 ferramenta de Patch como prioridade na operação do procedimento.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Após o uso da interatividade, desfaça o procedimento. Portanto, volte o cabo da interatividade para o receptor SAT REDE HD2 (</w:t>
      </w:r>
      <w:r w:rsidDel="00000000" w:rsidR="00000000" w:rsidRPr="00000000">
        <w:rPr>
          <w:i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 3).</w:t>
      </w:r>
    </w:p>
    <w:sectPr>
      <w:headerReference r:id="rId18" w:type="default"/>
      <w:headerReference r:id="rId19" w:type="first"/>
      <w:footerReference r:id="rId20" w:type="first"/>
      <w:type w:val="nextPage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  <w:tbl>
    <w:tblPr>
      <w:tblStyle w:val="Table1"/>
      <w:tblW w:w="10845.0" w:type="dxa"/>
      <w:jc w:val="left"/>
      <w:tblInd w:w="-91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600"/>
    </w:tblPr>
    <w:tblGrid>
      <w:gridCol w:w="2670"/>
      <w:gridCol w:w="2310"/>
      <w:gridCol w:w="1500"/>
      <w:gridCol w:w="1500"/>
      <w:gridCol w:w="2865"/>
      <w:tblGridChange w:id="0">
        <w:tblGrid>
          <w:gridCol w:w="2670"/>
          <w:gridCol w:w="2310"/>
          <w:gridCol w:w="1500"/>
          <w:gridCol w:w="1500"/>
          <w:gridCol w:w="2865"/>
        </w:tblGrid>
      </w:tblGridChange>
    </w:tblGrid>
    <w:tr>
      <w:trPr>
        <w:cantSplit w:val="0"/>
        <w:trHeight w:val="1035" w:hRule="atLeast"/>
        <w:tblHeader w:val="0"/>
      </w:trPr>
      <w:tc>
        <w:tcPr>
          <w:vMerge w:val="restart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vAlign w:val="center"/>
        </w:tcPr>
        <w:p w:rsidR="00000000" w:rsidDel="00000000" w:rsidP="00000000" w:rsidRDefault="00000000" w:rsidRPr="00000000" w14:paraId="00000035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</w:rPr>
            <w:drawing>
              <wp:inline distB="114300" distT="114300" distL="114300" distR="114300">
                <wp:extent cx="1709738" cy="961095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b="0" l="5555" r="-5555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9738" cy="9610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4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center"/>
        </w:tcPr>
        <w:p w:rsidR="00000000" w:rsidDel="00000000" w:rsidP="00000000" w:rsidRDefault="00000000" w:rsidRPr="00000000" w14:paraId="00000036">
          <w:pPr>
            <w:widowControl w:val="0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PROCEDIMENTO OPERACIONAL PADRÃO - POP</w:t>
          </w:r>
        </w:p>
      </w:tc>
    </w:tr>
    <w:tr>
      <w:trPr>
        <w:cantSplit w:val="0"/>
        <w:trHeight w:val="315" w:hRule="atLeast"/>
        <w:tblHeader w:val="0"/>
      </w:trPr>
      <w:tc>
        <w:tcPr>
          <w:vMerge w:val="continue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</w:tcPr>
        <w:p w:rsidR="00000000" w:rsidDel="00000000" w:rsidP="00000000" w:rsidRDefault="00000000" w:rsidRPr="00000000" w14:paraId="0000003A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4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center"/>
        </w:tcPr>
        <w:p w:rsidR="00000000" w:rsidDel="00000000" w:rsidP="00000000" w:rsidRDefault="00000000" w:rsidRPr="00000000" w14:paraId="0000003B">
          <w:pPr>
            <w:widowControl w:val="0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TROCA DO CABO DE INTERATIVIDADE (SAT SP / SAT REDE)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15" w:hRule="atLeast"/>
        <w:tblHeader w:val="0"/>
      </w:trPr>
      <w:tc>
        <w:tcPr>
          <w:vMerge w:val="continue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</w:tcPr>
        <w:p w:rsidR="00000000" w:rsidDel="00000000" w:rsidP="00000000" w:rsidRDefault="00000000" w:rsidRPr="00000000" w14:paraId="0000003F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0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Data: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1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25/07/2025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2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Elaborado Por: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3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Raul Rolim</w:t>
          </w:r>
        </w:p>
      </w:tc>
    </w:tr>
    <w:tr>
      <w:trPr>
        <w:cantSplit w:val="0"/>
        <w:trHeight w:val="315" w:hRule="atLeast"/>
        <w:tblHeader w:val="0"/>
      </w:trPr>
      <w:tc>
        <w:tcPr>
          <w:vMerge w:val="continue"/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</w:tcPr>
        <w:p w:rsidR="00000000" w:rsidDel="00000000" w:rsidP="00000000" w:rsidRDefault="00000000" w:rsidRPr="00000000" w14:paraId="00000044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5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Revisão: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6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1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7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Aprovado Por:</w:t>
          </w:r>
        </w:p>
      </w:tc>
      <w:tc>
        <w:tcPr>
          <w:tcBorders>
            <w:top w:color="000000" w:space="0" w:sz="5" w:val="single"/>
            <w:left w:color="000000" w:space="0" w:sz="5" w:val="single"/>
            <w:bottom w:color="000000" w:space="0" w:sz="5" w:val="single"/>
            <w:right w:color="000000" w:space="0" w:sz="5" w:val="single"/>
          </w:tcBorders>
          <w:tcMar>
            <w:top w:w="40.0" w:type="dxa"/>
            <w:left w:w="40.0" w:type="dxa"/>
            <w:bottom w:w="40.0" w:type="dxa"/>
            <w:right w:w="40.0" w:type="dxa"/>
          </w:tcMar>
          <w:vAlign w:val="bottom"/>
        </w:tcPr>
        <w:p w:rsidR="00000000" w:rsidDel="00000000" w:rsidP="00000000" w:rsidRDefault="00000000" w:rsidRPr="00000000" w14:paraId="00000048">
          <w:pPr>
            <w:widowControl w:val="0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Lucas Morgante</w:t>
          </w:r>
        </w:p>
      </w:tc>
    </w:tr>
  </w:tbl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footer" Target="footer2.xml"/><Relationship Id="rId10" Type="http://schemas.openxmlformats.org/officeDocument/2006/relationships/header" Target="header3.xml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4.xml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5.xml"/><Relationship Id="rId6" Type="http://schemas.openxmlformats.org/officeDocument/2006/relationships/header" Target="header1.xml"/><Relationship Id="rId18" Type="http://schemas.openxmlformats.org/officeDocument/2006/relationships/header" Target="header6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