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center"/>
        <w:rPr>
          <w:b/>
          <w:bCs/>
          <w:sz w:val="28"/>
          <w:szCs w:val="28"/>
        </w:rPr>
      </w:pPr>
      <w:r>
        <mc:AlternateContent>
          <mc:Choice Requires="wps">
            <w:drawing>
              <wp:anchor behindDoc="1" distT="5715" distB="4445" distL="5715" distR="4445" simplePos="0" locked="0" layoutInCell="1" allowOverlap="1" relativeHeight="2"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d0d0d"/>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r>
        <w:rPr>
          <w:sz w:val="28"/>
          <w:szCs w:val="28"/>
        </w:rPr>
        <w:t xml:space="preserve"> </w:t>
      </w:r>
      <w:r>
        <w:rPr>
          <w:b/>
          <w:sz w:val="28"/>
          <w:szCs w:val="28"/>
        </w:rPr>
        <w:t>РОСЖЕЛДОР</w:t>
      </w:r>
    </w:p>
    <w:p>
      <w:pPr>
        <w:pStyle w:val="Normal"/>
        <w:spacing w:lineRule="auto" w:line="240" w:before="0" w:after="0"/>
        <w:contextualSpacing/>
        <w:jc w:val="center"/>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lineRule="auto" w:line="240" w:before="0" w:after="0"/>
        <w:contextualSpacing/>
        <w:jc w:val="center"/>
        <w:rPr/>
      </w:pPr>
      <w:r>
        <w:rPr>
          <w:sz w:val="28"/>
          <w:szCs w:val="28"/>
        </w:rPr>
        <w:t>кафедра «Информационные технологии транспорта»</w:t>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32"/>
          <w:szCs w:val="32"/>
        </w:rPr>
        <w:t>Научно-исследовательская работа на тему «Разработка мобильного приложения для определения мошеннических транзакций в банках»</w:t>
      </w:r>
    </w:p>
    <w:p>
      <w:pPr>
        <w:pStyle w:val="Normal"/>
        <w:spacing w:lineRule="auto" w:line="240" w:before="0" w:after="0"/>
        <w:contextualSpacing/>
        <w:jc w:val="center"/>
        <w:rPr/>
      </w:pPr>
      <w:r>
        <w:rPr>
          <w:sz w:val="32"/>
          <w:szCs w:val="32"/>
        </w:rPr>
        <w:t>Вид практики: преддипломная</w:t>
      </w:r>
    </w:p>
    <w:p>
      <w:pPr>
        <w:pStyle w:val="Normal"/>
        <w:spacing w:lineRule="auto" w:line="240" w:before="0" w:after="0"/>
        <w:contextualSpacing/>
        <w:jc w:val="center"/>
        <w:rPr>
          <w:sz w:val="28"/>
          <w:szCs w:val="28"/>
        </w:rPr>
      </w:pPr>
      <w:r>
        <w:rPr>
          <w:sz w:val="28"/>
          <w:szCs w:val="28"/>
        </w:rPr>
      </w:r>
    </w:p>
    <w:tbl>
      <w:tblPr>
        <w:tblStyle w:val="a3"/>
        <w:tblW w:w="8963" w:type="dxa"/>
        <w:jc w:val="left"/>
        <w:tblInd w:w="500" w:type="dxa"/>
        <w:tblLayout w:type="fixed"/>
        <w:tblCellMar>
          <w:top w:w="0" w:type="dxa"/>
          <w:left w:w="108" w:type="dxa"/>
          <w:bottom w:w="0" w:type="dxa"/>
          <w:right w:w="108" w:type="dxa"/>
        </w:tblCellMar>
        <w:tblLook w:firstRow="1" w:noVBand="1" w:lastRow="0" w:firstColumn="1" w:lastColumn="0" w:noHBand="0" w:val="04a0"/>
      </w:tblPr>
      <w:tblGrid>
        <w:gridCol w:w="4278"/>
        <w:gridCol w:w="415"/>
        <w:gridCol w:w="4270"/>
      </w:tblGrid>
      <w:tr>
        <w:trPr/>
        <w:tc>
          <w:tcPr>
            <w:tcW w:w="4278"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Проверили:</w:t>
            </w:r>
          </w:p>
          <w:p>
            <w:pPr>
              <w:pStyle w:val="Normal"/>
              <w:widowControl w:val="false"/>
              <w:spacing w:lineRule="auto" w:line="240" w:before="0" w:after="0"/>
              <w:contextualSpacing/>
              <w:jc w:val="left"/>
              <w:rPr>
                <w:kern w:val="0"/>
                <w:lang w:val="ru-RU" w:bidi="ar-SA"/>
              </w:rPr>
            </w:pPr>
            <w:r>
              <w:rPr>
                <w:kern w:val="0"/>
                <w:sz w:val="28"/>
                <w:szCs w:val="28"/>
                <w:lang w:val="ru-RU" w:bidi="ar-SA"/>
              </w:rPr>
              <w:t>ст. преподаватель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 А. А. Уланов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4270"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Выполнил:</w:t>
            </w:r>
          </w:p>
          <w:p>
            <w:pPr>
              <w:pStyle w:val="Normal"/>
              <w:widowControl w:val="false"/>
              <w:spacing w:lineRule="auto" w:line="240" w:before="0" w:after="0"/>
              <w:contextualSpacing/>
              <w:jc w:val="left"/>
              <w:rPr>
                <w:kern w:val="0"/>
                <w:lang w:val="ru-RU" w:bidi="ar-SA"/>
              </w:rPr>
            </w:pPr>
            <w:r>
              <w:rPr>
                <w:kern w:val="0"/>
                <w:sz w:val="28"/>
                <w:szCs w:val="28"/>
                <w:lang w:val="ru-RU" w:bidi="ar-SA"/>
              </w:rPr>
              <w:t>студент гр. БПИ-411</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bidi="ar-SA"/>
              </w:rPr>
            </w:pPr>
            <w:r>
              <w:rPr>
                <w:kern w:val="0"/>
                <w:sz w:val="28"/>
                <w:szCs w:val="28"/>
                <w:lang w:val="ru-RU" w:bidi="ar-SA"/>
              </w:rPr>
              <w:t>______________К. В. Рязанов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b/>
          <w:sz w:val="28"/>
          <w:szCs w:val="28"/>
        </w:rPr>
        <w:t>Краткая рецензия</w:t>
      </w:r>
      <w:r>
        <w:rPr>
          <w:sz w:val="28"/>
          <w:szCs w:val="28"/>
        </w:rPr>
        <w:t>:</w:t>
      </w:r>
    </w:p>
    <w:tbl>
      <w:tblPr>
        <w:tblStyle w:val="a3"/>
        <w:tblW w:w="935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cPr>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bl>
    <w:p>
      <w:pPr>
        <w:pStyle w:val="Normal"/>
        <w:spacing w:lineRule="auto" w:line="240" w:before="0" w:after="0"/>
        <w:contextualSpacing/>
        <w:jc w:val="center"/>
        <w:rPr>
          <w:sz w:val="28"/>
          <w:szCs w:val="28"/>
        </w:rPr>
      </w:pPr>
      <w:r>
        <w:rPr>
          <w:sz w:val="28"/>
          <w:szCs w:val="28"/>
        </w:rPr>
      </w:r>
    </w:p>
    <w:tbl>
      <w:tblPr>
        <w:tblStyle w:val="a3"/>
        <w:tblW w:w="636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(запись о допуске к защите)</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r>
        <w:trPr>
          <w:trHeight w:val="299"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(оценка по результатам защиты)</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(подписи преподавателей)</w:t>
            </w:r>
          </w:p>
        </w:tc>
      </w:tr>
      <w:tr>
        <w:trPr>
          <w:trHeight w:val="337"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(дата защиты)</w:t>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28"/>
          <w:szCs w:val="28"/>
        </w:rPr>
        <w:t xml:space="preserve">Новосибирск </w:t>
      </w:r>
    </w:p>
    <w:p>
      <w:pPr>
        <w:pStyle w:val="Normal"/>
        <w:spacing w:lineRule="auto" w:line="240" w:before="0" w:after="0"/>
        <w:contextualSpacing/>
        <w:jc w:val="center"/>
        <w:rPr/>
      </w:pPr>
      <w:r>
        <w:rPr>
          <w:rFonts w:cs="Times New Roman CYR" w:ascii="Times New Roman CYR" w:hAnsi="Times New Roman CYR"/>
          <w:sz w:val="28"/>
          <w:szCs w:val="28"/>
          <w:lang w:eastAsia="ru-RU"/>
        </w:rPr>
        <w:t xml:space="preserve"> </w:t>
      </w:r>
      <w:r>
        <w:rPr>
          <w:rFonts w:cs="Times New Roman CYR" w:ascii="Times New Roman CYR" w:hAnsi="Times New Roman CYR"/>
          <w:sz w:val="28"/>
          <w:szCs w:val="28"/>
          <w:lang w:eastAsia="ru-RU"/>
        </w:rPr>
        <w:t>202</w:t>
      </w:r>
      <w:r>
        <w:rPr>
          <w:rFonts w:cs="Times New Roman CYR" w:ascii="Times New Roman CYR" w:hAnsi="Times New Roman CYR"/>
          <w:sz w:val="28"/>
          <w:szCs w:val="28"/>
          <w:lang w:val="ru-RU" w:eastAsia="ru-RU"/>
        </w:rPr>
        <w:t>5</w:t>
      </w:r>
      <w:r>
        <w:br w:type="page"/>
      </w:r>
    </w:p>
    <w:p>
      <w:pPr>
        <w:pStyle w:val="Normal"/>
        <w:widowControl w:val="false"/>
        <w:spacing w:lineRule="auto" w:line="360" w:before="0" w:after="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Heading1"/>
        <w:numPr>
          <w:ilvl w:val="0"/>
          <w:numId w:val="0"/>
        </w:numPr>
        <w:spacing w:before="0" w:after="567"/>
        <w:ind w:hanging="0" w:left="0"/>
        <w:outlineLvl w:val="9"/>
        <w:rPr/>
      </w:pPr>
      <w:bookmarkStart w:id="0" w:name="__RefHeading___Toc2408_2887410827"/>
      <w:bookmarkEnd w:id="0"/>
      <w:r>
        <w:rPr>
          <w:rFonts w:cs="Times New Roman CYR" w:ascii="Times New Roman CYR" w:hAnsi="Times New Roman CYR"/>
          <w:szCs w:val="28"/>
          <w:lang w:eastAsia="ru-RU"/>
        </w:rPr>
        <w:t>ТЕРМИНЫ И ОПРЕДЕЛЕНИЯ</w:t>
      </w:r>
    </w:p>
    <w:p>
      <w:pPr>
        <w:pStyle w:val="Normal"/>
        <w:numPr>
          <w:ilvl w:val="0"/>
          <w:numId w:val="0"/>
        </w:numPr>
        <w:ind w:hanging="0" w:left="0"/>
        <w:rPr>
          <w:rFonts w:ascii="Times New Roman CYR" w:hAnsi="Times New Roman CYR" w:cs="Times New Roman CYR"/>
          <w:szCs w:val="28"/>
          <w:lang w:eastAsia="ru-RU"/>
        </w:rPr>
      </w:pPr>
      <w:r>
        <w:rPr>
          <w:rFonts w:cs="Times New Roman CYR" w:ascii="Times New Roman CYR" w:hAnsi="Times New Roman CYR"/>
          <w:szCs w:val="28"/>
          <w:lang w:eastAsia="ru-RU"/>
        </w:rPr>
      </w:r>
    </w:p>
    <w:p>
      <w:pPr>
        <w:pStyle w:val="Heading1"/>
        <w:numPr>
          <w:ilvl w:val="0"/>
          <w:numId w:val="1"/>
        </w:numPr>
        <w:outlineLvl w:val="9"/>
        <w:rPr/>
      </w:pPr>
      <w:bookmarkStart w:id="1" w:name="__RefHeading___Toc6498_3885207264"/>
      <w:bookmarkEnd w:id="1"/>
      <w:r>
        <w:rPr/>
        <w:t>ПЕРЕЧЕНЬ ОБОЗНАЧЕНИЙ И СОКРАЩЕНИЙ</w:t>
      </w:r>
    </w:p>
    <w:p>
      <w:pPr>
        <w:pStyle w:val="11"/>
        <w:ind w:hanging="0" w:left="0"/>
        <w:jc w:val="center"/>
        <w:outlineLvl w:val="9"/>
        <w:rPr>
          <w:u w:val="none"/>
        </w:rPr>
      </w:pPr>
      <w:bookmarkStart w:id="2" w:name="__RefHeading___Toc2406_2887410827"/>
      <w:bookmarkEnd w:id="2"/>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TOC1"/>
            <w:tabs>
              <w:tab w:val="clear" w:pos="708"/>
              <w:tab w:val="right" w:pos="9355"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r>
            <w:r>
              <w:rPr>
                <w:rStyle w:val="Style5"/>
              </w:rPr>
              <w:tab/>
              <w:t>7</w:t>
            </w:r>
          </w:hyperlink>
        </w:p>
        <w:p>
          <w:pPr>
            <w:pStyle w:val="TOC1"/>
            <w:tabs>
              <w:tab w:val="clear" w:pos="708"/>
              <w:tab w:val="right" w:pos="9355" w:leader="dot"/>
            </w:tabs>
            <w:rPr/>
          </w:pPr>
          <w:hyperlink w:anchor="__RefHeading___Toc6444_3885207264">
            <w:r>
              <w:rPr>
                <w:rStyle w:val="Style5"/>
              </w:rPr>
              <w:t>1 Аналитическое исследование</w:t>
              <w:tab/>
              <w:t>8</w:t>
            </w:r>
          </w:hyperlink>
        </w:p>
        <w:p>
          <w:pPr>
            <w:pStyle w:val="TOC2"/>
            <w:tabs>
              <w:tab w:val="clear" w:pos="708"/>
              <w:tab w:val="right" w:pos="9355" w:leader="dot"/>
            </w:tabs>
            <w:rPr/>
          </w:pPr>
          <w:hyperlink w:anchor="__RefHeading___Toc6446_3885207264">
            <w:r>
              <w:rPr>
                <w:rStyle w:val="Style5"/>
              </w:rPr>
              <w:t>1.1 Описание предметной области</w:t>
              <w:tab/>
              <w:t>8</w:t>
            </w:r>
          </w:hyperlink>
        </w:p>
        <w:p>
          <w:pPr>
            <w:pStyle w:val="TOC2"/>
            <w:tabs>
              <w:tab w:val="clear" w:pos="708"/>
              <w:tab w:val="right" w:pos="9355" w:leader="dot"/>
            </w:tabs>
            <w:rPr/>
          </w:pPr>
          <w:hyperlink w:anchor="__RefHeading___Toc6502_3885207264">
            <w:r>
              <w:rPr>
                <w:rStyle w:val="Style5"/>
              </w:rPr>
              <w:t>1.2 Анализ аналогов</w:t>
              <w:tab/>
              <w:t>8</w:t>
            </w:r>
          </w:hyperlink>
        </w:p>
        <w:p>
          <w:pPr>
            <w:pStyle w:val="TOC2"/>
            <w:tabs>
              <w:tab w:val="clear" w:pos="708"/>
              <w:tab w:val="right" w:pos="9355" w:leader="dot"/>
            </w:tabs>
            <w:rPr/>
          </w:pPr>
          <w:hyperlink w:anchor="__RefHeading___Toc6504_3885207264">
            <w:r>
              <w:rPr>
                <w:rStyle w:val="Style5"/>
              </w:rPr>
              <w:t>1.3 Актуальность разработки</w:t>
              <w:tab/>
              <w:t>8</w:t>
            </w:r>
          </w:hyperlink>
        </w:p>
        <w:p>
          <w:pPr>
            <w:pStyle w:val="TOC1"/>
            <w:tabs>
              <w:tab w:val="clear" w:pos="708"/>
              <w:tab w:val="right" w:pos="9355" w:leader="dot"/>
            </w:tabs>
            <w:rPr/>
          </w:pPr>
          <w:hyperlink w:anchor="__RefHeading___Toc6448_3885207264">
            <w:r>
              <w:rPr>
                <w:rStyle w:val="Style5"/>
              </w:rPr>
              <w:t>2 Проектирование информационной системы</w:t>
              <w:tab/>
              <w:t>9</w:t>
            </w:r>
          </w:hyperlink>
        </w:p>
        <w:p>
          <w:pPr>
            <w:pStyle w:val="TOC2"/>
            <w:tabs>
              <w:tab w:val="clear" w:pos="708"/>
              <w:tab w:val="right" w:pos="9355" w:leader="dot"/>
            </w:tabs>
            <w:rPr/>
          </w:pPr>
          <w:hyperlink w:anchor="__RefHeading___Toc7440_3885207264">
            <w:r>
              <w:rPr>
                <w:rStyle w:val="Style5"/>
              </w:rPr>
              <w:t>2.1 Моделирование бизнес-процессов ИС</w:t>
              <w:tab/>
              <w:t>9</w:t>
            </w:r>
          </w:hyperlink>
        </w:p>
        <w:p>
          <w:pPr>
            <w:pStyle w:val="TOC2"/>
            <w:tabs>
              <w:tab w:val="clear" w:pos="708"/>
              <w:tab w:val="right" w:pos="9355" w:leader="dot"/>
            </w:tabs>
            <w:rPr/>
          </w:pPr>
          <w:hyperlink w:anchor="__RefHeading___Toc7442_3885207264">
            <w:r>
              <w:rPr>
                <w:rStyle w:val="Style5"/>
              </w:rPr>
              <w:t>2.2 Структура ИС и ее средства разработки</w:t>
              <w:tab/>
              <w:t>9</w:t>
            </w:r>
          </w:hyperlink>
        </w:p>
        <w:p>
          <w:pPr>
            <w:pStyle w:val="TOC2"/>
            <w:tabs>
              <w:tab w:val="clear" w:pos="708"/>
              <w:tab w:val="right" w:pos="9355" w:leader="dot"/>
            </w:tabs>
            <w:rPr/>
          </w:pPr>
          <w:hyperlink w:anchor="__RefHeading___Toc7444_3885207264">
            <w:r>
              <w:rPr>
                <w:rStyle w:val="Style5"/>
              </w:rPr>
              <w:t>2.3 Требования к ИС</w:t>
              <w:tab/>
              <w:t>9</w:t>
            </w:r>
          </w:hyperlink>
        </w:p>
        <w:p>
          <w:pPr>
            <w:pStyle w:val="TOC1"/>
            <w:tabs>
              <w:tab w:val="clear" w:pos="708"/>
              <w:tab w:val="right" w:pos="9355" w:leader="dot"/>
            </w:tabs>
            <w:rPr/>
          </w:pPr>
          <w:hyperlink w:anchor="__RefHeading___Toc6450_3885207264">
            <w:r>
              <w:rPr>
                <w:rStyle w:val="Style5"/>
              </w:rPr>
              <w:t>3 Разработка информационной системы</w:t>
              <w:tab/>
              <w:t>10</w:t>
            </w:r>
          </w:hyperlink>
        </w:p>
        <w:p>
          <w:pPr>
            <w:pStyle w:val="TOC2"/>
            <w:tabs>
              <w:tab w:val="clear" w:pos="708"/>
              <w:tab w:val="right" w:pos="9355" w:leader="dot"/>
            </w:tabs>
            <w:rPr/>
          </w:pPr>
          <w:hyperlink w:anchor="__RefHeading___Toc6452_3885207264">
            <w:r>
              <w:rPr>
                <w:rStyle w:val="Style5"/>
              </w:rPr>
              <w:t>3.1 Описание структуры базы данных</w:t>
              <w:tab/>
              <w:t>10</w:t>
            </w:r>
          </w:hyperlink>
        </w:p>
        <w:p>
          <w:pPr>
            <w:pStyle w:val="TOC2"/>
            <w:tabs>
              <w:tab w:val="clear" w:pos="708"/>
              <w:tab w:val="right" w:pos="9355" w:leader="dot"/>
            </w:tabs>
            <w:rPr/>
          </w:pPr>
          <w:hyperlink w:anchor="__RefHeading___Toc6454_3885207264">
            <w:r>
              <w:rPr>
                <w:rStyle w:val="Style5"/>
              </w:rPr>
              <w:t>3.2 Разработка клиентской части приложения</w:t>
              <w:tab/>
              <w:t>10</w:t>
            </w:r>
          </w:hyperlink>
        </w:p>
        <w:p>
          <w:pPr>
            <w:pStyle w:val="TOC2"/>
            <w:tabs>
              <w:tab w:val="clear" w:pos="708"/>
              <w:tab w:val="right" w:pos="9355" w:leader="dot"/>
            </w:tabs>
            <w:rPr/>
          </w:pPr>
          <w:hyperlink w:anchor="__RefHeading___Toc6456_3885207264">
            <w:r>
              <w:rPr>
                <w:rStyle w:val="Style5"/>
              </w:rPr>
              <w:t>3.3 Интеграция с сервисом по определению мошеннических транзакций</w:t>
              <w:tab/>
              <w:t>10</w:t>
            </w:r>
          </w:hyperlink>
        </w:p>
        <w:p>
          <w:pPr>
            <w:pStyle w:val="TOC1"/>
            <w:tabs>
              <w:tab w:val="clear" w:pos="708"/>
              <w:tab w:val="right" w:pos="9355" w:leader="dot"/>
            </w:tabs>
            <w:rPr/>
          </w:pPr>
          <w:hyperlink w:anchor="__RefHeading___Toc2420_2887410827">
            <w:r>
              <w:rPr>
                <w:rStyle w:val="Style5"/>
              </w:rPr>
              <w:t>ЗАКЛЮЧЕНИЕ</w:t>
              <w:tab/>
              <w:t>11</w:t>
            </w:r>
          </w:hyperlink>
        </w:p>
        <w:p>
          <w:pPr>
            <w:pStyle w:val="TOC1"/>
            <w:tabs>
              <w:tab w:val="clear" w:pos="708"/>
              <w:tab w:val="right" w:pos="9355" w:leader="dot"/>
            </w:tabs>
            <w:rPr/>
          </w:pPr>
          <w:hyperlink w:anchor="__RefHeading___Toc2422_2887410827">
            <w:r>
              <w:rPr>
                <w:rStyle w:val="Style5"/>
              </w:rPr>
              <w:t>СПИСОК ИСПОЛЬЗОВАННЫХ ИСТОЧНИКОВ</w:t>
              <w:tab/>
              <w:t>12</w:t>
            </w:r>
          </w:hyperlink>
          <w:r>
            <w:rPr>
              <w:rStyle w:val="Style5"/>
            </w:rPr>
            <w:fldChar w:fldCharType="end"/>
          </w:r>
        </w:p>
      </w:sdtContent>
    </w:sdt>
    <w:p>
      <w:pPr>
        <w:pStyle w:val="Normal"/>
        <w:spacing w:before="0" w:after="160"/>
        <w:ind w:hanging="0" w:left="0" w:right="0"/>
        <w:jc w:val="left"/>
        <w:rPr>
          <w:sz w:val="28"/>
          <w:szCs w:val="28"/>
          <w:u w:val="single"/>
          <w:lang w:eastAsia="ru-RU"/>
        </w:rPr>
      </w:pPr>
      <w:r>
        <w:rPr>
          <w:sz w:val="28"/>
          <w:szCs w:val="28"/>
          <w:u w:val="single"/>
          <w:lang w:eastAsia="ru-RU"/>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r>
        <w:br w:type="page"/>
      </w:r>
    </w:p>
    <w:p>
      <w:pPr>
        <w:pStyle w:val="Heading1"/>
        <w:numPr>
          <w:ilvl w:val="0"/>
          <w:numId w:val="0"/>
        </w:numPr>
        <w:spacing w:before="0" w:after="567"/>
        <w:ind w:hanging="0" w:left="0"/>
        <w:rPr/>
      </w:pPr>
      <w:bookmarkStart w:id="3" w:name="__RefHeading___Toc2410_2887410827"/>
      <w:bookmarkStart w:id="4" w:name="_Toc81940694"/>
      <w:bookmarkEnd w:id="3"/>
      <w:r>
        <w:rPr>
          <w:rFonts w:cs="Times New Roman CYR" w:ascii="Times New Roman CYR" w:hAnsi="Times New Roman CYR"/>
          <w:szCs w:val="28"/>
          <w:lang w:eastAsia="ru-RU"/>
        </w:rPr>
        <w:t>ВВЕДЕНИЕ</w:t>
      </w:r>
      <w:bookmarkEnd w:id="4"/>
    </w:p>
    <w:p>
      <w:pPr>
        <w:pStyle w:val="BodyText"/>
        <w:numPr>
          <w:ilvl w:val="0"/>
          <w:numId w:val="3"/>
        </w:numPr>
        <w:tabs>
          <w:tab w:val="clear" w:pos="708"/>
          <w:tab w:val="left" w:pos="0" w:leader="none"/>
        </w:tabs>
        <w:ind w:firstLine="426" w:left="709" w:right="0"/>
        <w:rPr>
          <w:highlight w:val="none"/>
          <w:shd w:fill="FFFF00" w:val="clear"/>
        </w:rPr>
      </w:pPr>
      <w:r>
        <w:rPr>
          <w:shd w:fill="FFFF00" w:val="clear"/>
        </w:rPr>
        <w:t>1.1. Актуальность темы</w:t>
      </w:r>
    </w:p>
    <w:p>
      <w:pPr>
        <w:pStyle w:val="BodyText"/>
        <w:numPr>
          <w:ilvl w:val="0"/>
          <w:numId w:val="3"/>
        </w:numPr>
        <w:tabs>
          <w:tab w:val="clear" w:pos="708"/>
          <w:tab w:val="left" w:pos="0" w:leader="none"/>
        </w:tabs>
        <w:ind w:firstLine="426" w:left="709" w:right="0"/>
        <w:rPr>
          <w:highlight w:val="none"/>
          <w:shd w:fill="FFFF00" w:val="clear"/>
        </w:rPr>
      </w:pPr>
      <w:r>
        <w:rPr>
          <w:shd w:fill="FFFF00" w:val="clear"/>
        </w:rPr>
        <w:t>1.2. Цели и задачи работы</w:t>
      </w:r>
    </w:p>
    <w:p>
      <w:pPr>
        <w:pStyle w:val="BodyText"/>
        <w:numPr>
          <w:ilvl w:val="0"/>
          <w:numId w:val="3"/>
        </w:numPr>
        <w:tabs>
          <w:tab w:val="clear" w:pos="708"/>
          <w:tab w:val="left" w:pos="0" w:leader="none"/>
        </w:tabs>
        <w:spacing w:before="0" w:after="283"/>
        <w:ind w:firstLine="426" w:left="709" w:right="0"/>
        <w:rPr>
          <w:highlight w:val="none"/>
          <w:shd w:fill="FFFF00" w:val="clear"/>
        </w:rPr>
      </w:pPr>
      <w:r>
        <w:rPr>
          <w:shd w:fill="FFFF00" w:val="clear"/>
        </w:rPr>
        <w:t>1.3. Объект и предмет исследования</w:t>
      </w:r>
    </w:p>
    <w:p>
      <w:pPr>
        <w:pStyle w:val="BodyText"/>
        <w:rPr/>
      </w:pPr>
      <w:r>
        <w:rPr/>
      </w:r>
      <w:r>
        <w:br w:type="page"/>
      </w:r>
    </w:p>
    <w:p>
      <w:pPr>
        <w:pStyle w:val="Heading2"/>
        <w:numPr>
          <w:ilvl w:val="0"/>
          <w:numId w:val="4"/>
        </w:numPr>
        <w:spacing w:before="0" w:after="567"/>
        <w:rPr/>
      </w:pPr>
      <w:bookmarkStart w:id="5" w:name="__RefHeading___Toc6444_3885207264"/>
      <w:bookmarkEnd w:id="5"/>
      <w:r>
        <w:rPr>
          <w:rStyle w:val="Strong"/>
          <w:b/>
          <w:bCs w:val="false"/>
        </w:rPr>
        <w:t>Аналитическое исследование</w:t>
      </w:r>
    </w:p>
    <w:p>
      <w:pPr>
        <w:pStyle w:val="Heading3"/>
        <w:numPr>
          <w:ilvl w:val="1"/>
          <w:numId w:val="4"/>
        </w:numPr>
        <w:ind w:firstLine="709" w:left="0" w:right="0"/>
        <w:rPr/>
      </w:pPr>
      <w:bookmarkStart w:id="6" w:name="__RefHeading___Toc6446_3885207264"/>
      <w:bookmarkEnd w:id="6"/>
      <w:r>
        <w:rPr/>
        <w:t>Описание предметной области</w:t>
      </w:r>
    </w:p>
    <w:p>
      <w:pPr>
        <w:pStyle w:val="BodyText"/>
        <w:rPr/>
      </w:pPr>
      <w:r>
        <w:rPr/>
        <w:t>Предметная область исследования посвящена процессу выявления и предотвращения мошеннических транзакций в рамках мобильных банковских приложений. Данная тематика приобретает особую значимость ввиду широкого распространения цифровых технологий и стремительного увеличения объема мобильных банковских операций, что сопровождается существенным ростом числа мошеннических действий в этой сфере.</w:t>
      </w:r>
    </w:p>
    <w:p>
      <w:pPr>
        <w:pStyle w:val="BodyText"/>
        <w:rPr/>
      </w:pPr>
      <w:r>
        <w:rPr/>
        <w:t>Современная ситуация демонстрирует значительные изменения в характере и масштабе мошенничества. Динамичное развитие цифровых платформ и активное проникновение мобильных технологий делают смартфоны ключевым каналом оказания банковских услуг, одновременно превращая их в основную цель для злоумышленников. Рассмотрим подробно характерные черты современных угроз и способы их преодоления.</w:t>
      </w:r>
    </w:p>
    <w:p>
      <w:pPr>
        <w:pStyle w:val="BodyText"/>
        <w:rPr/>
      </w:pPr>
      <w:r>
        <w:rPr/>
        <w:t xml:space="preserve">Одной из главных характеристик текущего периода является активизация кибермошенников, использующих разнообразные приемы для завладения средствами клиентов банков. Наиболее распространенные виды мошенничества включают фишинг и социальную инженерию. Практика показывает, что около 45% мошеннических атак реализуются именно такими способами [1]. </w:t>
      </w:r>
    </w:p>
    <w:p>
      <w:pPr>
        <w:pStyle w:val="BodyText"/>
        <w:rPr/>
      </w:pPr>
      <w:r>
        <w:rPr/>
        <w:t>Суть фишинга заключается в создании поддельных сайтов и рассылке писем или SMS-сообщений, имитирующих официальное обращение банка. Пользователи вводят персональные данные на таких страницах, полагая, что взаимодействуют непосредственно с банком, однако впоследствии их данные попадают в руки злоумышленников.</w:t>
      </w:r>
    </w:p>
    <w:p>
      <w:pPr>
        <w:pStyle w:val="BodyText"/>
        <w:rPr/>
      </w:pPr>
      <w:r>
        <w:rPr/>
        <w:t xml:space="preserve">Дополнительную опасность представляют вредоносные приложения, распространяемые через сторонние магазины или рассылки спама. Они маскируются под оригинальные банковские продукты, предлагая установить программу, похожую на оригинальное приложение банка. Однако после установки такие приложения собирают всю необходимую информацию, такую как пароли, номера карт и коды подтверждения, позволяя преступникам проводить несанкционированные платежи </w:t>
      </w:r>
      <w:r>
        <w:rPr>
          <w:lang w:val="en-US"/>
        </w:rPr>
        <w:t>[2].</w:t>
      </w:r>
    </w:p>
    <w:p>
      <w:pPr>
        <w:pStyle w:val="BodyText"/>
        <w:rPr/>
      </w:pPr>
      <w:r>
        <w:rPr/>
        <w:t xml:space="preserve">В последнее время значительное распространение получили техники, основанные на глубоких нейронных сетях (так называемые DeepFake-технологии). Эти методы позволяют злоумышленникам реалистично воспроизводить внешность и речь реальных людей, включая сотрудников банка. Подделанные звонки и сообщения создают иллюзию общения с представителем кредитной организации, вводя жертву в заблуждение относительно правомерности запрашиваемых действий </w:t>
      </w:r>
      <w:r>
        <w:rPr>
          <w:lang w:val="en-US"/>
        </w:rPr>
        <w:t>[3].</w:t>
      </w:r>
    </w:p>
    <w:p>
      <w:pPr>
        <w:pStyle w:val="BodyText"/>
        <w:rPr/>
      </w:pPr>
      <w:r>
        <w:rPr/>
        <w:t>Противодействие мошенническим действиям включает комплекс мероприятий организационного и технологического характера. Организационные меры предполагают повышение уровня информированности клиентов о существующих видах мошенничества и формирование привычек осторожного пользования мобильными устройствами. Многие крупные российские банки проводят регулярные информационные кампании, направленные на обучение клиентов правилам безопасной работы с мобильными приложениями и предупреждения о возможностях мошенничества.</w:t>
      </w:r>
    </w:p>
    <w:p>
      <w:pPr>
        <w:pStyle w:val="BodyText"/>
        <w:rPr/>
      </w:pPr>
      <w:r>
        <w:rPr/>
        <w:t xml:space="preserve">Важнейшую роль играют специализированные антивирусные программы и системы поведенческого анализа. Последние работают на основе алгоритмов машинного обучения, способных выявить нестандартные паттерны поведения пользователя и предупредить о потенциальной опасности транзакции. Особенно эффективны такие системы в случаях массовой рассылки сообщений с предложением перевести средства на подставные счета или предоставить секретные данные </w:t>
      </w:r>
      <w:r>
        <w:rPr>
          <w:lang w:val="en-US"/>
        </w:rPr>
        <w:t>[4].</w:t>
      </w:r>
    </w:p>
    <w:p>
      <w:pPr>
        <w:pStyle w:val="BodyText"/>
        <w:rPr/>
      </w:pPr>
      <w:r>
        <w:rPr/>
        <w:t xml:space="preserve">Регуляторные органы предпринимают шаги по ужесточению правил ведения банковской деятельности в отношении удаленных каналов обслуживания. Центробанк России выпустил серию рекомендаций, предусматривающих обязательную интеграцию с биометрическими системами для высоких уровней риска, периодический аудит используемых алгоритмов и реализацию стандартов защиты на основании федерального закона №115-ФЗ </w:t>
      </w:r>
      <w:r>
        <w:rPr>
          <w:lang w:val="en-US"/>
        </w:rPr>
        <w:t>[5, 6].</w:t>
      </w:r>
    </w:p>
    <w:p>
      <w:pPr>
        <w:pStyle w:val="BodyText"/>
        <w:rPr/>
      </w:pPr>
      <w:r>
        <w:rPr/>
        <w:t>Несмотря на усилия правоохранительных органов и самого банковского сообщества, угроза мошенничества продолжает оставаться серьезной проблемой. Высокий уровень технической оснащенности и развитость инфраструктуры интернета способствуют росту масштабов таких правонарушений. Важно отметить, что своевременное реагирование и принятие превентивных мер помогают предотвратить значительную долю негативных последствий.</w:t>
      </w:r>
    </w:p>
    <w:p>
      <w:pPr>
        <w:pStyle w:val="BodyText"/>
        <w:rPr/>
      </w:pPr>
      <w:r>
        <w:rPr/>
        <w:t>Таким образом, понимание природы и динамики развития мошенничества в финансовой сфере имеет решающее значение для разработки эффективного инструментария защиты. Дальнейшее изучение этой темы позволит предложить практические рекомендации по совершенствованию механизмов защиты клиентов банков и повышению эффективности контрольных функций в сфере электронной коммерции.</w:t>
      </w:r>
    </w:p>
    <w:p>
      <w:pPr>
        <w:pStyle w:val="Normal"/>
        <w:rPr/>
      </w:pPr>
      <w:r>
        <w:rPr/>
      </w:r>
    </w:p>
    <w:p>
      <w:pPr>
        <w:pStyle w:val="Heading3"/>
        <w:numPr>
          <w:ilvl w:val="1"/>
          <w:numId w:val="4"/>
        </w:numPr>
        <w:ind w:hanging="397" w:left="754" w:right="0"/>
        <w:rPr/>
      </w:pPr>
      <w:bookmarkStart w:id="7" w:name="__RefHeading___Toc6502_3885207264"/>
      <w:bookmarkEnd w:id="7"/>
      <w:r>
        <w:rPr/>
        <w:t>Анализ аналогов</w:t>
      </w:r>
    </w:p>
    <w:p>
      <w:pPr>
        <w:pStyle w:val="BodyText"/>
        <w:rPr/>
      </w:pPr>
      <w:r>
        <w:rPr/>
        <w:t>Современные российские банки активно внедряют системы обнаружения мошеннических транзакций, которые сочетают алгоритмы машинного обучения, поведенческий анализ и многофакторную аутентификацию. В рамках исследования был проведен анализ решений, реализованных в мобильных приложениях ведущих банков России, таких как СберБанк, ВТБ и Т-Банк, а также рассмотрены регуляторные инициативы.</w:t>
      </w:r>
    </w:p>
    <w:p>
      <w:pPr>
        <w:pStyle w:val="BodyText"/>
        <w:rPr/>
      </w:pPr>
      <w:r>
        <w:rPr/>
        <w:t>В 2024 году Центральный банк Российской Федерации запустил платформу мониторинга транзакций «Цифровой след», которая интегрирует данные из 320 кредитных организаций. Эта система выявляет аномалии, такие как массовая регистрация карт на фиктивные лица, что уже привело к обнаружению 8,4 тыс. таких случаев с общим оборотом 3,2 млрд рублей [7]. Для анализа связей между счетами используются графовые алгоритмы, а результаты обработки передаются в банки для блокировки подозрительных операций.</w:t>
      </w:r>
    </w:p>
    <w:p>
      <w:pPr>
        <w:pStyle w:val="BodyText"/>
        <w:rPr/>
      </w:pPr>
      <w:r>
        <w:rPr/>
        <w:t>В мобильном приложении СберБанка реализован модуль AI Fraud Detection, который анализирует более 150 параметров транзакции, включая геолокацию, скорость набора кода и историю операций. При обнаружении аномалий, например, при переводе в новый регион, система приостанавливает операцию и отправляет push-уведомление с запросом подтверждения через голосовой биометрический шаблон [8]. Это позволяет оперативно реагировать на подозрительные действия и защищать клиентов.</w:t>
      </w:r>
    </w:p>
    <w:p>
      <w:pPr>
        <w:pStyle w:val="BodyText"/>
        <w:rPr/>
      </w:pPr>
      <w:r>
        <w:rPr/>
        <w:t>ВТБ использует систему реального времени VTB Anti-Fraud, которая сопоставляет транзакции с паттернами мошенничества из базы FICO Falcon. Для операций с высоким риском, таких как смена реквизитов получателя, активируется автоматический звонок клиенту от робота с синтезированным голосом, имитирующим сотрудника службы безопасности [9]. Это решение позволяет быстро информировать клиентов о потенциальных угрозах и предотвращать мошенничество.</w:t>
      </w:r>
    </w:p>
    <w:p>
      <w:pPr>
        <w:pStyle w:val="BodyText"/>
        <w:rPr/>
      </w:pPr>
      <w:r>
        <w:rPr/>
        <w:t>Т-Банк внедрил адаптивную аутентификацию на основе оценки риска транзакции. Для переводов до 10 тыс. рублей достаточно SMS-кода, в то время как для более крупных сумм требуется подтверждение через Face ID. В 2023 году это нововведение снизило число ложных блокировок на 27% при сохранении уровня безопасности [10], что свидетельствует о высоком уровне эффективности системы.</w:t>
      </w:r>
    </w:p>
    <w:p>
      <w:pPr>
        <w:pStyle w:val="BodyText"/>
        <w:rPr/>
      </w:pPr>
      <w:r>
        <w:rPr/>
        <w:t>С учетом новых регуляторных требований, таких как директива PSD3, российские банки адаптируют свои системы под эти нормы, внедряя автоматический запрос ИНН контрагента через API ФНС [11]. Это позволяет улучшить контроль за транзакциями и повысить уровень безопасности.</w:t>
      </w:r>
    </w:p>
    <w:p>
      <w:pPr>
        <w:pStyle w:val="BodyText"/>
        <w:rPr/>
      </w:pPr>
      <w:r>
        <w:rPr/>
        <w:t>Анализ показал, что существует тенденция к балансу между безопасностью и удобством для пользователей. Например, Тинькофф Банк использует «динамическую биометрию», запрашивая отпечаток пальца только при отклонении транзакции от типового поведения клиента. Это значительно сокращает среднее время подтверждения до 4,7 секунды [12]. Однако, согласно опросу НИУ ВШЭ, 68% пользователей отмечают, что частые запросы на верификацию вызывают раздражение, что требует тонкой настройки порогов срабатывания [13].</w:t>
      </w:r>
    </w:p>
    <w:p>
      <w:pPr>
        <w:pStyle w:val="BodyText"/>
        <w:numPr>
          <w:ilvl w:val="0"/>
          <w:numId w:val="0"/>
        </w:numPr>
        <w:ind w:hanging="0" w:left="754" w:right="0"/>
        <w:rPr>
          <w:lang w:val="en-US"/>
        </w:rPr>
      </w:pPr>
      <w:r>
        <w:rPr>
          <w:lang w:val="en-US"/>
        </w:rPr>
      </w:r>
    </w:p>
    <w:p>
      <w:pPr>
        <w:pStyle w:val="Heading3"/>
        <w:numPr>
          <w:ilvl w:val="1"/>
          <w:numId w:val="4"/>
        </w:numPr>
        <w:ind w:hanging="397" w:left="754" w:right="0"/>
        <w:rPr/>
      </w:pPr>
      <w:bookmarkStart w:id="8" w:name="__RefHeading___Toc6504_3885207264"/>
      <w:bookmarkEnd w:id="8"/>
      <w:r>
        <w:rPr/>
        <w:t>Актуальность разработки</w:t>
      </w:r>
    </w:p>
    <w:p>
      <w:pPr>
        <w:pStyle w:val="BodyText"/>
        <w:rPr/>
      </w:pPr>
      <w:r>
        <w:rPr/>
        <w:t>Существующие системы демонстрируют свою эффективность, снижая уровень мошенничества на 18–34% по данным Центрального банка [7]. Однако они имеют определенные ограничения, такие как зависимость от реактивных методов, недостаточная персонализация проверок и слабая интеграция с внешними источниками данных, например, с биометрией ЕСИА. Это подчеркивает необходимость разработки предиктивного решения, которое будет проактивно уведомлять клиентов о подозрительных транзакциях.</w:t>
      </w:r>
    </w:p>
    <w:p>
      <w:pPr>
        <w:pStyle w:val="BodyText"/>
        <w:rPr/>
      </w:pPr>
      <w:r>
        <w:rPr/>
        <w:t>Целью данной работы балы выбрана</w:t>
      </w:r>
      <w:r>
        <w:rPr/>
        <w:t xml:space="preserve"> разработк</w:t>
      </w:r>
      <w:r>
        <w:rPr/>
        <w:t>а</w:t>
      </w:r>
      <w:r>
        <w:rPr/>
        <w:t xml:space="preserve"> мобильного приложения </w:t>
      </w:r>
      <w:r>
        <w:rPr>
          <w:lang w:val="ru-RU"/>
        </w:rPr>
        <w:t>которое бы демонстрировало как текущие банковские приложения могли бы улучшить работу пользователей с рисками мошеннических транзакций</w:t>
      </w:r>
      <w:r>
        <w:rPr/>
        <w:t>, которое будет использовать алгоритмы машинного обучения для анализа транзакций. Это решение направлено на устранение недостатков существующих систем, обеспечивая более доступный и удобный способ для пользователей и банков. Основной задачей является создание интуитивно понятного интерфейса, который позволит пользователям легко взаимодействовать с приложением и получать уведомления о подозрительных транзакциях.</w:t>
      </w:r>
    </w:p>
    <w:p>
      <w:pPr>
        <w:pStyle w:val="BodyText"/>
        <w:rPr/>
      </w:pPr>
      <w:r>
        <w:rPr/>
        <w:t xml:space="preserve">Важность разработки мобильного приложения для определения мошеннических транзакций заключается не только в повышении уровня безопасности, но и в улучшении пользовательского опыта. Современные клиенты ожидают от банков не только надежности, но и удобства в использовании услуг. Мобильное приложение, которое предоставляет пользователям возможность самостоятельно контролировать свои транзакции и получать мгновенные </w:t>
      </w:r>
      <w:r>
        <w:rPr/>
        <w:t>и не навязчивые</w:t>
      </w:r>
      <w:r>
        <w:rPr/>
        <w:t xml:space="preserve"> уведомления о подозрительных действиях, </w:t>
      </w:r>
      <w:r>
        <w:rPr/>
        <w:t>а так же интерактивное обучение пользователей по работе с новым функционалом</w:t>
      </w:r>
      <w:r>
        <w:rPr/>
        <w:t>, может значительно повысить доверие к финансовым учреждениям. Кроме того, успешная реализация данного проекта может стать основой для дальнейших исследований в области финансовых технологий.</w:t>
      </w:r>
    </w:p>
    <w:p>
      <w:pPr>
        <w:pStyle w:val="BodyText"/>
        <w:rPr/>
      </w:pPr>
      <w:r>
        <w:rPr/>
        <w:t xml:space="preserve">Таким образом, разработка мобильного приложения для определения мошеннических транзакций представляет собой важный шаг в направлении повышения безопасности </w:t>
      </w:r>
      <w:r>
        <w:rPr/>
        <w:t>и удобства</w:t>
      </w:r>
      <w:r>
        <w:rPr/>
        <w:t xml:space="preserve"> банковских услуг. Это решение не только отвечает на актуальные вызовы, стоящие перед финансовыми учреждениями, но и открывает новые горизонты для дальнейших исследований и разработок в области защиты от мошенничества.</w:t>
      </w:r>
    </w:p>
    <w:p>
      <w:pPr>
        <w:pStyle w:val="BodyText"/>
        <w:numPr>
          <w:ilvl w:val="0"/>
          <w:numId w:val="0"/>
        </w:numPr>
        <w:ind w:hanging="0" w:left="0" w:right="0"/>
        <w:rPr/>
      </w:pPr>
      <w:r>
        <w:rPr/>
      </w:r>
    </w:p>
    <w:p>
      <w:pPr>
        <w:pStyle w:val="Heading2"/>
        <w:numPr>
          <w:ilvl w:val="0"/>
          <w:numId w:val="4"/>
        </w:numPr>
        <w:rPr/>
      </w:pPr>
      <w:bookmarkStart w:id="9" w:name="__RefHeading___Toc6448_3885207264"/>
      <w:bookmarkEnd w:id="9"/>
      <w:r>
        <w:rPr>
          <w:rStyle w:val="Strong"/>
          <w:b/>
          <w:bCs w:val="false"/>
        </w:rPr>
        <w:t>Проектирование информационной системы</w:t>
      </w:r>
    </w:p>
    <w:p>
      <w:pPr>
        <w:pStyle w:val="Heading3"/>
        <w:numPr>
          <w:ilvl w:val="1"/>
          <w:numId w:val="4"/>
        </w:numPr>
        <w:ind w:hanging="397" w:left="754" w:right="0"/>
        <w:rPr/>
      </w:pPr>
      <w:bookmarkStart w:id="10" w:name="__RefHeading___Toc7440_3885207264"/>
      <w:bookmarkEnd w:id="10"/>
      <w:r>
        <w:rPr/>
        <w:t>Моделирование бизнес-процессов ИС</w:t>
      </w:r>
    </w:p>
    <w:p>
      <w:pPr>
        <w:pStyle w:val="BodyText"/>
        <w:numPr>
          <w:ilvl w:val="0"/>
          <w:numId w:val="0"/>
        </w:numPr>
        <w:ind w:hanging="0" w:left="754" w:right="0"/>
        <w:rPr/>
      </w:pPr>
      <w:r>
        <w:rPr/>
      </w:r>
    </w:p>
    <w:p>
      <w:pPr>
        <w:pStyle w:val="Heading3"/>
        <w:numPr>
          <w:ilvl w:val="1"/>
          <w:numId w:val="4"/>
        </w:numPr>
        <w:ind w:hanging="397" w:left="754" w:right="0"/>
        <w:rPr/>
      </w:pPr>
      <w:bookmarkStart w:id="11" w:name="__RefHeading___Toc7442_3885207264"/>
      <w:bookmarkEnd w:id="11"/>
      <w:r>
        <w:rPr/>
        <w:t>Структура ИС и ее средства разработки</w:t>
      </w:r>
    </w:p>
    <w:p>
      <w:pPr>
        <w:pStyle w:val="BodyText"/>
        <w:numPr>
          <w:ilvl w:val="0"/>
          <w:numId w:val="0"/>
        </w:numPr>
        <w:ind w:hanging="0" w:left="754" w:right="0"/>
        <w:rPr/>
      </w:pPr>
      <w:r>
        <w:rPr/>
      </w:r>
    </w:p>
    <w:p>
      <w:pPr>
        <w:pStyle w:val="Heading3"/>
        <w:numPr>
          <w:ilvl w:val="1"/>
          <w:numId w:val="4"/>
        </w:numPr>
        <w:ind w:hanging="397" w:left="754" w:right="0"/>
        <w:rPr/>
      </w:pPr>
      <w:bookmarkStart w:id="12" w:name="__RefHeading___Toc7444_3885207264"/>
      <w:bookmarkEnd w:id="12"/>
      <w:r>
        <w:rPr/>
        <w:t>Требования к ИС</w:t>
      </w:r>
    </w:p>
    <w:p>
      <w:pPr>
        <w:pStyle w:val="Heading2"/>
        <w:numPr>
          <w:ilvl w:val="0"/>
          <w:numId w:val="4"/>
        </w:numPr>
        <w:rPr/>
      </w:pPr>
      <w:bookmarkStart w:id="13" w:name="__RefHeading___Toc6450_3885207264"/>
      <w:bookmarkEnd w:id="13"/>
      <w:r>
        <w:rPr>
          <w:rStyle w:val="Strong"/>
          <w:b/>
          <w:bCs w:val="false"/>
        </w:rPr>
        <w:t>Разработка информационной системы</w:t>
      </w:r>
    </w:p>
    <w:p>
      <w:pPr>
        <w:pStyle w:val="Heading3"/>
        <w:numPr>
          <w:ilvl w:val="1"/>
          <w:numId w:val="4"/>
        </w:numPr>
        <w:ind w:hanging="397" w:left="754" w:right="0"/>
        <w:rPr/>
      </w:pPr>
      <w:bookmarkStart w:id="14" w:name="__RefHeading___Toc6452_3885207264"/>
      <w:bookmarkEnd w:id="14"/>
      <w:r>
        <w:rPr/>
        <w:t>Описание структуры базы данных</w:t>
      </w:r>
    </w:p>
    <w:p>
      <w:pPr>
        <w:pStyle w:val="Normal"/>
        <w:rPr/>
      </w:pPr>
      <w:r>
        <w:rPr/>
      </w:r>
    </w:p>
    <w:p>
      <w:pPr>
        <w:pStyle w:val="Heading3"/>
        <w:numPr>
          <w:ilvl w:val="1"/>
          <w:numId w:val="4"/>
        </w:numPr>
        <w:ind w:hanging="397" w:left="754" w:right="0"/>
        <w:rPr/>
      </w:pPr>
      <w:bookmarkStart w:id="15" w:name="__RefHeading___Toc6454_3885207264"/>
      <w:bookmarkEnd w:id="15"/>
      <w:r>
        <w:rPr/>
        <w:t>Разработка клиентской части приложения</w:t>
      </w:r>
    </w:p>
    <w:p>
      <w:pPr>
        <w:pStyle w:val="Normal"/>
        <w:rPr/>
      </w:pPr>
      <w:r>
        <w:rPr/>
      </w:r>
    </w:p>
    <w:p>
      <w:pPr>
        <w:pStyle w:val="Heading3"/>
        <w:numPr>
          <w:ilvl w:val="1"/>
          <w:numId w:val="4"/>
        </w:numPr>
        <w:ind w:hanging="397" w:left="754" w:right="0"/>
        <w:rPr/>
      </w:pPr>
      <w:bookmarkStart w:id="16" w:name="__RefHeading___Toc6456_3885207264"/>
      <w:bookmarkEnd w:id="16"/>
      <w:r>
        <w:rPr/>
        <w:t>Интеграция с сервисом по определению мошеннических транзакций</w:t>
      </w:r>
    </w:p>
    <w:p>
      <w:pPr>
        <w:pStyle w:val="Heading1"/>
        <w:numPr>
          <w:ilvl w:val="0"/>
          <w:numId w:val="1"/>
        </w:numPr>
        <w:rPr/>
      </w:pPr>
      <w:bookmarkStart w:id="17" w:name="__RefHeading___Toc2420_2887410827"/>
      <w:bookmarkStart w:id="18" w:name="_Toc81940699"/>
      <w:bookmarkEnd w:id="17"/>
      <w:r>
        <w:rPr/>
        <w:t>ЗАКЛЮЧЕНИЕ</w:t>
      </w:r>
      <w:bookmarkEnd w:id="18"/>
    </w:p>
    <w:p>
      <w:pPr>
        <w:pStyle w:val="BodyText"/>
        <w:rPr/>
      </w:pPr>
      <w: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firstLine="709" w:left="0" w:right="0"/>
        <w:jc w:val="both"/>
        <w:rPr/>
      </w:pPr>
      <w: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firstLine="709" w:left="0" w:right="0"/>
        <w:jc w:val="both"/>
        <w:rPr/>
      </w:pPr>
      <w: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Heading1"/>
        <w:numPr>
          <w:ilvl w:val="0"/>
          <w:numId w:val="2"/>
        </w:numPr>
        <w:rPr/>
      </w:pPr>
      <w:bookmarkStart w:id="19" w:name="__RefHeading___Toc2422_2887410827"/>
      <w:bookmarkEnd w:id="19"/>
      <w:r>
        <w:rPr>
          <w:rFonts w:cs="Times New Roman CYR" w:ascii="Times New Roman CYR" w:hAnsi="Times New Roman CYR"/>
          <w:szCs w:val="28"/>
          <w:lang w:eastAsia="ru-RU"/>
        </w:rPr>
        <w:t>СПИСОК ИСПОЛЬЗОВАННЫХ ИСТОЧНИКОВ</w:t>
      </w:r>
    </w:p>
    <w:p>
      <w:pPr>
        <w:pStyle w:val="BodyText"/>
        <w:numPr>
          <w:ilvl w:val="0"/>
          <w:numId w:val="0"/>
        </w:numPr>
        <w:spacing w:lineRule="auto" w:line="240"/>
        <w:ind w:hanging="0" w:left="0" w:right="0"/>
        <w:jc w:val="both"/>
        <w:rPr/>
      </w:pPr>
      <w:r>
        <w:rPr/>
      </w:r>
    </w:p>
    <w:p>
      <w:pPr>
        <w:pStyle w:val="BodyText"/>
        <w:numPr>
          <w:ilvl w:val="0"/>
          <w:numId w:val="9"/>
        </w:numPr>
        <w:tabs>
          <w:tab w:val="clear" w:pos="708"/>
          <w:tab w:val="left" w:pos="0" w:leader="none"/>
        </w:tabs>
        <w:spacing w:before="0" w:after="283"/>
        <w:ind w:hanging="283" w:left="709" w:right="0"/>
        <w:rPr/>
      </w:pPr>
      <w:r>
        <w:rPr/>
        <w:t xml:space="preserve">Группа IB. Тренды мошенничества в 2024–2025 гг. URL: https://www.group-ib.ru (дата обращения: </w:t>
      </w:r>
      <w:r>
        <w:rPr>
          <w:lang w:val="en-US"/>
        </w:rPr>
        <w:t>02</w:t>
      </w:r>
      <w:r>
        <w:rPr/>
        <w:t>.04.2025)</w:t>
      </w:r>
    </w:p>
    <w:p>
      <w:pPr>
        <w:pStyle w:val="BodyText"/>
        <w:numPr>
          <w:ilvl w:val="0"/>
          <w:numId w:val="10"/>
        </w:numPr>
        <w:tabs>
          <w:tab w:val="clear" w:pos="708"/>
          <w:tab w:val="left" w:pos="0" w:leader="none"/>
        </w:tabs>
        <w:spacing w:before="0" w:after="283"/>
        <w:ind w:hanging="283" w:left="709" w:right="0"/>
        <w:rPr/>
      </w:pPr>
      <w:r>
        <w:rPr/>
        <w:t xml:space="preserve">Положительные технологии. Уязвимости мобильных банкингов – 2025. URL: https://www.ptsecurity.com (дата обращения: </w:t>
      </w:r>
      <w:r>
        <w:rPr>
          <w:lang w:val="en-US"/>
        </w:rPr>
        <w:t>02</w:t>
      </w:r>
      <w:r>
        <w:rPr/>
        <w:t>.04.2025)</w:t>
      </w:r>
    </w:p>
    <w:p>
      <w:pPr>
        <w:pStyle w:val="BodyText"/>
        <w:numPr>
          <w:ilvl w:val="0"/>
          <w:numId w:val="11"/>
        </w:numPr>
        <w:tabs>
          <w:tab w:val="clear" w:pos="708"/>
          <w:tab w:val="left" w:pos="0" w:leader="none"/>
        </w:tabs>
        <w:spacing w:before="0" w:after="283"/>
        <w:ind w:hanging="283" w:left="709" w:right="0"/>
        <w:rPr/>
      </w:pPr>
      <w:r>
        <w:rPr/>
        <w:t xml:space="preserve">Отчет Национальной службы кибербезопасности. Годовой отчет – 2024. URL: https://nbki.ru (дата обращения: </w:t>
      </w:r>
      <w:r>
        <w:rPr>
          <w:lang w:val="en-US"/>
        </w:rPr>
        <w:t>02</w:t>
      </w:r>
      <w:r>
        <w:rPr/>
        <w:t>.04.2025)</w:t>
      </w:r>
    </w:p>
    <w:p>
      <w:pPr>
        <w:pStyle w:val="BodyText"/>
        <w:numPr>
          <w:ilvl w:val="0"/>
          <w:numId w:val="12"/>
        </w:numPr>
        <w:tabs>
          <w:tab w:val="clear" w:pos="708"/>
          <w:tab w:val="left" w:pos="0" w:leader="none"/>
        </w:tabs>
        <w:spacing w:before="0" w:after="283"/>
        <w:ind w:hanging="283" w:left="709" w:right="0"/>
        <w:rPr/>
      </w:pPr>
      <w:r>
        <w:rPr/>
        <w:t xml:space="preserve">Центральный банк Российской Федерации. Указание №5434-У «О стандартах биометрической аутентификации» (2025 г.). URL: https://cbr.ru (дата обращения: </w:t>
      </w:r>
      <w:r>
        <w:rPr>
          <w:lang w:val="en-US"/>
        </w:rPr>
        <w:t>02</w:t>
      </w:r>
      <w:r>
        <w:rPr/>
        <w:t>.04.2025)</w:t>
      </w:r>
    </w:p>
    <w:p>
      <w:pPr>
        <w:pStyle w:val="BodyText"/>
        <w:numPr>
          <w:ilvl w:val="0"/>
          <w:numId w:val="13"/>
        </w:numPr>
        <w:tabs>
          <w:tab w:val="clear" w:pos="708"/>
          <w:tab w:val="left" w:pos="0" w:leader="none"/>
        </w:tabs>
        <w:spacing w:before="0" w:after="283"/>
        <w:ind w:hanging="283" w:left="709" w:right="0"/>
        <w:rPr/>
      </w:pPr>
      <w:r>
        <w:rPr/>
        <w:t xml:space="preserve">Лаборатория Касперского. Социальная инженерия в РФ – 2025. URL: https://www.kaspersky.ru (дата обращения: </w:t>
      </w:r>
      <w:r>
        <w:rPr>
          <w:lang w:val="en-US"/>
        </w:rPr>
        <w:t>02</w:t>
      </w:r>
      <w:r>
        <w:rPr/>
        <w:t>.04.2025)</w:t>
      </w:r>
    </w:p>
    <w:p>
      <w:pPr>
        <w:pStyle w:val="BodyText"/>
        <w:numPr>
          <w:ilvl w:val="0"/>
          <w:numId w:val="14"/>
        </w:numPr>
        <w:tabs>
          <w:tab w:val="clear" w:pos="708"/>
          <w:tab w:val="left" w:pos="0" w:leader="none"/>
        </w:tabs>
        <w:spacing w:before="0" w:after="283"/>
        <w:ind w:hanging="283" w:left="709" w:right="0"/>
        <w:rPr/>
      </w:pPr>
      <w:r>
        <w:rPr/>
        <w:t xml:space="preserve">Минцифра России. Постановление Правительства РФ №235-Пр «О мерах защиты пользователей электронных платёжных систем». URL: https://digital.gov.ru (дата обращения: </w:t>
      </w:r>
      <w:r>
        <w:rPr>
          <w:lang w:val="en-US"/>
        </w:rPr>
        <w:t>02</w:t>
      </w:r>
      <w:r>
        <w:rPr/>
        <w:t>.04.2025)</w:t>
      </w:r>
    </w:p>
    <w:p>
      <w:pPr>
        <w:pStyle w:val="BodyText"/>
        <w:numPr>
          <w:ilvl w:val="0"/>
          <w:numId w:val="15"/>
        </w:numPr>
        <w:tabs>
          <w:tab w:val="clear" w:pos="708"/>
          <w:tab w:val="left" w:pos="0" w:leader="none"/>
        </w:tabs>
        <w:spacing w:before="0" w:after="283"/>
        <w:ind w:hanging="283" w:left="709" w:right="0"/>
        <w:rPr/>
      </w:pPr>
      <w:r>
        <w:rPr/>
        <w:t xml:space="preserve">Банк России. Отчет «О состоянии рынка платежных услуг за 2023 год». URL: https://cbr.ru (дата обращения: </w:t>
      </w:r>
      <w:r>
        <w:rPr>
          <w:lang w:val="en-US"/>
        </w:rPr>
        <w:t>19</w:t>
      </w:r>
      <w:r>
        <w:rPr/>
        <w:t>.04.2025)</w:t>
      </w:r>
    </w:p>
    <w:p>
      <w:pPr>
        <w:pStyle w:val="BodyText"/>
        <w:numPr>
          <w:ilvl w:val="0"/>
          <w:numId w:val="16"/>
        </w:numPr>
        <w:tabs>
          <w:tab w:val="clear" w:pos="708"/>
          <w:tab w:val="left" w:pos="0" w:leader="none"/>
        </w:tabs>
        <w:spacing w:before="0" w:after="283"/>
        <w:ind w:hanging="283" w:left="709" w:right="0"/>
        <w:rPr/>
      </w:pPr>
      <w:r>
        <w:rPr/>
        <w:t xml:space="preserve">СберБанк. Техническая документация API «Sberbank AI Solutions». URL: https://developer.sber.ru (дата обращения: </w:t>
      </w:r>
      <w:r>
        <w:rPr>
          <w:lang w:val="en-US"/>
        </w:rPr>
        <w:t>19</w:t>
      </w:r>
      <w:r>
        <w:rPr/>
        <w:t>.04.2025)</w:t>
      </w:r>
    </w:p>
    <w:p>
      <w:pPr>
        <w:pStyle w:val="BodyText"/>
        <w:numPr>
          <w:ilvl w:val="0"/>
          <w:numId w:val="17"/>
        </w:numPr>
        <w:tabs>
          <w:tab w:val="clear" w:pos="708"/>
          <w:tab w:val="left" w:pos="0" w:leader="none"/>
        </w:tabs>
        <w:spacing w:before="0" w:after="283"/>
        <w:ind w:hanging="283" w:left="709" w:right="0"/>
        <w:rPr/>
      </w:pPr>
      <w:r>
        <w:rPr/>
        <w:t xml:space="preserve">ВТБ. Пресс-релиз «Запуск системы VTB Anti-Fraud». URL: https://vtb.ru/press (дата обращения: </w:t>
      </w:r>
      <w:r>
        <w:rPr>
          <w:lang w:val="en-US"/>
        </w:rPr>
        <w:t>19</w:t>
      </w:r>
      <w:r>
        <w:rPr/>
        <w:t>.04.2025)</w:t>
      </w:r>
    </w:p>
    <w:p>
      <w:pPr>
        <w:pStyle w:val="BodyText"/>
        <w:numPr>
          <w:ilvl w:val="0"/>
          <w:numId w:val="18"/>
        </w:numPr>
        <w:tabs>
          <w:tab w:val="clear" w:pos="708"/>
          <w:tab w:val="left" w:pos="0" w:leader="none"/>
        </w:tabs>
        <w:spacing w:before="0" w:after="283"/>
        <w:ind w:hanging="283" w:left="709" w:right="0"/>
        <w:rPr/>
      </w:pPr>
      <w:r>
        <w:rPr/>
        <w:t>Петров А.И. Интервью с CTO Т-Банка // Журнал «Банковские технологии». – 2024. – №3. – С. 45–49.</w:t>
      </w:r>
    </w:p>
    <w:p>
      <w:pPr>
        <w:pStyle w:val="BodyText"/>
        <w:numPr>
          <w:ilvl w:val="0"/>
          <w:numId w:val="19"/>
        </w:numPr>
        <w:tabs>
          <w:tab w:val="clear" w:pos="708"/>
          <w:tab w:val="left" w:pos="0" w:leader="none"/>
        </w:tabs>
        <w:spacing w:before="0" w:after="283"/>
        <w:ind w:hanging="283" w:left="709" w:right="0"/>
        <w:rPr/>
      </w:pPr>
      <w:r>
        <w:rPr/>
        <w:t xml:space="preserve">Европейский Союз. Директива 2024/0078 «О платежных услугах (PSD3)». URL: https://eur-lex.europa.eu (дата обращения: </w:t>
      </w:r>
      <w:r>
        <w:rPr>
          <w:lang w:val="en-US"/>
        </w:rPr>
        <w:t>19</w:t>
      </w:r>
      <w:r>
        <w:rPr/>
        <w:t>.04.2025).</w:t>
      </w:r>
    </w:p>
    <w:p>
      <w:pPr>
        <w:pStyle w:val="BodyText"/>
        <w:numPr>
          <w:ilvl w:val="0"/>
          <w:numId w:val="20"/>
        </w:numPr>
        <w:tabs>
          <w:tab w:val="clear" w:pos="708"/>
          <w:tab w:val="left" w:pos="0" w:leader="none"/>
        </w:tabs>
        <w:spacing w:before="0" w:after="283"/>
        <w:ind w:hanging="283" w:left="709" w:right="0"/>
        <w:rPr/>
      </w:pPr>
      <w:r>
        <w:rPr/>
        <w:t xml:space="preserve">Тинькофф Банк. Отчет «Итоги внедрения динамической биометрии». URL: https://www.tinkoff.ru (дата обращения: </w:t>
      </w:r>
      <w:r>
        <w:rPr>
          <w:lang w:val="en-US"/>
        </w:rPr>
        <w:t>21</w:t>
      </w:r>
      <w:r>
        <w:rPr/>
        <w:t>.04.2025).</w:t>
      </w:r>
    </w:p>
    <w:p>
      <w:pPr>
        <w:pStyle w:val="BodyText"/>
        <w:numPr>
          <w:ilvl w:val="0"/>
          <w:numId w:val="21"/>
        </w:numPr>
        <w:tabs>
          <w:tab w:val="clear" w:pos="708"/>
          <w:tab w:val="left" w:pos="0" w:leader="none"/>
        </w:tabs>
        <w:spacing w:before="0" w:after="283"/>
        <w:ind w:hanging="283" w:left="709" w:right="0"/>
        <w:rPr/>
      </w:pPr>
      <w:r>
        <w:rPr/>
        <w:t>НИУ ВШЭ. Исследование «Поведенческие паттерны пользователей мобильного банкинга». – М.: Изд-во ВШЭ, 2024. – 134 с.</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swiss"/>
    <w:pitch w:val="variable"/>
  </w:font>
  <w:font w:name="OpenSymbol">
    <w:altName w:val="Arial Unicode MS"/>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Times New Roman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6"/>
    <w:lvlOverride w:ilvl="0">
      <w:startOverride w:val="1"/>
    </w:lvlOverride>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17">
    <w:abstractNumId w:val="6"/>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18">
    <w:abstractNumId w:val="6"/>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19">
    <w:abstractNumId w:val="6"/>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20">
    <w:abstractNumId w:val="6"/>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21">
    <w:abstractNumId w:val="6"/>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bering>
</file>

<file path=word/settings.xml><?xml version="1.0" encoding="utf-8"?>
<w:settings xmlns:w="http://schemas.openxmlformats.org/wordprocessingml/2006/main">
  <w:zoom w:percent="60"/>
  <w:defaultTabStop w:val="708"/>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Heading1">
    <w:name w:val="heading 1"/>
    <w:basedOn w:val="Normal"/>
    <w:next w:val="Normal"/>
    <w:link w:val="1"/>
    <w:qFormat/>
    <w:rsid w:val="00a51e26"/>
    <w:pPr>
      <w:keepNext w:val="true"/>
      <w:pageBreakBefore/>
      <w:numPr>
        <w:ilvl w:val="0"/>
        <w:numId w:val="1"/>
      </w:numPr>
      <w:spacing w:before="0" w:after="567"/>
      <w:jc w:val="center"/>
      <w:outlineLvl w:val="0"/>
    </w:pPr>
    <w:rPr>
      <w:b/>
      <w:bCs/>
      <w:szCs w:val="32"/>
    </w:rPr>
  </w:style>
  <w:style w:type="paragraph" w:styleId="Heading2">
    <w:name w:val="heading 2"/>
    <w:basedOn w:val="Normal"/>
    <w:next w:val="Normal"/>
    <w:link w:val="2"/>
    <w:qFormat/>
    <w:rsid w:val="00a51e26"/>
    <w:pPr>
      <w:keepNext w:val="true"/>
      <w:pageBreakBefore/>
      <w:numPr>
        <w:ilvl w:val="1"/>
        <w:numId w:val="4"/>
      </w:numPr>
      <w:tabs>
        <w:tab w:val="clear" w:pos="708"/>
      </w:tabs>
      <w:spacing w:before="0" w:after="567"/>
      <w:jc w:val="both"/>
      <w:outlineLvl w:val="0"/>
    </w:pPr>
    <w:rPr>
      <w:b/>
      <w:bCs/>
      <w:szCs w:val="22"/>
    </w:rPr>
  </w:style>
  <w:style w:type="paragraph" w:styleId="Heading3">
    <w:name w:val="heading 3"/>
    <w:basedOn w:val="Normal"/>
    <w:next w:val="Normal"/>
    <w:link w:val="3"/>
    <w:qFormat/>
    <w:rsid w:val="00a51e26"/>
    <w:pPr>
      <w:keepNext w:val="true"/>
      <w:numPr>
        <w:ilvl w:val="2"/>
        <w:numId w:val="4"/>
      </w:numPr>
      <w:tabs>
        <w:tab w:val="clear" w:pos="708"/>
      </w:tabs>
      <w:spacing w:before="0" w:after="0"/>
      <w:ind w:firstLine="709" w:left="0" w:right="0"/>
      <w:jc w:val="both"/>
      <w:outlineLvl w:val="1"/>
    </w:pPr>
    <w:rPr>
      <w:b w:val="false"/>
      <w:bCs/>
      <w:szCs w:val="22"/>
    </w:rPr>
  </w:style>
  <w:style w:type="paragraph" w:styleId="Heading4">
    <w:name w:val="heading 4"/>
    <w:basedOn w:val="Normal"/>
    <w:next w:val="Normal"/>
    <w:link w:val="4"/>
    <w:qFormat/>
    <w:rsid w:val="00a51e26"/>
    <w:pPr>
      <w:keepNext w:val="true"/>
      <w:numPr>
        <w:ilvl w:val="3"/>
        <w:numId w:val="1"/>
      </w:numPr>
      <w:spacing w:before="240" w:after="60"/>
      <w:outlineLvl w:val="3"/>
    </w:pPr>
    <w:rPr>
      <w:b/>
      <w:bCs/>
      <w:szCs w:val="28"/>
    </w:rPr>
  </w:style>
  <w:style w:type="paragraph" w:styleId="Heading5">
    <w:name w:val="heading 5"/>
    <w:basedOn w:val="Normal"/>
    <w:next w:val="Normal"/>
    <w:link w:val="5"/>
    <w:qFormat/>
    <w:rsid w:val="00a51e26"/>
    <w:pPr>
      <w:numPr>
        <w:ilvl w:val="4"/>
        <w:numId w:val="1"/>
      </w:numPr>
      <w:spacing w:before="240" w:after="60"/>
      <w:outlineLvl w:val="4"/>
    </w:pPr>
    <w:rPr>
      <w:b/>
      <w:bCs/>
      <w:i/>
      <w:iCs/>
      <w:sz w:val="26"/>
      <w:szCs w:val="26"/>
    </w:rPr>
  </w:style>
  <w:style w:type="paragraph" w:styleId="Heading6">
    <w:name w:val="heading 6"/>
    <w:basedOn w:val="Normal"/>
    <w:next w:val="Normal"/>
    <w:link w:val="6"/>
    <w:qFormat/>
    <w:rsid w:val="00a51e26"/>
    <w:pPr>
      <w:numPr>
        <w:ilvl w:val="5"/>
        <w:numId w:val="1"/>
      </w:numPr>
      <w:spacing w:before="240" w:after="60"/>
      <w:outlineLvl w:val="5"/>
    </w:pPr>
    <w:rPr>
      <w:b/>
      <w:bCs/>
      <w:sz w:val="22"/>
      <w:szCs w:val="22"/>
    </w:rPr>
  </w:style>
  <w:style w:type="paragraph" w:styleId="Heading7">
    <w:name w:val="heading 7"/>
    <w:basedOn w:val="Normal"/>
    <w:next w:val="Normal"/>
    <w:link w:val="7"/>
    <w:qFormat/>
    <w:rsid w:val="00a51e26"/>
    <w:pPr>
      <w:numPr>
        <w:ilvl w:val="6"/>
        <w:numId w:val="1"/>
      </w:numPr>
      <w:spacing w:before="240" w:after="60"/>
      <w:outlineLvl w:val="6"/>
    </w:pPr>
    <w:rPr/>
  </w:style>
  <w:style w:type="paragraph" w:styleId="Heading8">
    <w:name w:val="heading 8"/>
    <w:basedOn w:val="Normal"/>
    <w:next w:val="Normal"/>
    <w:link w:val="8"/>
    <w:qFormat/>
    <w:rsid w:val="00a51e26"/>
    <w:pPr>
      <w:numPr>
        <w:ilvl w:val="7"/>
        <w:numId w:val="1"/>
      </w:numPr>
      <w:spacing w:before="240" w:after="60"/>
      <w:outlineLvl w:val="7"/>
    </w:pPr>
    <w:rPr>
      <w:i/>
      <w:iCs/>
    </w:rPr>
  </w:style>
  <w:style w:type="paragraph" w:styleId="Heading9">
    <w:name w:val="heading 9"/>
    <w:basedOn w:val="Normal"/>
    <w:next w:val="Normal"/>
    <w:link w:val="9"/>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Hyperlink">
    <w:name w:val="Hyperlink"/>
    <w:basedOn w:val="DefaultParagraphFont"/>
    <w:uiPriority w:val="99"/>
    <w:unhideWhenUsed/>
    <w:rsid w:val="007e67e7"/>
    <w:rPr>
      <w:color w:themeColor="hyperlink" w:val="0563C1"/>
      <w:u w:val="single"/>
    </w:rPr>
  </w:style>
  <w:style w:type="character" w:styleId="Style8">
    <w:name w:val="Символ нумерации"/>
    <w:qFormat/>
    <w:rPr/>
  </w:style>
  <w:style w:type="character" w:styleId="FollowedHyperlink">
    <w:name w:val="FollowedHyperlink"/>
    <w:rPr>
      <w:color w:val="800000"/>
      <w:u w:val="single"/>
    </w:rPr>
  </w:style>
  <w:style w:type="character" w:styleId="Style9">
    <w:name w:val="Маркеры"/>
    <w:qFormat/>
    <w:rPr>
      <w:rFonts w:ascii="OpenSymbol" w:hAnsi="OpenSymbol" w:eastAsia="OpenSymbol" w:cs="OpenSymbol"/>
    </w:rPr>
  </w:style>
  <w:style w:type="character" w:styleId="Strong">
    <w:name w:val="Strong"/>
    <w:qFormat/>
    <w:rPr>
      <w:b/>
      <w:bCs/>
    </w:rPr>
  </w:style>
  <w:style w:type="paragraph" w:styleId="Style10">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360" w:before="0" w:after="0"/>
      <w:ind w:firstLine="709" w:left="0" w:right="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Style12">
    <w:name w:val="Колонтитул"/>
    <w:basedOn w:val="Normal"/>
    <w:qFormat/>
    <w:pPr/>
    <w:rPr/>
  </w:style>
  <w:style w:type="paragraph" w:styleId="HeaderandFooter">
    <w:name w:val="Header and Footer"/>
    <w:basedOn w:val="Normal"/>
    <w:qFormat/>
    <w:pPr/>
    <w:rPr/>
  </w:style>
  <w:style w:type="paragraph" w:styleId="Footer">
    <w:name w:val="footer"/>
    <w:basedOn w:val="Normal"/>
    <w:link w:val="Style6"/>
    <w:rsid w:val="00a51e26"/>
    <w:pPr>
      <w:tabs>
        <w:tab w:val="clear" w:pos="708"/>
        <w:tab w:val="center" w:pos="4677" w:leader="none"/>
        <w:tab w:val="right" w:pos="9355" w:leader="none"/>
      </w:tabs>
    </w:pPr>
    <w:rPr/>
  </w:style>
  <w:style w:type="paragraph" w:styleId="Header">
    <w:name w:val="header"/>
    <w:basedOn w:val="Normal"/>
    <w:link w:val="Style7"/>
    <w:rsid w:val="00a51e26"/>
    <w:pPr>
      <w:tabs>
        <w:tab w:val="clear" w:pos="708"/>
        <w:tab w:val="center" w:pos="4677" w:leader="none"/>
        <w:tab w:val="right" w:pos="9355" w:leader="none"/>
      </w:tabs>
    </w:pPr>
    <w:rPr/>
  </w:style>
  <w:style w:type="paragraph" w:styleId="11" w:customStyle="1">
    <w:name w:val="Заголовок оглавления1"/>
    <w:basedOn w:val="Heading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TOC1">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hanging="0" w:left="720"/>
      <w:contextualSpacing/>
    </w:pPr>
    <w:rPr>
      <w:lang w:eastAsia="zh-CN"/>
    </w:rPr>
  </w:style>
  <w:style w:type="paragraph" w:styleId="TOC2">
    <w:name w:val="toc 2"/>
    <w:basedOn w:val="Normal"/>
    <w:next w:val="Normal"/>
    <w:autoRedefine/>
    <w:uiPriority w:val="39"/>
    <w:unhideWhenUsed/>
    <w:rsid w:val="007e67e7"/>
    <w:pPr>
      <w:spacing w:before="0" w:after="100"/>
      <w:ind w:hanging="0" w:left="280"/>
    </w:pPr>
    <w:rPr/>
  </w:style>
  <w:style w:type="paragraph" w:styleId="Style13">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14">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user2"/>
    <w:qFormat/>
    <w:pPr/>
    <w:rPr>
      <w:rFonts w:ascii="Noto Sans" w:hAnsi="Noto Sans"/>
      <w:sz w:val="36"/>
    </w:rPr>
  </w:style>
  <w:style w:type="paragraph" w:styleId="user2">
    <w:name w:val="Текст (user)"/>
    <w:basedOn w:val="Caption"/>
    <w:qFormat/>
    <w:pPr/>
    <w:rPr/>
  </w:style>
  <w:style w:type="paragraph" w:styleId="41">
    <w:name w:val="Заглавие А4"/>
    <w:basedOn w:val="A4"/>
    <w:qFormat/>
    <w:pPr/>
    <w:rPr>
      <w:rFonts w:ascii="Noto Sans" w:hAnsi="Noto Sans"/>
      <w:sz w:val="87"/>
    </w:rPr>
  </w:style>
  <w:style w:type="paragraph" w:styleId="42">
    <w:name w:val="Заголовок А4"/>
    <w:basedOn w:val="A4"/>
    <w:qFormat/>
    <w:pPr/>
    <w:rPr>
      <w:rFonts w:ascii="Noto Sans" w:hAnsi="Noto Sans"/>
      <w:sz w:val="48"/>
    </w:rPr>
  </w:style>
  <w:style w:type="paragraph" w:styleId="43">
    <w:name w:val="Текст А4"/>
    <w:basedOn w:val="A4"/>
    <w:qFormat/>
    <w:pPr/>
    <w:rPr>
      <w:rFonts w:ascii="Noto Sans" w:hAnsi="Noto Sans"/>
      <w:sz w:val="36"/>
    </w:rPr>
  </w:style>
  <w:style w:type="paragraph" w:styleId="A0">
    <w:name w:val="A0"/>
    <w:basedOn w:val="user2"/>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15">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16">
    <w:name w:val="Фигуры"/>
    <w:basedOn w:val="Style15"/>
    <w:qFormat/>
    <w:pPr/>
    <w:rPr>
      <w:rFonts w:ascii="Liberation Sans" w:hAnsi="Liberation Sans"/>
      <w:b/>
      <w:sz w:val="28"/>
    </w:rPr>
  </w:style>
  <w:style w:type="paragraph" w:styleId="Style17">
    <w:name w:val="Заливка"/>
    <w:basedOn w:val="Style16"/>
    <w:qFormat/>
    <w:pPr/>
    <w:rPr>
      <w:rFonts w:ascii="Liberation Sans" w:hAnsi="Liberation Sans"/>
      <w:b/>
      <w:sz w:val="28"/>
    </w:rPr>
  </w:style>
  <w:style w:type="paragraph" w:styleId="Style18">
    <w:name w:val="Заливка синим"/>
    <w:basedOn w:val="Style17"/>
    <w:qFormat/>
    <w:pPr/>
    <w:rPr>
      <w:rFonts w:ascii="Liberation Sans" w:hAnsi="Liberation Sans"/>
      <w:b/>
      <w:color w:val="FFFFFF"/>
      <w:sz w:val="28"/>
    </w:rPr>
  </w:style>
  <w:style w:type="paragraph" w:styleId="Style19">
    <w:name w:val="Заливка зелёным"/>
    <w:basedOn w:val="Style17"/>
    <w:qFormat/>
    <w:pPr/>
    <w:rPr>
      <w:rFonts w:ascii="Liberation Sans" w:hAnsi="Liberation Sans"/>
      <w:b/>
      <w:color w:val="FFFFFF"/>
      <w:sz w:val="28"/>
    </w:rPr>
  </w:style>
  <w:style w:type="paragraph" w:styleId="Style20">
    <w:name w:val="Заливка красным"/>
    <w:basedOn w:val="Style17"/>
    <w:qFormat/>
    <w:pPr/>
    <w:rPr>
      <w:rFonts w:ascii="Liberation Sans" w:hAnsi="Liberation Sans"/>
      <w:b/>
      <w:color w:val="FFFFFF"/>
      <w:sz w:val="28"/>
    </w:rPr>
  </w:style>
  <w:style w:type="paragraph" w:styleId="Style21">
    <w:name w:val="Заливка жёлтым"/>
    <w:basedOn w:val="Style17"/>
    <w:qFormat/>
    <w:pPr/>
    <w:rPr>
      <w:rFonts w:ascii="Liberation Sans" w:hAnsi="Liberation Sans"/>
      <w:b/>
      <w:color w:val="FFFFFF"/>
      <w:sz w:val="28"/>
    </w:rPr>
  </w:style>
  <w:style w:type="paragraph" w:styleId="Style22">
    <w:name w:val="Контур"/>
    <w:basedOn w:val="Style16"/>
    <w:qFormat/>
    <w:pPr/>
    <w:rPr>
      <w:rFonts w:ascii="Liberation Sans" w:hAnsi="Liberation Sans"/>
      <w:b/>
      <w:sz w:val="28"/>
    </w:rPr>
  </w:style>
  <w:style w:type="paragraph" w:styleId="Style23">
    <w:name w:val="Контур синий"/>
    <w:basedOn w:val="Style22"/>
    <w:qFormat/>
    <w:pPr/>
    <w:rPr>
      <w:rFonts w:ascii="Liberation Sans" w:hAnsi="Liberation Sans"/>
      <w:b/>
      <w:color w:val="355269"/>
      <w:sz w:val="28"/>
    </w:rPr>
  </w:style>
  <w:style w:type="paragraph" w:styleId="Style24">
    <w:name w:val="Контур зелёный"/>
    <w:basedOn w:val="Style22"/>
    <w:qFormat/>
    <w:pPr/>
    <w:rPr>
      <w:rFonts w:ascii="Liberation Sans" w:hAnsi="Liberation Sans"/>
      <w:b/>
      <w:color w:val="127622"/>
      <w:sz w:val="28"/>
    </w:rPr>
  </w:style>
  <w:style w:type="paragraph" w:styleId="Style25">
    <w:name w:val="Контур красный"/>
    <w:basedOn w:val="Style22"/>
    <w:qFormat/>
    <w:pPr/>
    <w:rPr>
      <w:rFonts w:ascii="Liberation Sans" w:hAnsi="Liberation Sans"/>
      <w:b/>
      <w:color w:val="C9211E"/>
      <w:sz w:val="28"/>
    </w:rPr>
  </w:style>
  <w:style w:type="paragraph" w:styleId="Style26">
    <w:name w:val="Контур жёлтый"/>
    <w:basedOn w:val="Style22"/>
    <w:qFormat/>
    <w:pPr/>
    <w:rPr>
      <w:rFonts w:ascii="Liberation Sans" w:hAnsi="Liberation Sans"/>
      <w:b/>
      <w:color w:val="B47804"/>
      <w:sz w:val="28"/>
    </w:rPr>
  </w:style>
  <w:style w:type="paragraph" w:styleId="Style27">
    <w:name w:val="Линии"/>
    <w:basedOn w:val="Style15"/>
    <w:qFormat/>
    <w:pPr/>
    <w:rPr>
      <w:rFonts w:ascii="Liberation Sans" w:hAnsi="Liberation Sans"/>
      <w:sz w:val="36"/>
    </w:rPr>
  </w:style>
  <w:style w:type="paragraph" w:styleId="Style28">
    <w:name w:val="Стрелки"/>
    <w:basedOn w:val="Style27"/>
    <w:qFormat/>
    <w:pPr/>
    <w:rPr>
      <w:rFonts w:ascii="Liberation Sans" w:hAnsi="Liberation Sans"/>
      <w:sz w:val="36"/>
    </w:rPr>
  </w:style>
  <w:style w:type="paragraph" w:styleId="Style29">
    <w:name w:val="Штриховая линия"/>
    <w:basedOn w:val="Style27"/>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0">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1">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2">
    <w:name w:val="Примечания"/>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2">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1">
    <w:name w:val="Структура 2"/>
    <w:basedOn w:val="12"/>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1">
    <w:name w:val="Структура 3"/>
    <w:basedOn w:val="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4">
    <w:name w:val="Структура 4"/>
    <w:basedOn w:val="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1">
    <w:name w:val="Структура 5"/>
    <w:basedOn w:val="4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1">
    <w:name w:val="Структура 6"/>
    <w:basedOn w:val="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1">
    <w:name w:val="Структура 7"/>
    <w:basedOn w:val="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1">
    <w:name w:val="Структура 8"/>
    <w:basedOn w:val="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1">
    <w:name w:val="Структура 9"/>
    <w:basedOn w:val="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3">
    <w:name w:val="Символ нумерации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4">
    <w:name w:val="Верх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5">
    <w:name w:val="Ниж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6">
    <w:name w:val="Ссылка указателя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11">
    <w:name w:val="Заголовок 9 Знак1"/>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11">
    <w:name w:val="Заголовок 8 Знак1"/>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11">
    <w:name w:val="Заголовок 7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11">
    <w:name w:val="Заголовок 6 Знак1"/>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11">
    <w:name w:val="Заголовок 5 Знак1"/>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11">
    <w:name w:val="Заголовок 4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11">
    <w:name w:val="Заголовок 3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11">
    <w:name w:val="Заголовок 2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11">
    <w:name w:val="Заголовок 1 Знак1"/>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33">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4">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5">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List"/>
    <w:qFormat/>
    <w:pPr>
      <w:spacing w:before="0" w:after="120"/>
      <w:ind w:hanging="360" w:left="720" w:right="0"/>
    </w:pPr>
    <w:rPr/>
  </w:style>
  <w:style w:type="paragraph" w:styleId="22">
    <w:name w:val="Начало нумерованного списка 2"/>
    <w:basedOn w:val="List"/>
    <w:next w:val="ListNumber2"/>
    <w:qFormat/>
    <w:pPr>
      <w:spacing w:before="240" w:after="120"/>
      <w:ind w:hanging="360" w:left="720" w:right="0"/>
    </w:pPr>
    <w:rPr/>
  </w:style>
  <w:style w:type="paragraph" w:styleId="user3">
    <w:name w:val="Содержимое таблицы (user)"/>
    <w:basedOn w:val="Normal"/>
    <w:qFormat/>
    <w:pPr>
      <w:widowControl w:val="false"/>
      <w:suppressLineNumbers/>
    </w:pPr>
    <w:rPr/>
  </w:style>
  <w:style w:type="paragraph" w:styleId="user4">
    <w:name w:val="Заголовок таблицы (user)"/>
    <w:basedOn w:val="user3"/>
    <w:qFormat/>
    <w:pPr>
      <w:suppressLineNumbers/>
      <w:jc w:val="center"/>
    </w:pPr>
    <w:rPr>
      <w:b/>
      <w:bCs/>
    </w:rPr>
  </w:style>
  <w:style w:type="numbering" w:styleId="Style36" w:default="1">
    <w:name w:val="Без списка"/>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Application>LibreOffice/24.8.6.2$Windows_X86_64 LibreOffice_project/6d98ba145e9a8a39fc57bcc76981d1fb1316c60c</Application>
  <AppVersion>15.0000</AppVersion>
  <Pages>17</Pages>
  <Words>1857</Words>
  <Characters>13691</Characters>
  <CharactersWithSpaces>15472</CharactersWithSpaces>
  <Paragraphs>108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2025-04-22T15:53:08Z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