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3"/>
        <w:rPr>
          <w:rFonts w:ascii="Times New Roman"/>
          <w:sz w:val="2"/>
        </w:rPr>
      </w:pPr>
      <w:r>
        <w:rPr>
          <w:rFonts w:ascii="Times New Roman"/>
          <w:sz w:val="2"/>
        </w:rPr>
        <w:pict>
          <v:group style="width:453.55pt;height:.4pt;mso-position-horizontal-relative:char;mso-position-vertical-relative:line" coordorigin="0,0" coordsize="9071,8">
            <v:line style="position:absolute" from="0,4" to="9071,4" stroked="true" strokeweight=".398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290" w:lineRule="auto" w:before="277"/>
        <w:ind w:left="117" w:right="111" w:firstLine="0"/>
        <w:jc w:val="left"/>
        <w:rPr>
          <w:b/>
          <w:sz w:val="34"/>
        </w:rPr>
      </w:pPr>
      <w:r>
        <w:rPr>
          <w:b/>
          <w:sz w:val="34"/>
        </w:rPr>
        <w:t>Homework 5 — Mesoporous Materials, templated by amphiphilic molecules</w:t>
      </w:r>
    </w:p>
    <w:p>
      <w:pPr>
        <w:spacing w:line="300" w:lineRule="auto" w:before="319"/>
        <w:ind w:left="715" w:right="1137" w:firstLine="0"/>
        <w:jc w:val="left"/>
        <w:rPr>
          <w:rFonts w:ascii="Times New Roman" w:hAnsi="Times New Roman"/>
          <w:i/>
          <w:sz w:val="24"/>
        </w:rPr>
      </w:pPr>
      <w:r>
        <w:rPr/>
        <w:drawing>
          <wp:anchor distT="0" distB="0" distL="0" distR="0" allowOverlap="1" layoutInCell="1" locked="0" behindDoc="1" simplePos="0" relativeHeight="268431743">
            <wp:simplePos x="0" y="0"/>
            <wp:positionH relativeFrom="page">
              <wp:posOffset>3516617</wp:posOffset>
            </wp:positionH>
            <wp:positionV relativeFrom="paragraph">
              <wp:posOffset>252419</wp:posOffset>
            </wp:positionV>
            <wp:extent cx="41275" cy="4127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1275" cy="41275"/>
                    </a:xfrm>
                    <a:prstGeom prst="rect">
                      <a:avLst/>
                    </a:prstGeom>
                  </pic:spPr>
                </pic:pic>
              </a:graphicData>
            </a:graphic>
          </wp:anchor>
        </w:drawing>
      </w:r>
      <w:r>
        <w:rPr>
          <w:b/>
          <w:sz w:val="24"/>
        </w:rPr>
        <w:t>Chinmay Pramodkumar Tiwari</w:t>
      </w:r>
      <w:r>
        <w:rPr>
          <w:b/>
          <w:position w:val="9"/>
          <w:sz w:val="16"/>
        </w:rPr>
        <w:t>1 </w:t>
      </w:r>
      <w:r>
        <w:rPr>
          <w:b/>
          <w:sz w:val="24"/>
        </w:rPr>
        <w:t>, Antonio Osamu Katagiri Tanaka</w:t>
      </w:r>
      <w:r>
        <w:rPr>
          <w:b/>
          <w:position w:val="9"/>
          <w:sz w:val="16"/>
        </w:rPr>
        <w:t>1</w:t>
      </w:r>
      <w:r>
        <w:rPr>
          <w:position w:val="9"/>
          <w:sz w:val="16"/>
        </w:rPr>
        <w:t>† 1 </w:t>
      </w:r>
      <w:r>
        <w:rPr>
          <w:rFonts w:ascii="Times New Roman" w:hAnsi="Times New Roman"/>
          <w:i/>
          <w:sz w:val="24"/>
        </w:rPr>
        <w:t>ITESM, </w:t>
      </w:r>
      <w:r>
        <w:rPr>
          <w:rFonts w:ascii="Times New Roman" w:hAnsi="Times New Roman"/>
          <w:i/>
          <w:spacing w:val="-4"/>
          <w:sz w:val="24"/>
        </w:rPr>
        <w:t>Av. </w:t>
      </w:r>
      <w:r>
        <w:rPr>
          <w:rFonts w:ascii="Times New Roman" w:hAnsi="Times New Roman"/>
          <w:i/>
          <w:sz w:val="24"/>
        </w:rPr>
        <w:t>Eugenio Garza Sada 2501 Sur, N.L., Monterrey,</w:t>
      </w:r>
      <w:r>
        <w:rPr>
          <w:rFonts w:ascii="Times New Roman" w:hAnsi="Times New Roman"/>
          <w:i/>
          <w:spacing w:val="17"/>
          <w:sz w:val="24"/>
        </w:rPr>
        <w:t> </w:t>
      </w:r>
      <w:r>
        <w:rPr>
          <w:rFonts w:ascii="Times New Roman" w:hAnsi="Times New Roman"/>
          <w:i/>
          <w:sz w:val="24"/>
        </w:rPr>
        <w:t>Mexico</w:t>
      </w:r>
    </w:p>
    <w:p>
      <w:pPr>
        <w:pStyle w:val="BodyText"/>
        <w:rPr>
          <w:rFonts w:ascii="Times New Roman"/>
          <w:i/>
          <w:sz w:val="30"/>
        </w:rPr>
      </w:pPr>
    </w:p>
    <w:p>
      <w:pPr>
        <w:pStyle w:val="BodyText"/>
        <w:rPr>
          <w:rFonts w:ascii="Times New Roman"/>
          <w:i/>
          <w:sz w:val="30"/>
        </w:rPr>
      </w:pPr>
    </w:p>
    <w:p>
      <w:pPr>
        <w:pStyle w:val="BodyText"/>
        <w:spacing w:before="6"/>
        <w:rPr>
          <w:rFonts w:ascii="Times New Roman"/>
          <w:i/>
          <w:sz w:val="24"/>
        </w:rPr>
      </w:pPr>
    </w:p>
    <w:p>
      <w:pPr>
        <w:pStyle w:val="Heading1"/>
        <w:spacing w:line="261" w:lineRule="auto" w:before="1"/>
        <w:ind w:right="111"/>
      </w:pPr>
      <w:r>
        <w:rPr/>
        <w:pict>
          <v:shapetype id="_x0000_t202" o:spt="202" coordsize="21600,21600" path="m,l,21600r21600,l21600,xe">
            <v:stroke joinstyle="miter"/>
            <v:path gradientshapeok="t" o:connecttype="rect"/>
          </v:shapetype>
          <v:shape style="position:absolute;margin-left:281.085999pt;margin-top:2.187087pt;width:9.3pt;height:20.75pt;mso-position-horizontal-relative:page;mso-position-vertical-relative:paragraph;z-index:-3664"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32"/>
                      <w:sz w:val="24"/>
                    </w:rPr>
                    <w:t>−</w:t>
                  </w:r>
                </w:p>
              </w:txbxContent>
            </v:textbox>
            <w10:wrap type="none"/>
          </v:shape>
        </w:pict>
      </w:r>
      <w:r>
        <w:rPr/>
        <w:t>Paper Review — Study of the Pluronic Silica Interaction in Synthesis of Mesoporous Silica under Mild Acidic Conditions (1).</w:t>
      </w:r>
    </w:p>
    <w:p>
      <w:pPr>
        <w:pStyle w:val="BodyText"/>
        <w:spacing w:line="314" w:lineRule="auto" w:before="119"/>
        <w:ind w:left="117" w:right="115" w:firstLine="338"/>
        <w:jc w:val="both"/>
      </w:pPr>
      <w:r>
        <w:rPr/>
        <w:t>Sundblom et al. investigated the interaction between silica and poly(ethylene oxide) (PEO), using Pluronic and tetraethylorthosilicate (TEOS) as PEO and silica sources respectively. The authors state that the silica source has a strong influence on the rate of material formation and therefore on the structure of the final material, however this is not assessed in this paper. In summary, TEOS was first hydrolyzed followed by subsequently Pluronic additions at varying times after hydrolysis. UV-Vis spectroscopy was implemented to characterize the turbidity of the solutions and dynamic light scattering (DLS) to measure the average aggregate size.</w:t>
      </w:r>
    </w:p>
    <w:p>
      <w:pPr>
        <w:pStyle w:val="BodyText"/>
        <w:spacing w:line="314" w:lineRule="auto" w:before="6"/>
        <w:ind w:left="117" w:right="115" w:firstLine="338"/>
        <w:jc w:val="both"/>
      </w:pPr>
      <w:r>
        <w:rPr/>
        <w:t>During characterization, the authors discovered that the size of the aggregates increases </w:t>
      </w:r>
      <w:r>
        <w:rPr>
          <w:spacing w:val="-6"/>
        </w:rPr>
        <w:t>by </w:t>
      </w:r>
      <w:r>
        <w:rPr/>
        <w:t>the addition of the silica, by increasing temperature,  and as the time between hydrolysis </w:t>
      </w:r>
      <w:r>
        <w:rPr>
          <w:spacing w:val="-6"/>
        </w:rPr>
        <w:t>of  </w:t>
      </w:r>
      <w:r>
        <w:rPr/>
        <w:t>TEOS and addition of Pluronic increased. Both the reaction temperature and the time between hydrolysis of TEOS and addition of Pluronic define the porosity of the material and the degree   of</w:t>
      </w:r>
      <w:r>
        <w:rPr>
          <w:spacing w:val="12"/>
        </w:rPr>
        <w:t> </w:t>
      </w:r>
      <w:r>
        <w:rPr>
          <w:spacing w:val="-5"/>
        </w:rPr>
        <w:t>order.</w:t>
      </w:r>
    </w:p>
    <w:p>
      <w:pPr>
        <w:pStyle w:val="BodyText"/>
        <w:spacing w:line="314" w:lineRule="auto" w:before="4"/>
        <w:ind w:left="117" w:right="115" w:firstLine="338"/>
        <w:jc w:val="both"/>
      </w:pPr>
      <w:r>
        <w:rPr/>
        <w:t>As the temperature increased the solubility of both poly(propylene oxide) PPO and </w:t>
      </w:r>
      <w:r>
        <w:rPr>
          <w:spacing w:val="-4"/>
        </w:rPr>
        <w:t>PEO </w:t>
      </w:r>
      <w:r>
        <w:rPr/>
        <w:t>blocks decreased. As PPO is less soluble in water than </w:t>
      </w:r>
      <w:r>
        <w:rPr>
          <w:spacing w:val="-4"/>
        </w:rPr>
        <w:t>PEO, </w:t>
      </w:r>
      <w:r>
        <w:rPr/>
        <w:t>PPO initiates the formation of aggregates in the solution. Further increase in temperature lead to the formation of ordinary spherical micelles.  The increase in temperature causes a reduction of the amount of water in  the PEO corona micelle, following a reduction of the headgroup area. This translates in </w:t>
      </w:r>
      <w:r>
        <w:rPr>
          <w:spacing w:val="-7"/>
        </w:rPr>
        <w:t>an </w:t>
      </w:r>
      <w:r>
        <w:rPr/>
        <w:t>increase in the critical packing parameter concept (CPP) value. Shrinkage of the headgroup  leads to lower temperature for the sphere-to-rod transition and an increased attraction between micelles. The temperature for the sphere-to-rod transition decreases with an increase of </w:t>
      </w:r>
      <w:r>
        <w:rPr>
          <w:spacing w:val="-5"/>
        </w:rPr>
        <w:t>the </w:t>
      </w:r>
      <w:r>
        <w:rPr/>
        <w:t>degree of silica</w:t>
      </w:r>
      <w:r>
        <w:rPr>
          <w:spacing w:val="36"/>
        </w:rPr>
        <w:t> </w:t>
      </w:r>
      <w:r>
        <w:rPr/>
        <w:t>condensation.</w:t>
      </w:r>
    </w:p>
    <w:p>
      <w:pPr>
        <w:pStyle w:val="BodyText"/>
        <w:spacing w:line="314" w:lineRule="auto" w:before="7"/>
        <w:ind w:left="117" w:right="115" w:firstLine="338"/>
        <w:jc w:val="both"/>
      </w:pPr>
      <w:r>
        <w:rPr/>
        <w:t>The influence of the degree of polymerization can be described in changes in Gibbs free energy. In one hand, the change in enthalpy is to be of minor importance as the number and the strength of the hydrogen bonds formed and broken are relatively equal. On the other hand, the higher the silica molecular weight, the more water molecules are released, generating a greater</w:t>
      </w:r>
    </w:p>
    <w:p>
      <w:pPr>
        <w:pStyle w:val="BodyText"/>
        <w:spacing w:before="8"/>
        <w:rPr>
          <w:sz w:val="17"/>
        </w:rPr>
      </w:pPr>
    </w:p>
    <w:p>
      <w:pPr>
        <w:spacing w:before="101"/>
        <w:ind w:left="440" w:right="0" w:firstLine="0"/>
        <w:jc w:val="left"/>
        <w:rPr>
          <w:sz w:val="18"/>
        </w:rPr>
      </w:pPr>
      <w:r>
        <w:rPr/>
        <w:pict>
          <v:group style="position:absolute;margin-left:70.865997pt;margin-top:2.942761pt;width:181.45pt;height:6.3pt;mso-position-horizontal-relative:page;mso-position-vertical-relative:paragraph;z-index:-3688" coordorigin="1417,59" coordsize="3629,126">
            <v:line style="position:absolute" from="1417,63" to="5046,63" stroked="true" strokeweight=".398pt" strokecolor="#000000">
              <v:stroke dashstyle="solid"/>
            </v:line>
            <v:shape style="position:absolute;left:1675;top:134;width:50;height:50" type="#_x0000_t75" stroked="false">
              <v:imagedata r:id="rId6" o:title=""/>
            </v:shape>
            <w10:wrap type="none"/>
          </v:group>
        </w:pict>
      </w:r>
      <w:r>
        <w:rPr>
          <w:sz w:val="18"/>
        </w:rPr>
        <w:t>E-mail: </w:t>
      </w:r>
      <w:r>
        <w:rPr>
          <w:spacing w:val="20"/>
          <w:sz w:val="18"/>
        </w:rPr>
        <w:t> </w:t>
      </w:r>
      <w:hyperlink r:id="rId7">
        <w:r>
          <w:rPr>
            <w:sz w:val="18"/>
          </w:rPr>
          <w:t>A00827392@itesm.mx</w:t>
        </w:r>
      </w:hyperlink>
    </w:p>
    <w:p>
      <w:pPr>
        <w:spacing w:before="11"/>
        <w:ind w:left="370" w:right="0" w:firstLine="0"/>
        <w:jc w:val="left"/>
        <w:rPr>
          <w:sz w:val="18"/>
        </w:rPr>
      </w:pPr>
      <w:r>
        <w:rPr>
          <w:position w:val="8"/>
          <w:sz w:val="12"/>
        </w:rPr>
        <w:t>†</w:t>
      </w:r>
      <w:r>
        <w:rPr>
          <w:sz w:val="18"/>
        </w:rPr>
        <w:t>E-mail: </w:t>
      </w:r>
      <w:r>
        <w:rPr>
          <w:spacing w:val="27"/>
          <w:sz w:val="18"/>
        </w:rPr>
        <w:t> </w:t>
      </w:r>
      <w:hyperlink r:id="rId8">
        <w:r>
          <w:rPr>
            <w:sz w:val="18"/>
          </w:rPr>
          <w:t>A01212611@itesm.mx</w:t>
        </w:r>
      </w:hyperlink>
    </w:p>
    <w:p>
      <w:pPr>
        <w:spacing w:after="0"/>
        <w:jc w:val="left"/>
        <w:rPr>
          <w:sz w:val="18"/>
        </w:rPr>
        <w:sectPr>
          <w:type w:val="continuous"/>
          <w:pgSz w:w="11910" w:h="16840"/>
          <w:pgMar w:top="1280" w:bottom="280" w:left="1300" w:right="1300"/>
        </w:sectPr>
      </w:pPr>
    </w:p>
    <w:p>
      <w:pPr>
        <w:pStyle w:val="BodyText"/>
        <w:spacing w:before="4"/>
        <w:rPr>
          <w:sz w:val="25"/>
        </w:rPr>
      </w:pPr>
    </w:p>
    <w:p>
      <w:pPr>
        <w:pStyle w:val="BodyText"/>
        <w:spacing w:line="314" w:lineRule="auto" w:before="102"/>
        <w:ind w:left="117" w:right="115"/>
        <w:jc w:val="both"/>
      </w:pPr>
      <w:r>
        <w:rPr/>
        <w:t>change in </w:t>
      </w:r>
      <w:r>
        <w:rPr>
          <w:spacing w:val="-4"/>
        </w:rPr>
        <w:t>entropy. </w:t>
      </w:r>
      <w:r>
        <w:rPr/>
        <w:t>Hence, the increased attraction between the silica and the PEO as the degree of silica polymerization increases. The order improves as the hydrolysis time increased. </w:t>
      </w:r>
      <w:r>
        <w:rPr>
          <w:spacing w:val="-21"/>
        </w:rPr>
        <w:t>To </w:t>
      </w:r>
      <w:r>
        <w:rPr/>
        <w:t>obtain well-ordered materials, the micellar aggregates growth and phase separation processes must</w:t>
      </w:r>
      <w:r>
        <w:rPr>
          <w:spacing w:val="12"/>
        </w:rPr>
        <w:t> </w:t>
      </w:r>
      <w:r>
        <w:rPr/>
        <w:t>be</w:t>
      </w:r>
      <w:r>
        <w:rPr>
          <w:spacing w:val="12"/>
        </w:rPr>
        <w:t> </w:t>
      </w:r>
      <w:r>
        <w:rPr/>
        <w:t>fast</w:t>
      </w:r>
      <w:r>
        <w:rPr>
          <w:spacing w:val="12"/>
        </w:rPr>
        <w:t> </w:t>
      </w:r>
      <w:r>
        <w:rPr/>
        <w:t>relative</w:t>
      </w:r>
      <w:r>
        <w:rPr>
          <w:spacing w:val="12"/>
        </w:rPr>
        <w:t> </w:t>
      </w:r>
      <w:r>
        <w:rPr/>
        <w:t>to</w:t>
      </w:r>
      <w:r>
        <w:rPr>
          <w:spacing w:val="12"/>
        </w:rPr>
        <w:t> </w:t>
      </w:r>
      <w:r>
        <w:rPr/>
        <w:t>the</w:t>
      </w:r>
      <w:r>
        <w:rPr>
          <w:spacing w:val="12"/>
        </w:rPr>
        <w:t> </w:t>
      </w:r>
      <w:r>
        <w:rPr/>
        <w:t>condensation</w:t>
      </w:r>
      <w:r>
        <w:rPr>
          <w:spacing w:val="12"/>
        </w:rPr>
        <w:t> </w:t>
      </w:r>
      <w:r>
        <w:rPr/>
        <w:t>of</w:t>
      </w:r>
      <w:r>
        <w:rPr>
          <w:spacing w:val="12"/>
        </w:rPr>
        <w:t> </w:t>
      </w:r>
      <w:r>
        <w:rPr/>
        <w:t>the</w:t>
      </w:r>
      <w:r>
        <w:rPr>
          <w:spacing w:val="12"/>
        </w:rPr>
        <w:t> </w:t>
      </w:r>
      <w:r>
        <w:rPr/>
        <w:t>silica</w:t>
      </w:r>
      <w:r>
        <w:rPr>
          <w:spacing w:val="12"/>
        </w:rPr>
        <w:t> </w:t>
      </w:r>
      <w:r>
        <w:rPr/>
        <w:t>in</w:t>
      </w:r>
      <w:r>
        <w:rPr>
          <w:spacing w:val="12"/>
        </w:rPr>
        <w:t> </w:t>
      </w:r>
      <w:r>
        <w:rPr/>
        <w:t>the</w:t>
      </w:r>
      <w:r>
        <w:rPr>
          <w:spacing w:val="12"/>
        </w:rPr>
        <w:t> </w:t>
      </w:r>
      <w:r>
        <w:rPr/>
        <w:t>corona</w:t>
      </w:r>
      <w:r>
        <w:rPr>
          <w:spacing w:val="12"/>
        </w:rPr>
        <w:t> </w:t>
      </w:r>
      <w:r>
        <w:rPr/>
        <w:t>of</w:t>
      </w:r>
      <w:r>
        <w:rPr>
          <w:spacing w:val="12"/>
        </w:rPr>
        <w:t> </w:t>
      </w:r>
      <w:r>
        <w:rPr/>
        <w:t>the</w:t>
      </w:r>
      <w:r>
        <w:rPr>
          <w:spacing w:val="12"/>
        </w:rPr>
        <w:t> </w:t>
      </w:r>
      <w:r>
        <w:rPr/>
        <w:t>micelles.</w:t>
      </w:r>
    </w:p>
    <w:p>
      <w:pPr>
        <w:pStyle w:val="BodyText"/>
        <w:rPr>
          <w:sz w:val="26"/>
        </w:rPr>
      </w:pPr>
    </w:p>
    <w:p>
      <w:pPr>
        <w:pStyle w:val="Heading1"/>
        <w:spacing w:line="261" w:lineRule="auto" w:before="155"/>
        <w:ind w:right="111"/>
      </w:pPr>
      <w:r>
        <w:rPr/>
        <w:t>Class Assignment — Let us </w:t>
      </w:r>
      <w:r>
        <w:rPr>
          <w:spacing w:val="-6"/>
        </w:rPr>
        <w:t>Talk </w:t>
      </w:r>
      <w:r>
        <w:rPr/>
        <w:t>about Laboratory Experiences to come (TEOS, Pluronic, SDS, and </w:t>
      </w:r>
      <w:r>
        <w:rPr>
          <w:spacing w:val="-5"/>
        </w:rPr>
        <w:t>CTAC).</w:t>
      </w:r>
    </w:p>
    <w:p>
      <w:pPr>
        <w:pStyle w:val="BodyText"/>
        <w:spacing w:line="314" w:lineRule="auto" w:before="119"/>
        <w:ind w:left="117" w:right="115" w:firstLine="338"/>
        <w:jc w:val="both"/>
      </w:pPr>
      <w:r>
        <w:rPr/>
        <w:t>Surfactants are frequently used in the synthesis of mesoporous silica nanoparticles (MSNs) due to their tendency to form micelles, therefore silica sources tend to aggregate and form silica networks around these micelles. Ionic surfactants define MSN templating through electrostatic interactions between the surfactant micelles and the silicate source. For instance, a typical cationic surfactant and anionic silicate source is hexadecyltrimethylammonium chloride (CTAC) and tetraetil ortosilicato (TEOS) (2).</w:t>
      </w:r>
    </w:p>
    <w:p>
      <w:pPr>
        <w:pStyle w:val="BodyText"/>
        <w:spacing w:line="314" w:lineRule="auto" w:before="6"/>
        <w:ind w:left="117" w:right="115" w:firstLine="338"/>
        <w:jc w:val="both"/>
      </w:pPr>
      <w:r>
        <w:rPr/>
        <w:t>Roughly, pore size control is limited to the used template, however varying chain lengths in CTAC can impact the final pore size of the MSN (3).</w:t>
      </w:r>
    </w:p>
    <w:p>
      <w:pPr>
        <w:pStyle w:val="BodyText"/>
        <w:spacing w:line="314" w:lineRule="auto" w:before="1"/>
        <w:ind w:left="117" w:right="115" w:firstLine="338"/>
        <w:jc w:val="both"/>
      </w:pPr>
      <w:r>
        <w:rPr/>
        <w:t>Due to the anionic nature of silicate precursors, an intermediate (co-silica) source with cationic behavior is needed in order to adapt the anionic surfactant templating method </w:t>
      </w:r>
      <w:r>
        <w:rPr>
          <w:spacing w:val="-3"/>
        </w:rPr>
        <w:t>(4).   </w:t>
      </w:r>
      <w:r>
        <w:rPr>
          <w:spacing w:val="42"/>
        </w:rPr>
        <w:t> </w:t>
      </w:r>
      <w:r>
        <w:rPr/>
        <w:t>Che et al. an achieved a charge neutralization effect with the addition of sodium dodecyl sulfate (SDS). SDS is a negative anionic that interacts with the positively charged surfactant, in the addition of</w:t>
      </w:r>
      <w:r>
        <w:rPr>
          <w:spacing w:val="24"/>
        </w:rPr>
        <w:t> </w:t>
      </w:r>
      <w:r>
        <w:rPr/>
        <w:t>TEOS.</w:t>
      </w:r>
    </w:p>
    <w:p>
      <w:pPr>
        <w:pStyle w:val="BodyText"/>
        <w:spacing w:line="314" w:lineRule="auto" w:before="5"/>
        <w:ind w:left="117" w:right="115" w:firstLine="338"/>
        <w:jc w:val="both"/>
      </w:pPr>
      <w:r>
        <w:rPr/>
        <w:t>The most used non.ionic/amphiphilic templates are tri-block polymers, such as PEO-PPO- PEO known as Pluronic.   Due to the hydrophilic nature of PEO and the hydrophobic </w:t>
      </w:r>
      <w:r>
        <w:rPr>
          <w:spacing w:val="-3"/>
        </w:rPr>
        <w:t>nature        </w:t>
      </w:r>
      <w:r>
        <w:rPr>
          <w:spacing w:val="42"/>
        </w:rPr>
        <w:t> </w:t>
      </w:r>
      <w:r>
        <w:rPr/>
        <w:t>of </w:t>
      </w:r>
      <w:r>
        <w:rPr>
          <w:spacing w:val="-4"/>
        </w:rPr>
        <w:t>PPO, </w:t>
      </w:r>
      <w:r>
        <w:rPr/>
        <w:t>Pluronics behave as amphiphilic surfactants, with varying strength in relation to </w:t>
      </w:r>
      <w:r>
        <w:rPr>
          <w:spacing w:val="-5"/>
        </w:rPr>
        <w:t>the </w:t>
      </w:r>
      <w:r>
        <w:rPr/>
        <w:t>polymer chain length and ratio. One of the earliest MSN involving non-ionic surfactants was done by (5). As reported by Zhao et al., the formation of uniform MSNs is dependent to </w:t>
      </w:r>
      <w:r>
        <w:rPr>
          <w:spacing w:val="-5"/>
        </w:rPr>
        <w:t>all </w:t>
      </w:r>
      <w:r>
        <w:rPr/>
        <w:t>reaction parameters, including temperature, pH, and the template concentration. When </w:t>
      </w:r>
      <w:r>
        <w:rPr>
          <w:spacing w:val="-3"/>
        </w:rPr>
        <w:t>using </w:t>
      </w:r>
      <w:r>
        <w:rPr/>
        <w:t>PEO-PPO-PEO as the template, greater PEO content results in cubic structures.  The presence of  a</w:t>
      </w:r>
      <w:r>
        <w:rPr>
          <w:spacing w:val="13"/>
        </w:rPr>
        <w:t> </w:t>
      </w:r>
      <w:r>
        <w:rPr/>
        <w:t>co-solvent</w:t>
      </w:r>
      <w:r>
        <w:rPr>
          <w:spacing w:val="14"/>
        </w:rPr>
        <w:t> </w:t>
      </w:r>
      <w:r>
        <w:rPr/>
        <w:t>(ethanol)</w:t>
      </w:r>
      <w:r>
        <w:rPr>
          <w:spacing w:val="14"/>
        </w:rPr>
        <w:t> </w:t>
      </w:r>
      <w:r>
        <w:rPr/>
        <w:t>also</w:t>
      </w:r>
      <w:r>
        <w:rPr>
          <w:spacing w:val="13"/>
        </w:rPr>
        <w:t> </w:t>
      </w:r>
      <w:r>
        <w:rPr/>
        <w:t>favors</w:t>
      </w:r>
      <w:r>
        <w:rPr>
          <w:spacing w:val="14"/>
        </w:rPr>
        <w:t> </w:t>
      </w:r>
      <w:r>
        <w:rPr/>
        <w:t>the</w:t>
      </w:r>
      <w:r>
        <w:rPr>
          <w:spacing w:val="14"/>
        </w:rPr>
        <w:t> </w:t>
      </w:r>
      <w:r>
        <w:rPr/>
        <w:t>conversion</w:t>
      </w:r>
      <w:r>
        <w:rPr>
          <w:spacing w:val="13"/>
        </w:rPr>
        <w:t> </w:t>
      </w:r>
      <w:r>
        <w:rPr/>
        <w:t>of</w:t>
      </w:r>
      <w:r>
        <w:rPr>
          <w:spacing w:val="14"/>
        </w:rPr>
        <w:t> </w:t>
      </w:r>
      <w:r>
        <w:rPr/>
        <w:t>hexagonal</w:t>
      </w:r>
      <w:r>
        <w:rPr>
          <w:spacing w:val="14"/>
        </w:rPr>
        <w:t> </w:t>
      </w:r>
      <w:r>
        <w:rPr/>
        <w:t>to</w:t>
      </w:r>
      <w:r>
        <w:rPr>
          <w:spacing w:val="13"/>
        </w:rPr>
        <w:t> </w:t>
      </w:r>
      <w:r>
        <w:rPr/>
        <w:t>cubic</w:t>
      </w:r>
      <w:r>
        <w:rPr>
          <w:spacing w:val="14"/>
        </w:rPr>
        <w:t> </w:t>
      </w:r>
      <w:r>
        <w:rPr/>
        <w:t>morphology</w:t>
      </w:r>
      <w:r>
        <w:rPr>
          <w:spacing w:val="14"/>
        </w:rPr>
        <w:t> </w:t>
      </w:r>
      <w:r>
        <w:rPr/>
        <w:t>(6).</w:t>
      </w:r>
    </w:p>
    <w:p>
      <w:pPr>
        <w:pStyle w:val="BodyText"/>
        <w:rPr>
          <w:sz w:val="26"/>
        </w:rPr>
      </w:pPr>
    </w:p>
    <w:p>
      <w:pPr>
        <w:pStyle w:val="Heading2"/>
        <w:spacing w:before="169"/>
      </w:pPr>
      <w:r>
        <w:rPr/>
        <w:t>Proposed experiments</w:t>
      </w:r>
    </w:p>
    <w:p>
      <w:pPr>
        <w:pStyle w:val="BodyText"/>
        <w:spacing w:line="314" w:lineRule="auto" w:before="149"/>
        <w:ind w:left="117" w:right="115" w:firstLine="338"/>
        <w:jc w:val="both"/>
      </w:pPr>
      <w:r>
        <w:rPr/>
        <w:t>As per revisited literature, the proposed experiment shall include two sample sets. One </w:t>
      </w:r>
      <w:r>
        <w:rPr>
          <w:spacing w:val="-4"/>
        </w:rPr>
        <w:t>set </w:t>
      </w:r>
      <w:r>
        <w:rPr/>
        <w:t>shall include ionic surfactants </w:t>
      </w:r>
      <w:r>
        <w:rPr>
          <w:spacing w:val="-5"/>
        </w:rPr>
        <w:t>(CTAC </w:t>
      </w:r>
      <w:r>
        <w:rPr/>
        <w:t>and SDS). The other sample set shall assess non-ionic surfactants (Pluronic).   In both sample sets,  TEOS shall be used as the silica source.   Differ-    ent template concentrations, reaction temperatures and pH shall be investigated. </w:t>
      </w:r>
      <w:r>
        <w:rPr>
          <w:spacing w:val="-2"/>
        </w:rPr>
        <w:t>Spectroscopy </w:t>
      </w:r>
      <w:r>
        <w:rPr/>
        <w:t>characterization</w:t>
      </w:r>
      <w:r>
        <w:rPr>
          <w:spacing w:val="13"/>
        </w:rPr>
        <w:t> </w:t>
      </w:r>
      <w:r>
        <w:rPr/>
        <w:t>techniques</w:t>
      </w:r>
      <w:r>
        <w:rPr>
          <w:spacing w:val="13"/>
        </w:rPr>
        <w:t> </w:t>
      </w:r>
      <w:r>
        <w:rPr/>
        <w:t>could</w:t>
      </w:r>
      <w:r>
        <w:rPr>
          <w:spacing w:val="13"/>
        </w:rPr>
        <w:t> </w:t>
      </w:r>
      <w:r>
        <w:rPr/>
        <w:t>be</w:t>
      </w:r>
      <w:r>
        <w:rPr>
          <w:spacing w:val="13"/>
        </w:rPr>
        <w:t> </w:t>
      </w:r>
      <w:r>
        <w:rPr/>
        <w:t>implemented</w:t>
      </w:r>
      <w:r>
        <w:rPr>
          <w:spacing w:val="13"/>
        </w:rPr>
        <w:t> </w:t>
      </w:r>
      <w:r>
        <w:rPr/>
        <w:t>to</w:t>
      </w:r>
      <w:r>
        <w:rPr>
          <w:spacing w:val="13"/>
        </w:rPr>
        <w:t> </w:t>
      </w:r>
      <w:r>
        <w:rPr/>
        <w:t>study</w:t>
      </w:r>
      <w:r>
        <w:rPr>
          <w:spacing w:val="13"/>
        </w:rPr>
        <w:t> </w:t>
      </w:r>
      <w:r>
        <w:rPr/>
        <w:t>the</w:t>
      </w:r>
      <w:r>
        <w:rPr>
          <w:spacing w:val="13"/>
        </w:rPr>
        <w:t> </w:t>
      </w:r>
      <w:r>
        <w:rPr/>
        <w:t>MSN</w:t>
      </w:r>
      <w:r>
        <w:rPr>
          <w:spacing w:val="13"/>
        </w:rPr>
        <w:t> </w:t>
      </w:r>
      <w:r>
        <w:rPr>
          <w:spacing w:val="-3"/>
        </w:rPr>
        <w:t>morphology.</w:t>
      </w:r>
    </w:p>
    <w:p>
      <w:pPr>
        <w:spacing w:after="0" w:line="314" w:lineRule="auto"/>
        <w:jc w:val="both"/>
        <w:sectPr>
          <w:headerReference w:type="default" r:id="rId9"/>
          <w:pgSz w:w="11910" w:h="16840"/>
          <w:pgMar w:header="1013" w:footer="0" w:top="1300" w:bottom="280" w:left="1300" w:right="1300"/>
          <w:pgNumType w:start="2"/>
        </w:sectPr>
      </w:pPr>
    </w:p>
    <w:p>
      <w:pPr>
        <w:pStyle w:val="BodyText"/>
        <w:spacing w:before="8"/>
        <w:rPr>
          <w:sz w:val="23"/>
        </w:rPr>
      </w:pPr>
    </w:p>
    <w:p>
      <w:pPr>
        <w:pStyle w:val="Heading1"/>
        <w:spacing w:before="102"/>
      </w:pPr>
      <w:r>
        <w:rPr/>
        <w:t>References</w:t>
      </w:r>
    </w:p>
    <w:p>
      <w:pPr>
        <w:pStyle w:val="ListParagraph"/>
        <w:numPr>
          <w:ilvl w:val="0"/>
          <w:numId w:val="1"/>
        </w:numPr>
        <w:tabs>
          <w:tab w:pos="532" w:val="left" w:leader="none"/>
        </w:tabs>
        <w:spacing w:line="314" w:lineRule="auto" w:before="144" w:after="0"/>
        <w:ind w:left="531" w:right="115" w:hanging="414"/>
        <w:jc w:val="both"/>
        <w:rPr>
          <w:sz w:val="22"/>
        </w:rPr>
      </w:pPr>
      <w:r>
        <w:rPr>
          <w:w w:val="105"/>
          <w:sz w:val="22"/>
        </w:rPr>
        <w:t>Andreas Sundblom, Anders E. C. Palmqvist, and Krister Holmberg. Study of </w:t>
      </w:r>
      <w:r>
        <w:rPr>
          <w:spacing w:val="-5"/>
          <w:w w:val="105"/>
          <w:sz w:val="22"/>
        </w:rPr>
        <w:t>the </w:t>
      </w:r>
      <w:r>
        <w:rPr>
          <w:w w:val="105"/>
          <w:sz w:val="22"/>
        </w:rPr>
        <w:t>Pluronic</w:t>
      </w:r>
      <w:r>
        <w:rPr>
          <w:rFonts w:ascii="Arial" w:hAnsi="Arial"/>
          <w:i/>
          <w:w w:val="105"/>
          <w:sz w:val="22"/>
        </w:rPr>
        <w:t>−</w:t>
      </w:r>
      <w:r>
        <w:rPr>
          <w:w w:val="105"/>
          <w:sz w:val="22"/>
        </w:rPr>
        <w:t>Silica</w:t>
      </w:r>
      <w:r>
        <w:rPr>
          <w:spacing w:val="-27"/>
          <w:w w:val="105"/>
          <w:sz w:val="22"/>
        </w:rPr>
        <w:t> </w:t>
      </w:r>
      <w:r>
        <w:rPr>
          <w:w w:val="105"/>
          <w:sz w:val="22"/>
        </w:rPr>
        <w:t>Interaction</w:t>
      </w:r>
      <w:r>
        <w:rPr>
          <w:spacing w:val="-26"/>
          <w:w w:val="105"/>
          <w:sz w:val="22"/>
        </w:rPr>
        <w:t> </w:t>
      </w:r>
      <w:r>
        <w:rPr>
          <w:w w:val="105"/>
          <w:sz w:val="22"/>
        </w:rPr>
        <w:t>in</w:t>
      </w:r>
      <w:r>
        <w:rPr>
          <w:spacing w:val="-27"/>
          <w:w w:val="105"/>
          <w:sz w:val="22"/>
        </w:rPr>
        <w:t> </w:t>
      </w:r>
      <w:r>
        <w:rPr>
          <w:w w:val="105"/>
          <w:sz w:val="22"/>
        </w:rPr>
        <w:t>Synthesis</w:t>
      </w:r>
      <w:r>
        <w:rPr>
          <w:spacing w:val="-26"/>
          <w:w w:val="105"/>
          <w:sz w:val="22"/>
        </w:rPr>
        <w:t> </w:t>
      </w:r>
      <w:r>
        <w:rPr>
          <w:w w:val="105"/>
          <w:sz w:val="22"/>
        </w:rPr>
        <w:t>of</w:t>
      </w:r>
      <w:r>
        <w:rPr>
          <w:spacing w:val="-27"/>
          <w:w w:val="105"/>
          <w:sz w:val="22"/>
        </w:rPr>
        <w:t> </w:t>
      </w:r>
      <w:r>
        <w:rPr>
          <w:w w:val="105"/>
          <w:sz w:val="22"/>
        </w:rPr>
        <w:t>Mesoporous</w:t>
      </w:r>
      <w:r>
        <w:rPr>
          <w:spacing w:val="-26"/>
          <w:w w:val="105"/>
          <w:sz w:val="22"/>
        </w:rPr>
        <w:t> </w:t>
      </w:r>
      <w:r>
        <w:rPr>
          <w:w w:val="105"/>
          <w:sz w:val="22"/>
        </w:rPr>
        <w:t>Silica</w:t>
      </w:r>
      <w:r>
        <w:rPr>
          <w:spacing w:val="-27"/>
          <w:w w:val="105"/>
          <w:sz w:val="22"/>
        </w:rPr>
        <w:t> </w:t>
      </w:r>
      <w:r>
        <w:rPr>
          <w:w w:val="105"/>
          <w:sz w:val="22"/>
        </w:rPr>
        <w:t>under</w:t>
      </w:r>
      <w:r>
        <w:rPr>
          <w:spacing w:val="-26"/>
          <w:w w:val="105"/>
          <w:sz w:val="22"/>
        </w:rPr>
        <w:t> </w:t>
      </w:r>
      <w:r>
        <w:rPr>
          <w:w w:val="105"/>
          <w:sz w:val="22"/>
        </w:rPr>
        <w:t>Mild</w:t>
      </w:r>
      <w:r>
        <w:rPr>
          <w:spacing w:val="-27"/>
          <w:w w:val="105"/>
          <w:sz w:val="22"/>
        </w:rPr>
        <w:t> </w:t>
      </w:r>
      <w:r>
        <w:rPr>
          <w:w w:val="105"/>
          <w:sz w:val="22"/>
        </w:rPr>
        <w:t>Acidic</w:t>
      </w:r>
      <w:r>
        <w:rPr>
          <w:spacing w:val="-26"/>
          <w:w w:val="105"/>
          <w:sz w:val="22"/>
        </w:rPr>
        <w:t> </w:t>
      </w:r>
      <w:r>
        <w:rPr>
          <w:w w:val="105"/>
          <w:sz w:val="22"/>
        </w:rPr>
        <w:t>Conditions.</w:t>
      </w:r>
    </w:p>
    <w:p>
      <w:pPr>
        <w:pStyle w:val="BodyText"/>
        <w:spacing w:before="2"/>
        <w:ind w:left="531"/>
      </w:pPr>
      <w:r>
        <w:rPr>
          <w:rFonts w:ascii="Times New Roman" w:hAnsi="Times New Roman"/>
          <w:i/>
        </w:rPr>
        <w:t>Langmuir</w:t>
      </w:r>
      <w:r>
        <w:rPr/>
        <w:t>, 26(3):1983–1990, feb 2010. 10.1021/la902144h</w:t>
      </w:r>
    </w:p>
    <w:p>
      <w:pPr>
        <w:pStyle w:val="BodyText"/>
        <w:spacing w:before="2"/>
      </w:pPr>
    </w:p>
    <w:p>
      <w:pPr>
        <w:pStyle w:val="ListParagraph"/>
        <w:numPr>
          <w:ilvl w:val="0"/>
          <w:numId w:val="1"/>
        </w:numPr>
        <w:tabs>
          <w:tab w:pos="532" w:val="left" w:leader="none"/>
        </w:tabs>
        <w:spacing w:line="314" w:lineRule="auto" w:before="0" w:after="0"/>
        <w:ind w:left="531" w:right="115" w:hanging="414"/>
        <w:jc w:val="both"/>
        <w:rPr>
          <w:sz w:val="22"/>
        </w:rPr>
      </w:pPr>
      <w:r>
        <w:rPr>
          <w:sz w:val="22"/>
        </w:rPr>
        <w:t>María Pérez-Page, Erick </w:t>
      </w:r>
      <w:r>
        <w:rPr>
          <w:spacing w:val="-6"/>
          <w:sz w:val="22"/>
        </w:rPr>
        <w:t>Yu, </w:t>
      </w:r>
      <w:r>
        <w:rPr>
          <w:sz w:val="22"/>
        </w:rPr>
        <w:t>Jun Li, Masoud Rahman, Daniel M. Dryden, Ruxandra Vidu, and Pieter Stroeve. Template-based syntheses for shape controlled nanostructures. </w:t>
      </w:r>
      <w:r>
        <w:rPr>
          <w:rFonts w:ascii="Times New Roman" w:hAnsi="Times New Roman"/>
          <w:i/>
          <w:sz w:val="22"/>
        </w:rPr>
        <w:t>Advances </w:t>
      </w:r>
      <w:r>
        <w:rPr>
          <w:rFonts w:ascii="Times New Roman" w:hAnsi="Times New Roman"/>
          <w:i/>
          <w:spacing w:val="-7"/>
          <w:sz w:val="22"/>
        </w:rPr>
        <w:t>in </w:t>
      </w:r>
      <w:r>
        <w:rPr>
          <w:rFonts w:ascii="Times New Roman" w:hAnsi="Times New Roman"/>
          <w:i/>
          <w:sz w:val="22"/>
        </w:rPr>
        <w:t>Colloid and Interface Science</w:t>
      </w:r>
      <w:r>
        <w:rPr>
          <w:sz w:val="22"/>
        </w:rPr>
        <w:t>, 234:51–79, aug 2016.</w:t>
      </w:r>
      <w:r>
        <w:rPr>
          <w:spacing w:val="22"/>
          <w:sz w:val="22"/>
        </w:rPr>
        <w:t> </w:t>
      </w:r>
      <w:r>
        <w:rPr>
          <w:sz w:val="22"/>
        </w:rPr>
        <w:t>10.1016/j.cis.2016.04.001</w:t>
      </w:r>
    </w:p>
    <w:p>
      <w:pPr>
        <w:pStyle w:val="ListParagraph"/>
        <w:numPr>
          <w:ilvl w:val="0"/>
          <w:numId w:val="1"/>
        </w:numPr>
        <w:tabs>
          <w:tab w:pos="532" w:val="left" w:leader="none"/>
        </w:tabs>
        <w:spacing w:line="314" w:lineRule="auto" w:before="182" w:after="0"/>
        <w:ind w:left="531" w:right="115" w:hanging="414"/>
        <w:jc w:val="both"/>
        <w:rPr>
          <w:sz w:val="22"/>
        </w:rPr>
      </w:pPr>
      <w:r>
        <w:rPr>
          <w:sz w:val="22"/>
        </w:rPr>
        <w:t>M. Kruk,  M.  Jaroniec,  and  A.  Sayari.  Application  of  Large  </w:t>
      </w:r>
      <w:r>
        <w:rPr>
          <w:spacing w:val="-3"/>
          <w:sz w:val="22"/>
        </w:rPr>
        <w:t>Pore  </w:t>
      </w:r>
      <w:r>
        <w:rPr>
          <w:sz w:val="22"/>
        </w:rPr>
        <w:t>MCM-41  Molecular  Sieves </w:t>
      </w:r>
      <w:r>
        <w:rPr>
          <w:spacing w:val="-11"/>
          <w:sz w:val="22"/>
        </w:rPr>
        <w:t>To </w:t>
      </w:r>
      <w:r>
        <w:rPr>
          <w:sz w:val="22"/>
        </w:rPr>
        <w:t>Improve </w:t>
      </w:r>
      <w:r>
        <w:rPr>
          <w:spacing w:val="-3"/>
          <w:sz w:val="22"/>
        </w:rPr>
        <w:t>Pore </w:t>
      </w:r>
      <w:r>
        <w:rPr>
          <w:sz w:val="22"/>
        </w:rPr>
        <w:t>Size Analysis Using Nitrogen Adsorption Measurements. </w:t>
      </w:r>
      <w:r>
        <w:rPr>
          <w:rFonts w:ascii="Times New Roman" w:hAnsi="Times New Roman"/>
          <w:i/>
          <w:sz w:val="22"/>
        </w:rPr>
        <w:t>Langmuir</w:t>
      </w:r>
      <w:r>
        <w:rPr>
          <w:sz w:val="22"/>
        </w:rPr>
        <w:t>, 13(23):6267–6273, nov 1997.</w:t>
      </w:r>
      <w:r>
        <w:rPr>
          <w:spacing w:val="14"/>
          <w:sz w:val="22"/>
        </w:rPr>
        <w:t> </w:t>
      </w:r>
      <w:r>
        <w:rPr>
          <w:sz w:val="22"/>
        </w:rPr>
        <w:t>10.1021/la970776m</w:t>
      </w:r>
    </w:p>
    <w:p>
      <w:pPr>
        <w:pStyle w:val="ListParagraph"/>
        <w:numPr>
          <w:ilvl w:val="0"/>
          <w:numId w:val="1"/>
        </w:numPr>
        <w:tabs>
          <w:tab w:pos="532" w:val="left" w:leader="none"/>
        </w:tabs>
        <w:spacing w:line="314" w:lineRule="auto" w:before="182" w:after="0"/>
        <w:ind w:left="531" w:right="115" w:hanging="414"/>
        <w:jc w:val="both"/>
        <w:rPr>
          <w:sz w:val="22"/>
        </w:rPr>
      </w:pPr>
      <w:r>
        <w:rPr>
          <w:sz w:val="22"/>
        </w:rPr>
        <w:t>Shunai Che, Alfonso E. Garcia-Bennett, </w:t>
      </w:r>
      <w:r>
        <w:rPr>
          <w:spacing w:val="-3"/>
          <w:sz w:val="22"/>
        </w:rPr>
        <w:t>Toshiyuki </w:t>
      </w:r>
      <w:r>
        <w:rPr>
          <w:spacing w:val="-4"/>
          <w:sz w:val="22"/>
        </w:rPr>
        <w:t>Yokoi, </w:t>
      </w:r>
      <w:r>
        <w:rPr>
          <w:sz w:val="22"/>
        </w:rPr>
        <w:t>Kazutami Sakamoto, Hironobu Kunieda, Osamu </w:t>
      </w:r>
      <w:r>
        <w:rPr>
          <w:spacing w:val="-3"/>
          <w:sz w:val="22"/>
        </w:rPr>
        <w:t>Terasaki, </w:t>
      </w:r>
      <w:r>
        <w:rPr>
          <w:sz w:val="22"/>
        </w:rPr>
        <w:t>and </w:t>
      </w:r>
      <w:r>
        <w:rPr>
          <w:spacing w:val="-4"/>
          <w:sz w:val="22"/>
        </w:rPr>
        <w:t>Takashi </w:t>
      </w:r>
      <w:r>
        <w:rPr>
          <w:spacing w:val="-3"/>
          <w:sz w:val="22"/>
        </w:rPr>
        <w:t>Tatsumi. </w:t>
      </w:r>
      <w:r>
        <w:rPr>
          <w:sz w:val="22"/>
        </w:rPr>
        <w:t>A novel anionic surfactant templating </w:t>
      </w:r>
      <w:r>
        <w:rPr>
          <w:spacing w:val="-3"/>
          <w:sz w:val="22"/>
        </w:rPr>
        <w:t>route </w:t>
      </w:r>
      <w:r>
        <w:rPr>
          <w:sz w:val="22"/>
        </w:rPr>
        <w:t>for synthesizing mesoporous silica with unique structure. </w:t>
      </w:r>
      <w:r>
        <w:rPr>
          <w:rFonts w:ascii="Times New Roman" w:hAnsi="Times New Roman"/>
          <w:i/>
          <w:sz w:val="22"/>
        </w:rPr>
        <w:t>Nature Materials</w:t>
      </w:r>
      <w:r>
        <w:rPr>
          <w:sz w:val="22"/>
        </w:rPr>
        <w:t>, 2(12):801–805, dec 2003.</w:t>
      </w:r>
      <w:r>
        <w:rPr>
          <w:spacing w:val="48"/>
          <w:sz w:val="22"/>
        </w:rPr>
        <w:t> </w:t>
      </w:r>
      <w:r>
        <w:rPr>
          <w:sz w:val="22"/>
        </w:rPr>
        <w:t>10.1038/nmat1022</w:t>
      </w:r>
    </w:p>
    <w:p>
      <w:pPr>
        <w:pStyle w:val="ListParagraph"/>
        <w:numPr>
          <w:ilvl w:val="0"/>
          <w:numId w:val="1"/>
        </w:numPr>
        <w:tabs>
          <w:tab w:pos="532" w:val="left" w:leader="none"/>
        </w:tabs>
        <w:spacing w:line="314" w:lineRule="auto" w:before="183" w:after="0"/>
        <w:ind w:left="531" w:right="115" w:hanging="414"/>
        <w:jc w:val="both"/>
        <w:rPr>
          <w:sz w:val="22"/>
        </w:rPr>
      </w:pPr>
      <w:r>
        <w:rPr>
          <w:sz w:val="22"/>
        </w:rPr>
        <w:t>Dongyuan Zhao. </w:t>
      </w:r>
      <w:r>
        <w:rPr>
          <w:spacing w:val="-3"/>
          <w:sz w:val="22"/>
        </w:rPr>
        <w:t>Triblock </w:t>
      </w:r>
      <w:r>
        <w:rPr>
          <w:sz w:val="22"/>
        </w:rPr>
        <w:t>Copolymer Syntheses of Mesoporous Silica with Periodic 50 to </w:t>
      </w:r>
      <w:r>
        <w:rPr>
          <w:spacing w:val="-5"/>
          <w:sz w:val="22"/>
        </w:rPr>
        <w:t>300 </w:t>
      </w:r>
      <w:r>
        <w:rPr>
          <w:sz w:val="22"/>
        </w:rPr>
        <w:t>Angstrom Pores. </w:t>
      </w:r>
      <w:r>
        <w:rPr>
          <w:rFonts w:ascii="Times New Roman" w:hAnsi="Times New Roman"/>
          <w:i/>
          <w:sz w:val="22"/>
        </w:rPr>
        <w:t>Science</w:t>
      </w:r>
      <w:r>
        <w:rPr>
          <w:sz w:val="22"/>
        </w:rPr>
        <w:t>, 279(5350):548–552, jan 1998.</w:t>
      </w:r>
      <w:r>
        <w:rPr>
          <w:spacing w:val="22"/>
          <w:sz w:val="22"/>
        </w:rPr>
        <w:t> </w:t>
      </w:r>
      <w:r>
        <w:rPr>
          <w:sz w:val="22"/>
        </w:rPr>
        <w:t>10.1126/science.279.5350.548</w:t>
      </w:r>
    </w:p>
    <w:p>
      <w:pPr>
        <w:pStyle w:val="ListParagraph"/>
        <w:numPr>
          <w:ilvl w:val="0"/>
          <w:numId w:val="1"/>
        </w:numPr>
        <w:tabs>
          <w:tab w:pos="532" w:val="left" w:leader="none"/>
        </w:tabs>
        <w:spacing w:line="314" w:lineRule="auto" w:before="181" w:after="0"/>
        <w:ind w:left="531" w:right="115" w:hanging="414"/>
        <w:jc w:val="both"/>
        <w:rPr>
          <w:sz w:val="22"/>
        </w:rPr>
      </w:pPr>
      <w:r>
        <w:rPr>
          <w:sz w:val="22"/>
        </w:rPr>
        <w:t>Shiquan Liu, </w:t>
      </w:r>
      <w:r>
        <w:rPr>
          <w:spacing w:val="-3"/>
          <w:sz w:val="22"/>
        </w:rPr>
        <w:t>Pegie </w:t>
      </w:r>
      <w:r>
        <w:rPr>
          <w:sz w:val="22"/>
        </w:rPr>
        <w:t>Cool, Olivier Collart, </w:t>
      </w:r>
      <w:r>
        <w:rPr>
          <w:spacing w:val="-3"/>
          <w:sz w:val="22"/>
        </w:rPr>
        <w:t>Pascal </w:t>
      </w:r>
      <w:r>
        <w:rPr>
          <w:spacing w:val="-6"/>
          <w:sz w:val="22"/>
        </w:rPr>
        <w:t>Van </w:t>
      </w:r>
      <w:r>
        <w:rPr>
          <w:sz w:val="22"/>
        </w:rPr>
        <w:t>Der </w:t>
      </w:r>
      <w:r>
        <w:rPr>
          <w:spacing w:val="-3"/>
          <w:sz w:val="22"/>
        </w:rPr>
        <w:t>Voort, </w:t>
      </w:r>
      <w:r>
        <w:rPr>
          <w:sz w:val="22"/>
        </w:rPr>
        <w:t>Etienne </w:t>
      </w:r>
      <w:r>
        <w:rPr>
          <w:spacing w:val="-8"/>
          <w:sz w:val="22"/>
        </w:rPr>
        <w:t>F. </w:t>
      </w:r>
      <w:r>
        <w:rPr>
          <w:sz w:val="22"/>
        </w:rPr>
        <w:t>Vansant, Oleg I. </w:t>
      </w:r>
      <w:r>
        <w:rPr>
          <w:spacing w:val="-4"/>
          <w:sz w:val="22"/>
        </w:rPr>
        <w:t>Lebedev, </w:t>
      </w:r>
      <w:r>
        <w:rPr>
          <w:sz w:val="22"/>
        </w:rPr>
        <w:t>Gustaaf </w:t>
      </w:r>
      <w:r>
        <w:rPr>
          <w:spacing w:val="-6"/>
          <w:sz w:val="22"/>
        </w:rPr>
        <w:t>Van </w:t>
      </w:r>
      <w:r>
        <w:rPr>
          <w:spacing w:val="-3"/>
          <w:sz w:val="22"/>
        </w:rPr>
        <w:t>Tendeloo, </w:t>
      </w:r>
      <w:r>
        <w:rPr>
          <w:sz w:val="22"/>
        </w:rPr>
        <w:t>and Minhua Jiang. The Influence of the Alcohol Concentra- tion on the Structural Ordering of Mesoporous Silica: Cosurfactant versus Cosolvent. </w:t>
      </w:r>
      <w:r>
        <w:rPr>
          <w:rFonts w:ascii="Times New Roman" w:hAnsi="Times New Roman"/>
          <w:i/>
          <w:spacing w:val="-5"/>
          <w:sz w:val="22"/>
        </w:rPr>
        <w:t>The </w:t>
      </w:r>
      <w:r>
        <w:rPr>
          <w:rFonts w:ascii="Times New Roman" w:hAnsi="Times New Roman"/>
          <w:i/>
          <w:sz w:val="22"/>
        </w:rPr>
        <w:t>Journal of Physical Chemistry B</w:t>
      </w:r>
      <w:r>
        <w:rPr>
          <w:sz w:val="22"/>
        </w:rPr>
        <w:t>, 107(38):10405–10411, sep 2003.</w:t>
      </w:r>
      <w:r>
        <w:rPr>
          <w:spacing w:val="-2"/>
          <w:sz w:val="22"/>
        </w:rPr>
        <w:t> </w:t>
      </w:r>
      <w:r>
        <w:rPr>
          <w:sz w:val="22"/>
        </w:rPr>
        <w:t>10.1021/jp034410w</w:t>
      </w:r>
    </w:p>
    <w:p>
      <w:pPr>
        <w:pStyle w:val="BodyText"/>
        <w:rPr>
          <w:sz w:val="26"/>
        </w:rPr>
      </w:pPr>
    </w:p>
    <w:p>
      <w:pPr>
        <w:pStyle w:val="BodyText"/>
        <w:spacing w:before="8"/>
        <w:rPr>
          <w:sz w:val="33"/>
        </w:rPr>
      </w:pPr>
    </w:p>
    <w:p>
      <w:pPr>
        <w:pStyle w:val="Heading1"/>
      </w:pPr>
      <w:r>
        <w:rPr/>
        <w:t>Author biography</w:t>
      </w:r>
    </w:p>
    <w:p>
      <w:pPr>
        <w:spacing w:line="314" w:lineRule="auto" w:before="204"/>
        <w:ind w:left="1733" w:right="4319" w:firstLine="0"/>
        <w:jc w:val="left"/>
        <w:rPr>
          <w:sz w:val="22"/>
        </w:rPr>
      </w:pPr>
      <w:r>
        <w:rPr/>
        <w:drawing>
          <wp:anchor distT="0" distB="0" distL="0" distR="0" allowOverlap="1" layoutInCell="1" locked="0" behindDoc="0" simplePos="0" relativeHeight="1120">
            <wp:simplePos x="0" y="0"/>
            <wp:positionH relativeFrom="page">
              <wp:posOffset>899998</wp:posOffset>
            </wp:positionH>
            <wp:positionV relativeFrom="paragraph">
              <wp:posOffset>168774</wp:posOffset>
            </wp:positionV>
            <wp:extent cx="914410" cy="914410"/>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914410" cy="914410"/>
                    </a:xfrm>
                    <a:prstGeom prst="rect">
                      <a:avLst/>
                    </a:prstGeom>
                  </pic:spPr>
                </pic:pic>
              </a:graphicData>
            </a:graphic>
          </wp:anchor>
        </w:drawing>
      </w:r>
      <w:r>
        <w:rPr>
          <w:b/>
          <w:sz w:val="22"/>
        </w:rPr>
        <w:t>Chinmay Pramodkumar Tiwari </w:t>
      </w:r>
      <w:r>
        <w:rPr>
          <w:sz w:val="22"/>
        </w:rPr>
        <w:t>. </w:t>
      </w:r>
      <w:r>
        <w:rPr>
          <w:w w:val="105"/>
          <w:sz w:val="22"/>
        </w:rPr>
        <w:t>MNT16</w:t>
      </w:r>
    </w:p>
    <w:p>
      <w:pPr>
        <w:pStyle w:val="BodyText"/>
        <w:spacing w:before="1"/>
        <w:ind w:left="1733"/>
      </w:pPr>
      <w:r>
        <w:rPr/>
        <w:t>A00827392</w:t>
      </w:r>
    </w:p>
    <w:p>
      <w:pPr>
        <w:pStyle w:val="BodyText"/>
        <w:rPr>
          <w:sz w:val="26"/>
        </w:rPr>
      </w:pPr>
    </w:p>
    <w:p>
      <w:pPr>
        <w:pStyle w:val="BodyText"/>
        <w:rPr>
          <w:sz w:val="26"/>
        </w:rPr>
      </w:pPr>
    </w:p>
    <w:p>
      <w:pPr>
        <w:pStyle w:val="BodyText"/>
        <w:rPr>
          <w:sz w:val="26"/>
        </w:rPr>
      </w:pPr>
    </w:p>
    <w:p>
      <w:pPr>
        <w:pStyle w:val="BodyText"/>
      </w:pPr>
    </w:p>
    <w:p>
      <w:pPr>
        <w:pStyle w:val="Heading2"/>
        <w:spacing w:line="314" w:lineRule="auto"/>
        <w:ind w:left="1733" w:right="4213"/>
        <w:rPr>
          <w:b w:val="0"/>
        </w:rPr>
      </w:pPr>
      <w:r>
        <w:rPr/>
        <w:drawing>
          <wp:anchor distT="0" distB="0" distL="0" distR="0" allowOverlap="1" layoutInCell="1" locked="0" behindDoc="0" simplePos="0" relativeHeight="1144">
            <wp:simplePos x="0" y="0"/>
            <wp:positionH relativeFrom="page">
              <wp:posOffset>899998</wp:posOffset>
            </wp:positionH>
            <wp:positionV relativeFrom="paragraph">
              <wp:posOffset>39109</wp:posOffset>
            </wp:positionV>
            <wp:extent cx="914052" cy="914052"/>
            <wp:effectExtent l="0" t="0" r="0" b="0"/>
            <wp:wrapNone/>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1" cstate="print"/>
                    <a:stretch>
                      <a:fillRect/>
                    </a:stretch>
                  </pic:blipFill>
                  <pic:spPr>
                    <a:xfrm>
                      <a:off x="0" y="0"/>
                      <a:ext cx="914052" cy="914052"/>
                    </a:xfrm>
                    <a:prstGeom prst="rect">
                      <a:avLst/>
                    </a:prstGeom>
                  </pic:spPr>
                </pic:pic>
              </a:graphicData>
            </a:graphic>
          </wp:anchor>
        </w:drawing>
      </w:r>
      <w:r>
        <w:rPr>
          <w:w w:val="105"/>
        </w:rPr>
        <w:t>Antonio</w:t>
      </w:r>
      <w:r>
        <w:rPr>
          <w:spacing w:val="-27"/>
          <w:w w:val="105"/>
        </w:rPr>
        <w:t> </w:t>
      </w:r>
      <w:r>
        <w:rPr>
          <w:w w:val="105"/>
        </w:rPr>
        <w:t>Osamu</w:t>
      </w:r>
      <w:r>
        <w:rPr>
          <w:spacing w:val="-26"/>
          <w:w w:val="105"/>
        </w:rPr>
        <w:t> </w:t>
      </w:r>
      <w:r>
        <w:rPr>
          <w:w w:val="105"/>
        </w:rPr>
        <w:t>Katagiri</w:t>
      </w:r>
      <w:r>
        <w:rPr>
          <w:spacing w:val="-26"/>
          <w:w w:val="105"/>
        </w:rPr>
        <w:t> </w:t>
      </w:r>
      <w:r>
        <w:rPr>
          <w:spacing w:val="-4"/>
          <w:w w:val="105"/>
        </w:rPr>
        <w:t>Tanaka</w:t>
      </w:r>
      <w:r>
        <w:rPr>
          <w:spacing w:val="-28"/>
          <w:w w:val="105"/>
        </w:rPr>
        <w:t> </w:t>
      </w:r>
      <w:r>
        <w:rPr>
          <w:b w:val="0"/>
          <w:spacing w:val="-15"/>
          <w:w w:val="105"/>
        </w:rPr>
        <w:t>. </w:t>
      </w:r>
      <w:r>
        <w:rPr>
          <w:b w:val="0"/>
          <w:w w:val="105"/>
        </w:rPr>
        <w:t>MNT16</w:t>
      </w:r>
    </w:p>
    <w:p>
      <w:pPr>
        <w:pStyle w:val="BodyText"/>
        <w:spacing w:before="2"/>
        <w:ind w:left="1733"/>
      </w:pPr>
      <w:r>
        <w:rPr/>
        <w:t>A01212611</w:t>
      </w:r>
    </w:p>
    <w:sectPr>
      <w:pgSz w:w="11910" w:h="16840"/>
      <w:pgMar w:header="1013" w:footer="0" w:top="13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36" from="70.865997pt,65.396011pt" to="524.408997pt,65.396011pt" stroked="true" strokeweight=".398pt" strokecolor="#000000">
          <v:stroke dashstyle="solid"/>
          <w10:wrap type="none"/>
        </v:line>
      </w:pict>
    </w:r>
    <w:r>
      <w:rPr/>
      <w:pict>
        <v:shape style="position:absolute;margin-left:259.546997pt;margin-top:49.626553pt;width:76.2pt;height:15.1pt;mso-position-horizontal-relative:page;mso-position-vertical-relative:page;z-index:-3712" type="#_x0000_t202" filled="false" stroked="false">
          <v:textbox inset="0,0,0,0">
            <w:txbxContent>
              <w:p>
                <w:pPr>
                  <w:pStyle w:val="BodyText"/>
                  <w:spacing w:before="21"/>
                  <w:ind w:left="20"/>
                </w:pPr>
                <w:r>
                  <w:rPr>
                    <w:w w:val="105"/>
                  </w:rPr>
                  <w:t>Sol-Gel Method</w:t>
                </w:r>
              </w:p>
            </w:txbxContent>
          </v:textbox>
          <w10:wrap type="none"/>
        </v:shape>
      </w:pict>
    </w:r>
    <w:r>
      <w:rPr/>
      <w:pict>
        <v:shape style="position:absolute;margin-left:516.339966pt;margin-top:49.626553pt;width:10.1pt;height:15.1pt;mso-position-horizontal-relative:page;mso-position-vertical-relative:page;z-index:-3688" type="#_x0000_t202" filled="false" stroked="false">
          <v:textbox inset="0,0,0,0">
            <w:txbxContent>
              <w:p>
                <w:pPr>
                  <w:pStyle w:val="BodyText"/>
                  <w:spacing w:before="21"/>
                  <w:ind w:left="40"/>
                </w:pPr>
                <w:r>
                  <w:rPr/>
                  <w:fldChar w:fldCharType="begin"/>
                </w:r>
                <w:r>
                  <w:rPr>
                    <w:w w:val="99"/>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31" w:hanging="415"/>
        <w:jc w:val="left"/>
      </w:pPr>
      <w:rPr>
        <w:rFonts w:hint="default" w:ascii="Cambria" w:hAnsi="Cambria" w:eastAsia="Cambria" w:cs="Cambria"/>
        <w:w w:val="110"/>
        <w:sz w:val="22"/>
        <w:szCs w:val="22"/>
        <w:lang w:val="en-US" w:eastAsia="en-US" w:bidi="en-US"/>
      </w:rPr>
    </w:lvl>
    <w:lvl w:ilvl="1">
      <w:start w:val="0"/>
      <w:numFmt w:val="bullet"/>
      <w:lvlText w:val="•"/>
      <w:lvlJc w:val="left"/>
      <w:pPr>
        <w:ind w:left="1416" w:hanging="415"/>
      </w:pPr>
      <w:rPr>
        <w:rFonts w:hint="default"/>
        <w:lang w:val="en-US" w:eastAsia="en-US" w:bidi="en-US"/>
      </w:rPr>
    </w:lvl>
    <w:lvl w:ilvl="2">
      <w:start w:val="0"/>
      <w:numFmt w:val="bullet"/>
      <w:lvlText w:val="•"/>
      <w:lvlJc w:val="left"/>
      <w:pPr>
        <w:ind w:left="2293" w:hanging="415"/>
      </w:pPr>
      <w:rPr>
        <w:rFonts w:hint="default"/>
        <w:lang w:val="en-US" w:eastAsia="en-US" w:bidi="en-US"/>
      </w:rPr>
    </w:lvl>
    <w:lvl w:ilvl="3">
      <w:start w:val="0"/>
      <w:numFmt w:val="bullet"/>
      <w:lvlText w:val="•"/>
      <w:lvlJc w:val="left"/>
      <w:pPr>
        <w:ind w:left="3169" w:hanging="415"/>
      </w:pPr>
      <w:rPr>
        <w:rFonts w:hint="default"/>
        <w:lang w:val="en-US" w:eastAsia="en-US" w:bidi="en-US"/>
      </w:rPr>
    </w:lvl>
    <w:lvl w:ilvl="4">
      <w:start w:val="0"/>
      <w:numFmt w:val="bullet"/>
      <w:lvlText w:val="•"/>
      <w:lvlJc w:val="left"/>
      <w:pPr>
        <w:ind w:left="4046" w:hanging="415"/>
      </w:pPr>
      <w:rPr>
        <w:rFonts w:hint="default"/>
        <w:lang w:val="en-US" w:eastAsia="en-US" w:bidi="en-US"/>
      </w:rPr>
    </w:lvl>
    <w:lvl w:ilvl="5">
      <w:start w:val="0"/>
      <w:numFmt w:val="bullet"/>
      <w:lvlText w:val="•"/>
      <w:lvlJc w:val="left"/>
      <w:pPr>
        <w:ind w:left="4922" w:hanging="415"/>
      </w:pPr>
      <w:rPr>
        <w:rFonts w:hint="default"/>
        <w:lang w:val="en-US" w:eastAsia="en-US" w:bidi="en-US"/>
      </w:rPr>
    </w:lvl>
    <w:lvl w:ilvl="6">
      <w:start w:val="0"/>
      <w:numFmt w:val="bullet"/>
      <w:lvlText w:val="•"/>
      <w:lvlJc w:val="left"/>
      <w:pPr>
        <w:ind w:left="5799" w:hanging="415"/>
      </w:pPr>
      <w:rPr>
        <w:rFonts w:hint="default"/>
        <w:lang w:val="en-US" w:eastAsia="en-US" w:bidi="en-US"/>
      </w:rPr>
    </w:lvl>
    <w:lvl w:ilvl="7">
      <w:start w:val="0"/>
      <w:numFmt w:val="bullet"/>
      <w:lvlText w:val="•"/>
      <w:lvlJc w:val="left"/>
      <w:pPr>
        <w:ind w:left="6675" w:hanging="415"/>
      </w:pPr>
      <w:rPr>
        <w:rFonts w:hint="default"/>
        <w:lang w:val="en-US" w:eastAsia="en-US" w:bidi="en-US"/>
      </w:rPr>
    </w:lvl>
    <w:lvl w:ilvl="8">
      <w:start w:val="0"/>
      <w:numFmt w:val="bullet"/>
      <w:lvlText w:val="•"/>
      <w:lvlJc w:val="left"/>
      <w:pPr>
        <w:ind w:left="7552" w:hanging="41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2"/>
      <w:szCs w:val="22"/>
      <w:lang w:val="en-US" w:eastAsia="en-US" w:bidi="en-US"/>
    </w:rPr>
  </w:style>
  <w:style w:styleId="Heading1" w:type="paragraph">
    <w:name w:val="Heading 1"/>
    <w:basedOn w:val="Normal"/>
    <w:uiPriority w:val="1"/>
    <w:qFormat/>
    <w:pPr>
      <w:ind w:left="117"/>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ind w:left="117"/>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spacing w:before="182"/>
      <w:ind w:left="531" w:right="115" w:hanging="414"/>
      <w:jc w:val="both"/>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A00827392@itesm.mx" TargetMode="External"/><Relationship Id="rId8" Type="http://schemas.openxmlformats.org/officeDocument/2006/relationships/hyperlink" Target="mailto:A01212611@itesm.mx" TargetMode="External"/><Relationship Id="rId9" Type="http://schemas.openxmlformats.org/officeDocument/2006/relationships/header" Target="header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2020-03-23T17:38:17Z</dcterms:created>
  <dcterms:modified xsi:type="dcterms:W3CDTF">2020-03-23T17:38:17Z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TeX</vt:lpwstr>
  </property>
  <property fmtid="{D5CDD505-2E9C-101B-9397-08002B2CF9AE}" pid="4" name="LastSaved">
    <vt:filetime>2020-03-23T00:00:00Z</vt:filetime>
  </property>
</Properties>
</file>