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50BE" w:rsidRPr="00E650BE" w:rsidRDefault="00E650BE" w:rsidP="00E650BE">
      <w:pPr>
        <w:spacing w:line="360" w:lineRule="auto"/>
        <w:ind w:left="-567"/>
        <w:jc w:val="center"/>
        <w:rPr>
          <w:rFonts w:ascii="Times New Roman" w:eastAsia="Times New Roman" w:hAnsi="Times New Roman" w:cs="Times New Roman"/>
          <w:b/>
          <w:color w:val="0F1115"/>
          <w:sz w:val="24"/>
          <w:szCs w:val="24"/>
          <w:lang w:val="en-US" w:eastAsia="ru-RU"/>
        </w:rPr>
      </w:pPr>
      <w:bookmarkStart w:id="0" w:name="_GoBack"/>
      <w:r w:rsidRPr="00E650BE">
        <w:rPr>
          <w:rFonts w:ascii="Times New Roman" w:eastAsia="Times New Roman" w:hAnsi="Times New Roman" w:cs="Times New Roman"/>
          <w:b/>
          <w:color w:val="0F1115"/>
          <w:sz w:val="24"/>
          <w:szCs w:val="24"/>
          <w:lang w:val="en-US" w:eastAsia="ru-RU"/>
        </w:rPr>
        <w:t>Systematic validation of Siteomix on diverse binding-site types</w:t>
      </w:r>
    </w:p>
    <w:bookmarkEnd w:id="0"/>
    <w:p w:rsidR="00E650BE" w:rsidRPr="00E650BE" w:rsidRDefault="00E650BE" w:rsidP="00E650BE">
      <w:pPr>
        <w:spacing w:line="360" w:lineRule="auto"/>
        <w:ind w:left="-567"/>
        <w:jc w:val="both"/>
        <w:rPr>
          <w:rFonts w:ascii="Times New Roman" w:eastAsia="Times New Roman" w:hAnsi="Times New Roman" w:cs="Times New Roman"/>
          <w:color w:val="0F1115"/>
          <w:sz w:val="24"/>
          <w:szCs w:val="24"/>
          <w:lang w:val="en-US" w:eastAsia="ru-RU"/>
        </w:rPr>
      </w:pPr>
    </w:p>
    <w:p w:rsidR="00E650BE" w:rsidRPr="00E650BE" w:rsidRDefault="00E650BE" w:rsidP="00E650BE">
      <w:pPr>
        <w:spacing w:line="360" w:lineRule="auto"/>
        <w:ind w:left="-567"/>
        <w:jc w:val="both"/>
        <w:rPr>
          <w:rFonts w:ascii="Times New Roman" w:eastAsia="Times New Roman" w:hAnsi="Times New Roman" w:cs="Times New Roman"/>
          <w:color w:val="0F1115"/>
          <w:sz w:val="24"/>
          <w:szCs w:val="24"/>
          <w:lang w:val="en-US" w:eastAsia="ru-RU"/>
        </w:rPr>
      </w:pPr>
      <w:r w:rsidRPr="00E650BE">
        <w:rPr>
          <w:rFonts w:ascii="Times New Roman" w:eastAsia="Times New Roman" w:hAnsi="Times New Roman" w:cs="Times New Roman"/>
          <w:color w:val="0F1115"/>
          <w:sz w:val="24"/>
          <w:szCs w:val="24"/>
          <w:lang w:val="en-US" w:eastAsia="ru-RU"/>
        </w:rPr>
        <w:t>To evaluate the performance of Siteomix beyond a single illustrative example, we applied the plugin to a series of structurally and pharmacologically relevant proteins encompassing flexible receptors, shallow pockets, and well-defined kinase cavities. For each system we compared pairs of structures representing different conformational states or ligand-binding modes and recorded the volumetric overlap similarity score, the ICP error (mean nearest‑neighbour distance), and the fine RMSD after differential‑evolution refinement. The complete set of aligned point‑cloud images and numerical output logs is available in the accompanying GitHub repository.</w:t>
      </w:r>
    </w:p>
    <w:p w:rsidR="00E650BE" w:rsidRPr="00E650BE" w:rsidRDefault="00E650BE" w:rsidP="00E650BE">
      <w:pPr>
        <w:spacing w:line="360" w:lineRule="auto"/>
        <w:ind w:left="-567"/>
        <w:jc w:val="both"/>
        <w:rPr>
          <w:rFonts w:ascii="Times New Roman" w:eastAsia="Times New Roman" w:hAnsi="Times New Roman" w:cs="Times New Roman"/>
          <w:color w:val="0F1115"/>
          <w:sz w:val="24"/>
          <w:szCs w:val="24"/>
          <w:lang w:val="en-US" w:eastAsia="ru-RU"/>
        </w:rPr>
      </w:pPr>
    </w:p>
    <w:p w:rsidR="00E650BE" w:rsidRPr="00E650BE" w:rsidRDefault="00E650BE" w:rsidP="00E650BE">
      <w:pPr>
        <w:spacing w:line="360" w:lineRule="auto"/>
        <w:ind w:left="-567"/>
        <w:jc w:val="both"/>
        <w:rPr>
          <w:rFonts w:ascii="Times New Roman" w:eastAsia="Times New Roman" w:hAnsi="Times New Roman" w:cs="Times New Roman"/>
          <w:color w:val="0F1115"/>
          <w:sz w:val="24"/>
          <w:szCs w:val="24"/>
          <w:lang w:val="en-US" w:eastAsia="ru-RU"/>
        </w:rPr>
      </w:pPr>
      <w:r w:rsidRPr="00E650BE">
        <w:rPr>
          <w:rFonts w:ascii="Times New Roman" w:eastAsia="Times New Roman" w:hAnsi="Times New Roman" w:cs="Times New Roman"/>
          <w:color w:val="0F1115"/>
          <w:sz w:val="24"/>
          <w:szCs w:val="24"/>
          <w:lang w:val="en-US" w:eastAsia="ru-RU"/>
        </w:rPr>
        <w:t xml:space="preserve">GPCR activation states. Three G‑protein‑coupled receptors were examined in their inactive and active conformations. For the β₂‑adrenergic receptor (2RH1 vs. 3P0G) the similarity score was 0.5133, with an ICP error of 1.57 Å and a fine RMSD of 2.60 Å, reflecting the moderate </w:t>
      </w:r>
      <w:proofErr w:type="spellStart"/>
      <w:r w:rsidRPr="00E650BE">
        <w:rPr>
          <w:rFonts w:ascii="Times New Roman" w:eastAsia="Times New Roman" w:hAnsi="Times New Roman" w:cs="Times New Roman"/>
          <w:color w:val="0F1115"/>
          <w:sz w:val="24"/>
          <w:szCs w:val="24"/>
          <w:lang w:val="en-US" w:eastAsia="ru-RU"/>
        </w:rPr>
        <w:t>remodelling</w:t>
      </w:r>
      <w:proofErr w:type="spellEnd"/>
      <w:r w:rsidRPr="00E650BE">
        <w:rPr>
          <w:rFonts w:ascii="Times New Roman" w:eastAsia="Times New Roman" w:hAnsi="Times New Roman" w:cs="Times New Roman"/>
          <w:color w:val="0F1115"/>
          <w:sz w:val="24"/>
          <w:szCs w:val="24"/>
          <w:lang w:val="en-US" w:eastAsia="ru-RU"/>
        </w:rPr>
        <w:t xml:space="preserve"> of the </w:t>
      </w:r>
      <w:proofErr w:type="spellStart"/>
      <w:r w:rsidRPr="00E650BE">
        <w:rPr>
          <w:rFonts w:ascii="Times New Roman" w:eastAsia="Times New Roman" w:hAnsi="Times New Roman" w:cs="Times New Roman"/>
          <w:color w:val="0F1115"/>
          <w:sz w:val="24"/>
          <w:szCs w:val="24"/>
          <w:lang w:val="en-US" w:eastAsia="ru-RU"/>
        </w:rPr>
        <w:t>orthosteric</w:t>
      </w:r>
      <w:proofErr w:type="spellEnd"/>
      <w:r w:rsidRPr="00E650BE">
        <w:rPr>
          <w:rFonts w:ascii="Times New Roman" w:eastAsia="Times New Roman" w:hAnsi="Times New Roman" w:cs="Times New Roman"/>
          <w:color w:val="0F1115"/>
          <w:sz w:val="24"/>
          <w:szCs w:val="24"/>
          <w:lang w:val="en-US" w:eastAsia="ru-RU"/>
        </w:rPr>
        <w:t xml:space="preserve"> pocket and the emergence of an intracellular cavity in the active state. The cannabinoid receptor CB1 (5TGZ vs. 5XRA) showed a substantially lower overlap of 0.2919 and the highest fine RMSD in the set (5.92 Å), consistent with the extensive helix rearrangement that accompanies activation of this receptor. The muscarinic M2 receptor (3UON vs. 4MQT) gave a similarity score of 0.5705, an ICP error of 0.63 Å, and a fine RMSD of 1.35 Å, indicating that a significant portion of the cavity remains conserved despite the activation‑linked conformational change. These results demonstrate that Siteomix is able to detect and quantitatively </w:t>
      </w:r>
      <w:proofErr w:type="spellStart"/>
      <w:r w:rsidRPr="00E650BE">
        <w:rPr>
          <w:rFonts w:ascii="Times New Roman" w:eastAsia="Times New Roman" w:hAnsi="Times New Roman" w:cs="Times New Roman"/>
          <w:color w:val="0F1115"/>
          <w:sz w:val="24"/>
          <w:szCs w:val="24"/>
          <w:lang w:val="en-US" w:eastAsia="ru-RU"/>
        </w:rPr>
        <w:t>characterise</w:t>
      </w:r>
      <w:proofErr w:type="spellEnd"/>
      <w:r w:rsidRPr="00E650BE">
        <w:rPr>
          <w:rFonts w:ascii="Times New Roman" w:eastAsia="Times New Roman" w:hAnsi="Times New Roman" w:cs="Times New Roman"/>
          <w:color w:val="0F1115"/>
          <w:sz w:val="24"/>
          <w:szCs w:val="24"/>
          <w:lang w:val="en-US" w:eastAsia="ru-RU"/>
        </w:rPr>
        <w:t xml:space="preserve"> the allosteric pockets that appear or disappear upon GPCR activation.</w:t>
      </w:r>
    </w:p>
    <w:p w:rsidR="00E650BE" w:rsidRPr="00E650BE" w:rsidRDefault="00E650BE" w:rsidP="00E650BE">
      <w:pPr>
        <w:spacing w:line="360" w:lineRule="auto"/>
        <w:ind w:left="-567"/>
        <w:jc w:val="both"/>
        <w:rPr>
          <w:rFonts w:ascii="Times New Roman" w:eastAsia="Times New Roman" w:hAnsi="Times New Roman" w:cs="Times New Roman"/>
          <w:color w:val="0F1115"/>
          <w:sz w:val="24"/>
          <w:szCs w:val="24"/>
          <w:lang w:val="en-US" w:eastAsia="ru-RU"/>
        </w:rPr>
      </w:pPr>
    </w:p>
    <w:p w:rsidR="00E650BE" w:rsidRPr="00E650BE" w:rsidRDefault="00E650BE" w:rsidP="00E650BE">
      <w:pPr>
        <w:spacing w:line="360" w:lineRule="auto"/>
        <w:ind w:left="-567"/>
        <w:jc w:val="both"/>
        <w:rPr>
          <w:rFonts w:ascii="Times New Roman" w:eastAsia="Times New Roman" w:hAnsi="Times New Roman" w:cs="Times New Roman"/>
          <w:color w:val="0F1115"/>
          <w:sz w:val="24"/>
          <w:szCs w:val="24"/>
          <w:lang w:val="en-US" w:eastAsia="ru-RU"/>
        </w:rPr>
      </w:pPr>
      <w:r w:rsidRPr="00E650BE">
        <w:rPr>
          <w:rFonts w:ascii="Times New Roman" w:eastAsia="Times New Roman" w:hAnsi="Times New Roman" w:cs="Times New Roman"/>
          <w:color w:val="0F1115"/>
          <w:sz w:val="24"/>
          <w:szCs w:val="24"/>
          <w:lang w:val="en-US" w:eastAsia="ru-RU"/>
        </w:rPr>
        <w:t xml:space="preserve">Shallow binding sites: p53 and KRAS. To test the method on protein–protein interaction interfaces, we compared two structures of the p53 cancer mutant Y220C in complex with different small‑molecule </w:t>
      </w:r>
      <w:proofErr w:type="spellStart"/>
      <w:r w:rsidRPr="00E650BE">
        <w:rPr>
          <w:rFonts w:ascii="Times New Roman" w:eastAsia="Times New Roman" w:hAnsi="Times New Roman" w:cs="Times New Roman"/>
          <w:color w:val="0F1115"/>
          <w:sz w:val="24"/>
          <w:szCs w:val="24"/>
          <w:lang w:val="en-US" w:eastAsia="ru-RU"/>
        </w:rPr>
        <w:t>stabilisers</w:t>
      </w:r>
      <w:proofErr w:type="spellEnd"/>
      <w:r w:rsidRPr="00E650BE">
        <w:rPr>
          <w:rFonts w:ascii="Times New Roman" w:eastAsia="Times New Roman" w:hAnsi="Times New Roman" w:cs="Times New Roman"/>
          <w:color w:val="0F1115"/>
          <w:sz w:val="24"/>
          <w:szCs w:val="24"/>
          <w:lang w:val="en-US" w:eastAsia="ru-RU"/>
        </w:rPr>
        <w:t xml:space="preserve"> (3ZME vs. 4AGQ). Despite the absence of a deep cavity, Siteomix identified a consistent surface pocket and returned a similarity score of 0.6534, an ICP error of 0.25 Å, and a fine RMSD of 0.90 Å, confirming that the pocket shape is largely pre‑formed and only subtly modulated by the ligand. For the KRAS switch‑II pocket, a classic shallow site, the comparison of two </w:t>
      </w:r>
      <w:proofErr w:type="gramStart"/>
      <w:r w:rsidRPr="00E650BE">
        <w:rPr>
          <w:rFonts w:ascii="Times New Roman" w:eastAsia="Times New Roman" w:hAnsi="Times New Roman" w:cs="Times New Roman"/>
          <w:color w:val="0F1115"/>
          <w:sz w:val="24"/>
          <w:szCs w:val="24"/>
          <w:lang w:val="en-US" w:eastAsia="ru-RU"/>
        </w:rPr>
        <w:t>ligand</w:t>
      </w:r>
      <w:proofErr w:type="gramEnd"/>
      <w:r w:rsidRPr="00E650BE">
        <w:rPr>
          <w:rFonts w:ascii="Times New Roman" w:eastAsia="Times New Roman" w:hAnsi="Times New Roman" w:cs="Times New Roman"/>
          <w:color w:val="0F1115"/>
          <w:sz w:val="24"/>
          <w:szCs w:val="24"/>
          <w:lang w:val="en-US" w:eastAsia="ru-RU"/>
        </w:rPr>
        <w:t xml:space="preserve">‑bound states (6GOG vs. 6GOE) yielded a similarity score of 0.7553, an ICP error of 0.55 Å, and a fine RMSD of 1.25 Å, demonstrating that Siteomix can robustly align and score even flat, solvent‑exposed pockets. These examples support the utility of the plugin for </w:t>
      </w:r>
      <w:proofErr w:type="spellStart"/>
      <w:r w:rsidRPr="00E650BE">
        <w:rPr>
          <w:rFonts w:ascii="Times New Roman" w:eastAsia="Times New Roman" w:hAnsi="Times New Roman" w:cs="Times New Roman"/>
          <w:color w:val="0F1115"/>
          <w:sz w:val="24"/>
          <w:szCs w:val="24"/>
          <w:lang w:val="en-US" w:eastAsia="ru-RU"/>
        </w:rPr>
        <w:t>analysing</w:t>
      </w:r>
      <w:proofErr w:type="spellEnd"/>
      <w:r w:rsidRPr="00E650BE">
        <w:rPr>
          <w:rFonts w:ascii="Times New Roman" w:eastAsia="Times New Roman" w:hAnsi="Times New Roman" w:cs="Times New Roman"/>
          <w:color w:val="0F1115"/>
          <w:sz w:val="24"/>
          <w:szCs w:val="24"/>
          <w:lang w:val="en-US" w:eastAsia="ru-RU"/>
        </w:rPr>
        <w:t xml:space="preserve"> the type of shallow interfaces that are targeted by molecular glues.</w:t>
      </w:r>
    </w:p>
    <w:p w:rsidR="00E650BE" w:rsidRPr="00E650BE" w:rsidRDefault="00E650BE" w:rsidP="00E650BE">
      <w:pPr>
        <w:spacing w:line="360" w:lineRule="auto"/>
        <w:ind w:left="-567"/>
        <w:jc w:val="both"/>
        <w:rPr>
          <w:rFonts w:ascii="Times New Roman" w:eastAsia="Times New Roman" w:hAnsi="Times New Roman" w:cs="Times New Roman"/>
          <w:color w:val="0F1115"/>
          <w:sz w:val="24"/>
          <w:szCs w:val="24"/>
          <w:lang w:val="en-US" w:eastAsia="ru-RU"/>
        </w:rPr>
      </w:pPr>
    </w:p>
    <w:p w:rsidR="00E650BE" w:rsidRPr="00E650BE" w:rsidRDefault="00E650BE" w:rsidP="00E650BE">
      <w:pPr>
        <w:spacing w:line="360" w:lineRule="auto"/>
        <w:ind w:left="-567"/>
        <w:jc w:val="both"/>
        <w:rPr>
          <w:rFonts w:ascii="Times New Roman" w:eastAsia="Times New Roman" w:hAnsi="Times New Roman" w:cs="Times New Roman"/>
          <w:color w:val="0F1115"/>
          <w:sz w:val="24"/>
          <w:szCs w:val="24"/>
          <w:lang w:val="en-US" w:eastAsia="ru-RU"/>
        </w:rPr>
      </w:pPr>
      <w:r w:rsidRPr="00E650BE">
        <w:rPr>
          <w:rFonts w:ascii="Times New Roman" w:eastAsia="Times New Roman" w:hAnsi="Times New Roman" w:cs="Times New Roman"/>
          <w:color w:val="0F1115"/>
          <w:sz w:val="24"/>
          <w:szCs w:val="24"/>
          <w:lang w:val="en-US" w:eastAsia="ru-RU"/>
        </w:rPr>
        <w:lastRenderedPageBreak/>
        <w:t xml:space="preserve">Kinase DFG‑in vs. DFG‑out conformations. A systematic comparison of Type I (DFG‑in) and Type II (DFG‑out) kinase structures was performed to assess the sensitivity of Siteomix to the DFG flip, a conformational change that creates an allosteric back pocket. For </w:t>
      </w:r>
      <w:proofErr w:type="spellStart"/>
      <w:r w:rsidRPr="00E650BE">
        <w:rPr>
          <w:rFonts w:ascii="Times New Roman" w:eastAsia="Times New Roman" w:hAnsi="Times New Roman" w:cs="Times New Roman"/>
          <w:color w:val="0F1115"/>
          <w:sz w:val="24"/>
          <w:szCs w:val="24"/>
          <w:lang w:val="en-US" w:eastAsia="ru-RU"/>
        </w:rPr>
        <w:t>Abl</w:t>
      </w:r>
      <w:proofErr w:type="spellEnd"/>
      <w:r w:rsidRPr="00E650BE">
        <w:rPr>
          <w:rFonts w:ascii="Times New Roman" w:eastAsia="Times New Roman" w:hAnsi="Times New Roman" w:cs="Times New Roman"/>
          <w:color w:val="0F1115"/>
          <w:sz w:val="24"/>
          <w:szCs w:val="24"/>
          <w:lang w:val="en-US" w:eastAsia="ru-RU"/>
        </w:rPr>
        <w:t xml:space="preserve"> (3KFA vs. 3KF4) the similarity score was 0.5632, with an ICP error of 1.10 Å and a fine RMSD of 1.79 Å. p38α (3D83 vs. 1KV2) gave a score of 0.3483 (ICP error 0.96 Å, fine RMSD 2.80 Å), CSF‑1R (3LCD vs. 3LCO) a score of 0.3317 (ICP error 1.52 Å, fine RMSD 4.10 Å), and MKK7 (6QFL vs. 6QFR) a score of 0.4436 (ICP error 1.03 Å, fine RMSD 2.77 Å). In all four cases the combination of moderate-to-low overlap and elevated fine RMSD values quantitatively captures the profound reshaping of the pocket that accompanies the DFG‑out transition, while the ICP error remains sufficiently low to indicate a reliable alignment of the conserved ATP‑binding region. These findings align with the established structural biology of these systems and confirm that Siteomix discriminates between local conformational states that are critical for selective inhibitor design.</w:t>
      </w:r>
    </w:p>
    <w:p w:rsidR="00E650BE" w:rsidRPr="00E650BE" w:rsidRDefault="00E650BE" w:rsidP="00E650BE">
      <w:pPr>
        <w:spacing w:line="360" w:lineRule="auto"/>
        <w:ind w:left="-567"/>
        <w:jc w:val="both"/>
        <w:rPr>
          <w:rFonts w:ascii="Times New Roman" w:eastAsia="Times New Roman" w:hAnsi="Times New Roman" w:cs="Times New Roman"/>
          <w:color w:val="0F1115"/>
          <w:sz w:val="24"/>
          <w:szCs w:val="24"/>
          <w:lang w:val="en-US" w:eastAsia="ru-RU"/>
        </w:rPr>
      </w:pPr>
    </w:p>
    <w:p w:rsidR="00476F05" w:rsidRPr="00E650BE" w:rsidRDefault="00E650BE" w:rsidP="00E650BE">
      <w:pPr>
        <w:spacing w:line="360" w:lineRule="auto"/>
        <w:ind w:left="-567"/>
        <w:jc w:val="both"/>
        <w:rPr>
          <w:lang w:val="en-US"/>
        </w:rPr>
      </w:pPr>
      <w:r w:rsidRPr="00E650BE">
        <w:rPr>
          <w:rFonts w:ascii="Times New Roman" w:eastAsia="Times New Roman" w:hAnsi="Times New Roman" w:cs="Times New Roman"/>
          <w:color w:val="0F1115"/>
          <w:sz w:val="24"/>
          <w:szCs w:val="24"/>
          <w:lang w:val="en-US" w:eastAsia="ru-RU"/>
        </w:rPr>
        <w:t xml:space="preserve">Taken together, the benchmarking results demonstrate that Siteomix provides quantitative, interpretable similarity metrics across a range of binding‑site types, from deep kinase pockets to shallow PPI interfaces and </w:t>
      </w:r>
      <w:proofErr w:type="spellStart"/>
      <w:r w:rsidRPr="00E650BE">
        <w:rPr>
          <w:rFonts w:ascii="Times New Roman" w:eastAsia="Times New Roman" w:hAnsi="Times New Roman" w:cs="Times New Roman"/>
          <w:color w:val="0F1115"/>
          <w:sz w:val="24"/>
          <w:szCs w:val="24"/>
          <w:lang w:val="en-US" w:eastAsia="ru-RU"/>
        </w:rPr>
        <w:t>conformationally</w:t>
      </w:r>
      <w:proofErr w:type="spellEnd"/>
      <w:r w:rsidRPr="00E650BE">
        <w:rPr>
          <w:rFonts w:ascii="Times New Roman" w:eastAsia="Times New Roman" w:hAnsi="Times New Roman" w:cs="Times New Roman"/>
          <w:color w:val="0F1115"/>
          <w:sz w:val="24"/>
          <w:szCs w:val="24"/>
          <w:lang w:val="en-US" w:eastAsia="ru-RU"/>
        </w:rPr>
        <w:t xml:space="preserve"> dynamic GPCRs. The agreement between the computed scores and known structural differences supports the validity of the approach and its applicability to diverse drug‑discovery scenarios.</w:t>
      </w:r>
    </w:p>
    <w:sectPr w:rsidR="00476F05" w:rsidRPr="00E650B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2919"/>
    <w:rsid w:val="002C2919"/>
    <w:rsid w:val="00476F05"/>
    <w:rsid w:val="00774C88"/>
    <w:rsid w:val="00E650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015EB7-8965-428D-B8D6-68CE8D6F6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774C8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774C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7028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630</Words>
  <Characters>3594</Characters>
  <Application>Microsoft Office Word</Application>
  <DocSecurity>0</DocSecurity>
  <Lines>29</Lines>
  <Paragraphs>8</Paragraphs>
  <ScaleCrop>false</ScaleCrop>
  <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Митхат</dc:creator>
  <cp:keywords/>
  <dc:description/>
  <cp:lastModifiedBy>Митхат</cp:lastModifiedBy>
  <cp:revision>3</cp:revision>
  <dcterms:created xsi:type="dcterms:W3CDTF">2026-07-27T11:31:00Z</dcterms:created>
  <dcterms:modified xsi:type="dcterms:W3CDTF">2026-07-27T11:37:00Z</dcterms:modified>
</cp:coreProperties>
</file>