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LS13</w:t>
      </w:r>
      <w:r>
        <w:t xml:space="preserve"> </w:t>
      </w:r>
      <w:r>
        <w:t xml:space="preserve">高效</w:t>
      </w:r>
      <w:r>
        <w:t xml:space="preserve"> </w:t>
      </w:r>
      <w:r>
        <w:t xml:space="preserve">NCFV</w:t>
      </w:r>
      <w:r>
        <w:t xml:space="preserve"> </w:t>
      </w:r>
      <w:r>
        <w:t xml:space="preserve">三维算例与精度验证报告</w:t>
      </w:r>
    </w:p>
    <w:p>
      <w:pPr>
        <w:pStyle w:val="Subtitle"/>
      </w:pPr>
      <w:r>
        <w:t xml:space="preserve">三棱柱网格</w:t>
      </w:r>
      <w:r>
        <w:t xml:space="preserve"> </w:t>
      </w:r>
      <w:r>
        <w:t xml:space="preserve">·</w:t>
      </w:r>
      <w:r>
        <w:t xml:space="preserve"> </w:t>
      </w:r>
      <w:r>
        <w:t xml:space="preserve">等熵涡、斜向熵波及横向涡量波</w:t>
      </w:r>
    </w:p>
    <w:p>
      <w:pPr>
        <w:pStyle w:val="Date"/>
      </w:pPr>
      <w:r>
        <w:t xml:space="preserve">2026</w:t>
      </w:r>
      <w:r>
        <w:t xml:space="preserve"> </w:t>
      </w:r>
      <w:r>
        <w:t xml:space="preserve">年</w:t>
      </w:r>
      <w:r>
        <w:t xml:space="preserve"> </w:t>
      </w:r>
      <w:r>
        <w:t xml:space="preserve">9</w:t>
      </w:r>
      <w:r>
        <w:t xml:space="preserve"> </w:t>
      </w:r>
      <w:r>
        <w:t xml:space="preserve">月</w:t>
      </w:r>
      <w:r>
        <w:t xml:space="preserve"> </w:t>
      </w:r>
      <w:r>
        <w:t xml:space="preserve">24</w:t>
      </w:r>
      <w:r>
        <w:t xml:space="preserve"> </w:t>
      </w:r>
      <w:r>
        <w:t xml:space="preserve">日</w:t>
      </w:r>
    </w:p>
    <w:bookmarkStart w:id="20" w:name="研究目的与计算设置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研究目的与计算设置</w:t>
      </w:r>
    </w:p>
    <w:p>
      <w:pPr>
        <w:pStyle w:val="FirstParagraph"/>
      </w:pPr>
      <w:r>
        <w:t xml:space="preserve">本报告检验节点中心有限体积（NCFV）高效算法在三棱柱网格上的精度，重点判断等熵涡未达到完整三阶观测斜率的原因是否具有普遍性。采用三维无黏理想气体 Euler 方程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∂</m:t>
              </m:r>
            </m:e>
            <m:sub>
              <m:r>
                <m:t>t</m:t>
              </m:r>
            </m:sub>
          </m:sSub>
          <m:r>
            <m:t>U</m:t>
          </m:r>
          <m:r>
            <m:rPr>
              <m:sty m:val="p"/>
            </m:rPr>
            <m:t>+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ρ</m:t>
                  </m:r>
                  <m:r>
                    <m:rPr>
                      <m:sty m:val="p"/>
                    </m:rPr>
                    <m:t>,</m:t>
                  </m:r>
                  <m:r>
                    <m:t>ρ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ρ</m:t>
                  </m:r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ρ</m:t>
                  </m:r>
                  <m:r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t>ρ</m:t>
                  </m:r>
                  <m:r>
                    <m:t>E</m:t>
                  </m:r>
                </m:e>
              </m:d>
            </m:e>
            <m:sup>
              <m:r>
                <m:rPr>
                  <m:sty m:val="p"/>
                  <m:scr m:val="sans-serif"/>
                </m:rPr>
                <m:t>T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γ</m:t>
          </m:r>
          <m:r>
            <m:rPr>
              <m:sty m:val="p"/>
            </m:rPr>
            <m:t>=</m:t>
          </m:r>
          <m:r>
            <m:t>1.4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γ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["/>
              <m:endChr m:val="]"/>
              <m:sepChr m:val=""/>
              <m:grow/>
            </m:dPr>
            <m:e>
              <m:r>
                <m:t>ρ</m:t>
              </m:r>
              <m:r>
                <m:t>E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ρ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w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计算域为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10</m:t>
            </m:r>
          </m:e>
        </m:d>
        <m:r>
          <m:rPr>
            <m:sty m:val="p"/>
          </m:rPr>
          <m:t>×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10</m:t>
            </m:r>
          </m:e>
        </m:d>
        <m:r>
          <m:rPr>
            <m:sty m:val="p"/>
          </m:rPr>
          <m:t>×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，三方向均为周期边界。空间离散使用二次最小二乘重构、实际</w:t>
      </w:r>
      <w:r>
        <w:t xml:space="preserve"> </w:t>
      </w:r>
      <w:r>
        <w:rPr>
          <w:bCs/>
          <w:b/>
        </w:rPr>
        <w:t xml:space="preserve">13 点模板</w:t>
      </w:r>
      <w:r>
        <w:t xml:space="preserve">、</w:t>
      </w:r>
      <w:r>
        <w:rPr>
          <w:rStyle w:val="VerbatimChar"/>
        </w:rPr>
        <w:t xml:space="preserve">EfficientDifferential</w:t>
      </w:r>
      <w:r>
        <w:t xml:space="preserve"> </w:t>
      </w:r>
      <w:r>
        <w:t xml:space="preserve">高效通量积分和带程序内熵修正的标准 Roe 通量；不使用限制器和黏性项。时间推进为三阶段 SSPRK3，采用固定全局步长，不使用局部 CFL，统一计算到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1.6</m:t>
        </m:r>
      </m:oMath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网格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周期商节点数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时间步长</w:t>
              <w:rPr>
                <w:sz w:val="17"/>
                <w:szCs w:val="17"/>
              </w:rPr>
            </w:r>
            <w:r>
              <w:t xml:space="preserve"> </w:t>
              <w:rPr>
                <w:sz w:val="17"/>
                <w:szCs w:val="17"/>
              </w:rPr>
            </w:r>
            <m:oMath>
              <m:r>
                <m:t>Δ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步数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MPI 进程数</w:t>
              <w:rPr>
                <w:sz w:val="17"/>
                <w:szCs w:val="17"/>
              </w:rPr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IV10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  <w:rPr>
                <w:sz w:val="17"/>
                <w:szCs w:val="17"/>
              </w:rPr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IV20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3896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  <w:rPr>
                <w:sz w:val="17"/>
                <w:szCs w:val="17"/>
              </w:rPr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IV40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30416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  <w:rPr>
                <w:sz w:val="17"/>
                <w:szCs w:val="17"/>
              </w:rPr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IV80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239968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  <w:rPr>
                <w:sz w:val="17"/>
                <w:szCs w:val="17"/>
              </w:rPr>
            </w:r>
          </w:p>
        </w:tc>
      </w:tr>
    </w:tbl>
    <w:p>
      <w:pPr>
        <w:pStyle w:val="BodyText"/>
      </w:pPr>
      <w:r>
        <w:t xml:space="preserve">所有三类算例的运行日志均确认模板统计为</w:t>
      </w:r>
      <w:r>
        <w:t xml:space="preserve"> </w:t>
      </w:r>
      <w:r>
        <w:rPr>
          <w:rStyle w:val="VerbatimChar"/>
        </w:rPr>
        <w:t xml:space="preserve">min = mean = max = 13</w:t>
      </w:r>
      <w:r>
        <w:t xml:space="preserve">；最多使用 32 个 MPI 进程。误差以节点对偶控制体体积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加权。以密度均值为例，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2</m:t>
              </m:r>
              <m:r>
                <m:rPr>
                  <m:sty m:val="p"/>
                </m:rPr>
                <m:t>,</m:t>
              </m:r>
              <m:r>
                <m:t>V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‾"/>
                </m:accPr>
                <m:e>
                  <m:r>
                    <m:t>ρ</m:t>
                  </m:r>
                </m:e>
              </m:acc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j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nary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acc>
                                    <m:accPr>
                                      <m:chr m:val="‾"/>
                                    </m:accPr>
                                    <m:e>
                                      <m:r>
                                        <m:t>ρ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Sup>
                                <m:e>
                                  <m:acc>
                                    <m:accPr>
                                      <m:chr m:val="‾"/>
                                    </m:accPr>
                                    <m:e>
                                      <m:r>
                                        <m:t>ρ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  <m:sup>
                                  <m:r>
                                    <m:rPr>
                                      <m:sty m:val="p"/>
                                    </m:rPr>
                                    <m:t>r</m:t>
                                  </m:r>
                                  <m:r>
                                    <m:rPr>
                                      <m:sty m:val="p"/>
                                    </m:rPr>
                                    <m:t>e</m:t>
                                  </m:r>
                                  <m:r>
                                    <m:rPr>
                                      <m:sty m:val="p"/>
                                    </m:rPr>
                                    <m:t>f</m:t>
                                  </m:r>
                                </m:sup>
                              </m:sSub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j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nary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恢复格点值误差同样以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加权，但与解析点值比较。解析控制体均值使用每个微四面体 24 点规则计算。相邻网格的观测阶按有效尺度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400</m:t>
                </m:r>
                <m:r>
                  <m:rPr>
                    <m:sty m:val="p"/>
                  </m:rPr>
                  <m:t>/</m:t>
                </m:r>
                <m:sSub>
                  <m:e>
                    <m:r>
                      <m:t>N</m:t>
                    </m:r>
                  </m:e>
                  <m:sub>
                    <m:r>
                      <m:t>n</m:t>
                    </m:r>
                  </m:sub>
                </m:sSub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求得：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  <m:r>
                <m:rPr>
                  <m:sty m:val="p"/>
                </m:rPr>
                <m:t>→</m:t>
              </m:r>
              <m:r>
                <m:t>2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log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2</m:t>
                      </m:r>
                      <m:r>
                        <m:t>n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m:t>log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  <m:r>
                        <m:t>n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.</m:t>
          </m:r>
        </m:oMath>
      </m:oMathPara>
    </w:p>
    <w:bookmarkEnd w:id="20"/>
    <w:bookmarkStart w:id="24" w:name="计算问题与解析解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计算问题与解析解</w:t>
      </w:r>
    </w:p>
    <w:bookmarkStart w:id="21" w:name="问题一三维挤出的等熵涡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问题一：三维挤出的等熵涡</w:t>
      </w:r>
    </w:p>
    <w:p>
      <w:pPr>
        <w:pStyle w:val="FirstParagraph"/>
      </w:pPr>
      <w:r>
        <w:t xml:space="preserve">设背景速度为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、涡强</w:t>
      </w:r>
      <w:r>
        <w:t xml:space="preserve"> </w:t>
      </w:r>
      <m:oMath>
        <m:r>
          <m:t>χ</m:t>
        </m:r>
        <m:r>
          <m:rPr>
            <m:sty m:val="p"/>
          </m:rPr>
          <m:t>=</m:t>
        </m:r>
        <m:r>
          <m:t>5</m:t>
        </m:r>
      </m:oMath>
      <w:r>
        <w:t xml:space="preserve">、初始涡心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。令</w:t>
      </w:r>
      <w:r>
        <w:t xml:space="preserve"> </w:t>
      </w:r>
      <m:oMath>
        <m:r>
          <m:rPr>
            <m:sty m:val="b"/>
          </m:rPr>
          <m:t>δ</m:t>
        </m:r>
      </m:oMath>
      <w:r>
        <w:t xml:space="preserve"> </w:t>
      </w:r>
      <w:r>
        <w:t xml:space="preserve">为相对平移涡心的平面坐标，并用长度为 10 的最小镜像映射到</w:t>
      </w:r>
      <w:r>
        <w:t xml:space="preserve"> </w:t>
      </w:r>
      <m:oMath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</m:e>
          <m:sup>
            <m:r>
              <m:t>2</m:t>
            </m:r>
          </m:sup>
        </m:sSup>
      </m:oMath>
      <w:r>
        <w:t xml:space="preserve">。记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δ</m:t>
            </m:r>
          </m:e>
          <m:sub>
            <m:r>
              <m:t>x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δ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，则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χ</m:t>
              </m:r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γ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2</m:t>
              </m:r>
              <m:r>
                <m:t>γ</m:t>
              </m:r>
            </m:den>
          </m:f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ρ</m:t>
          </m:r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sup>
          </m:sSup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=</m:t>
          </m:r>
          <m:sSup>
            <m:e>
              <m:r>
                <m:t>ρ</m:t>
              </m:r>
            </m:e>
            <m:sup>
              <m:r>
                <m:t>γ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"/>
            </m:rPr>
            <m:t>u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sSub>
                <m:e>
                  <m:r>
                    <m:t>δ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sSub>
                <m:e>
                  <m:r>
                    <m:t>δ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该算例同时含有旋转速度、高梯度涡核及压力平衡。最小镜像周期延拓在远离涡核的切换线处不完全光滑；因此它是高效算法的困难算例，但不是检验严格光滑周期解阶数的唯一依据。</w:t>
      </w:r>
    </w:p>
    <w:bookmarkEnd w:id="21"/>
    <w:bookmarkStart w:id="22" w:name="问题二三维斜向熵波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问题二：三维斜向熵波</w:t>
      </w:r>
    </w:p>
    <w:p>
      <w:pPr>
        <w:pStyle w:val="FirstParagraph"/>
      </w:pPr>
      <w:r>
        <w:t xml:space="preserve">令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，</w:t>
      </w:r>
      <m:oMath>
        <m:r>
          <m:rPr>
            <m:sty m:val="b"/>
          </m:rPr>
          <m:t>k</m:t>
        </m:r>
        <m:r>
          <m:rPr>
            <m:sty m:val="p"/>
          </m:rPr>
          <m:t>=</m:t>
        </m:r>
        <m:r>
          <m:t>2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sSub>
              <m:e>
                <m:r>
                  <m:t>L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sSub>
              <m:e>
                <m:r>
                  <m:t>L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sSub>
              <m:e>
                <m:r>
                  <m:t>L</m:t>
                </m:r>
              </m:e>
              <m:sub>
                <m:r>
                  <m:t>z</m:t>
                </m:r>
              </m:sub>
            </m:sSub>
          </m:e>
        </m:d>
      </m:oMath>
      <w:r>
        <w:t xml:space="preserve">，</w:t>
      </w:r>
      <m:oMath>
        <m:sSub>
          <m:e>
            <m:r>
              <m:rPr>
                <m:sty m:val="b"/>
              </m:rP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，</w:t>
      </w:r>
      <m:oMath>
        <m:r>
          <m:t>θ</m:t>
        </m:r>
        <m:r>
          <m:rPr>
            <m:sty m:val="p"/>
          </m:rPr>
          <m:t>=</m:t>
        </m:r>
        <m:r>
          <m:rPr>
            <m:sty m:val="b"/>
          </m:rPr>
          <m:t>k</m:t>
        </m:r>
        <m:r>
          <m:rPr>
            <m:sty m:val="p"/>
          </m:rPr>
          <m:t>⋅</m:t>
        </m:r>
        <m:r>
          <m:rPr>
            <m:sty m:val="b"/>
          </m:rPr>
          <m:t>x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k</m:t>
            </m:r>
            <m:r>
              <m:rPr>
                <m:sty m:val="p"/>
              </m:rPr>
              <m:t>⋅</m:t>
            </m:r>
            <m:sSub>
              <m:e>
                <m:r>
                  <m:rPr>
                    <m:sty m:val="b"/>
                  </m:rPr>
                  <m:t>U</m:t>
                </m:r>
              </m:e>
              <m:sub>
                <m:r>
                  <m:t>0</m:t>
                </m:r>
              </m:sub>
            </m:sSub>
          </m:e>
        </m:d>
        <m:r>
          <m:t>t</m:t>
        </m:r>
      </m:oMath>
      <w:r>
        <w:t xml:space="preserve">。取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0.2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b"/>
            </m:rPr>
            <m:t>u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密度在三个方向上均变化；速度和压力严格恒定。这是无源 Euler 方程的有限振幅精确接触模态，并且解析状态在三方向严格周期。</w:t>
      </w:r>
    </w:p>
    <w:bookmarkEnd w:id="22"/>
    <w:bookmarkStart w:id="23" w:name="问题三三维斜向横向涡量波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问题三：三维斜向横向涡量波</w:t>
      </w:r>
    </w:p>
    <w:p>
      <w:pPr>
        <w:pStyle w:val="FirstParagraph"/>
      </w:pPr>
      <w:r>
        <w:t xml:space="preserve">沿用同一个</w:t>
      </w:r>
      <w:r>
        <w:t xml:space="preserve"> </w:t>
      </w:r>
      <m:oMath>
        <m:r>
          <m:rPr>
            <m:sty m:val="b"/>
          </m:rPr>
          <m:t>k</m:t>
        </m:r>
        <m:r>
          <m:rPr>
            <m:sty m:val="p"/>
          </m:rPr>
          <m:t>,</m:t>
        </m:r>
        <m:sSub>
          <m:e>
            <m:r>
              <m:rPr>
                <m:sty m:val="b"/>
              </m:rP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θ</m:t>
        </m:r>
      </m:oMath>
      <w:r>
        <w:t xml:space="preserve">，取单位向量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y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k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k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</m:num>
            <m:den>
              <m:d>
                <m:dPr>
                  <m:begChr m:val="|"/>
                  <m:endChr m:val="|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k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k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b"/>
            </m:rPr>
            <m:t>k</m:t>
          </m:r>
          <m:r>
            <m:rPr>
              <m:sty m:val="p"/>
            </m:rPr>
            <m:t>⋅</m:t>
          </m:r>
          <m:r>
            <m:rPr>
              <m:sty m:val="b"/>
            </m:rP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并定义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b"/>
            </m:rPr>
            <m:t>u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rPr>
              <m:sty m:val="b"/>
            </m:rPr>
            <m:t>e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因为扰动与波向量正交，扰动的非线性自对流项严格为零。这是有限振幅的三维 Euler 精确解；三个速度分量、动量及能量都参与变化，能够检验三维耦合。</w:t>
      </w:r>
    </w:p>
    <w:bookmarkEnd w:id="23"/>
    <w:bookmarkEnd w:id="24"/>
    <w:bookmarkStart w:id="28" w:name="精度结果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精度结果</w:t>
      </w:r>
    </w:p>
    <w:bookmarkStart w:id="25" w:name="等熵涡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等熵涡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网格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密度均值</w:t>
              <w:rPr>
                <w:sz w:val="17"/>
                <w:szCs w:val="17"/>
              </w:rPr>
            </w:r>
            <w:r>
              <w:t xml:space="preserve"> </w:t>
              <w:rPr>
                <w:sz w:val="17"/>
                <w:szCs w:val="17"/>
              </w:rPr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相邻阶数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恢复格点密度</w:t>
              <w:rPr>
                <w:sz w:val="17"/>
                <w:szCs w:val="17"/>
              </w:rPr>
            </w:r>
            <w:r>
              <w:t xml:space="preserve"> </w:t>
              <w:rPr>
                <w:sz w:val="17"/>
                <w:szCs w:val="17"/>
              </w:rPr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相邻阶数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均值压力</w:t>
              <w:rPr>
                <w:sz w:val="17"/>
                <w:szCs w:val="17"/>
              </w:rPr>
            </w:r>
            <w:r>
              <w:t xml:space="preserve"> </w:t>
              <w:rPr>
                <w:sz w:val="17"/>
                <w:szCs w:val="17"/>
              </w:rPr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IV10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2.7401226e-2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3.2941111e-2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4.1651236e-2</w:t>
              <w:rPr>
                <w:sz w:val="17"/>
                <w:szCs w:val="17"/>
              </w:rPr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IV20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8.7065204e-3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1.695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9.2025623e-3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1.885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1.4670792e-2</w:t>
              <w:rPr>
                <w:sz w:val="17"/>
                <w:szCs w:val="17"/>
              </w:rPr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IV40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1.7808669e-3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2.317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1.8091628e-3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2.375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2.6234559e-3</w:t>
              <w:rPr>
                <w:sz w:val="17"/>
                <w:szCs w:val="17"/>
              </w:rPr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IV80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2.6992003e-4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  <w:sz w:val="17"/>
                <w:szCs w:val="17"/>
              </w:rPr>
              <w:t xml:space="preserve">2.740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2.7135575e-4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  <w:sz w:val="17"/>
                <w:szCs w:val="17"/>
              </w:rPr>
              <w:t xml:space="preserve">2.755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3.8430246e-4</w:t>
              <w:rPr>
                <w:sz w:val="17"/>
                <w:szCs w:val="17"/>
              </w:rPr>
            </w:r>
          </w:p>
        </w:tc>
      </w:tr>
    </w:tbl>
    <w:p>
      <w:pPr>
        <w:pStyle w:val="BodyText"/>
      </w:pPr>
      <w:r>
        <w:t xml:space="preserve">密度误差随网格加密持续下降，但 IV40→IV80 的观测阶仍略低于三阶。80 网格恢复格点密度误差平方积分约</w:t>
      </w:r>
      <w:r>
        <w:t xml:space="preserve"> </w:t>
      </w:r>
      <w:r>
        <w:rPr>
          <w:bCs/>
          <w:b/>
        </w:rPr>
        <w:t xml:space="preserve">98.90%</w:t>
      </w:r>
      <w:r>
        <w:t xml:space="preserve"> </w:t>
      </w:r>
      <w:r>
        <w:t xml:space="preserve">位于涡核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3</m:t>
        </m:r>
      </m:oMath>
      <w:r>
        <w:t xml:space="preserve">。</w:t>
      </w:r>
    </w:p>
    <w:bookmarkEnd w:id="25"/>
    <w:bookmarkStart w:id="26" w:name="三维斜向熵波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三维斜向熵波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网格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密度均值</w:t>
              <w:rPr>
                <w:sz w:val="17"/>
                <w:szCs w:val="17"/>
              </w:rPr>
            </w:r>
            <w:r>
              <w:t xml:space="preserve"> </w:t>
              <w:rPr>
                <w:sz w:val="17"/>
                <w:szCs w:val="17"/>
              </w:rPr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相邻阶数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恢复格点密度</w:t>
              <w:rPr>
                <w:sz w:val="17"/>
                <w:szCs w:val="17"/>
              </w:rPr>
            </w:r>
            <w:r>
              <w:t xml:space="preserve"> </w:t>
              <w:rPr>
                <w:sz w:val="17"/>
                <w:szCs w:val="17"/>
              </w:rPr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相邻阶数</w:t>
              <w:rPr>
                <w:sz w:val="17"/>
                <w:szCs w:val="17"/>
              </w:rPr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IV10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3.0115288e-2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4.3083979e-2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  <w:rPr>
                <w:sz w:val="17"/>
                <w:szCs w:val="17"/>
              </w:rPr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IV20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7.7894271e-3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1.999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9.0935752e-3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2.300</w:t>
              <w:rPr>
                <w:sz w:val="17"/>
                <w:szCs w:val="17"/>
              </w:rPr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IV40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1.1686145e-3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2.769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1.2546533e-3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2.892</w:t>
              <w:rPr>
                <w:sz w:val="17"/>
                <w:szCs w:val="17"/>
              </w:rPr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IV80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1.5004369e-4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  <w:sz w:val="17"/>
                <w:szCs w:val="17"/>
              </w:rPr>
              <w:t xml:space="preserve">2.981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1.5522088e-4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  <w:sz w:val="17"/>
                <w:szCs w:val="17"/>
              </w:rPr>
              <w:t xml:space="preserve">3.035</w:t>
            </w:r>
          </w:p>
        </w:tc>
      </w:tr>
    </w:tbl>
    <w:p>
      <w:pPr>
        <w:pStyle w:val="BodyText"/>
      </w:pPr>
      <w:r>
        <w:t xml:space="preserve">80 网格的格点压力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V</m:t>
            </m:r>
          </m:sub>
        </m:sSub>
      </m:oMath>
      <w:r>
        <w:t xml:space="preserve"> </w:t>
      </w:r>
      <w:r>
        <w:t xml:space="preserve">为</w:t>
      </w:r>
      <w:r>
        <w:t xml:space="preserve"> </w:t>
      </w:r>
      <m:oMath>
        <m:r>
          <m:t>4.40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，说明常压性质在数值计算中保持到舍入误差量级。</w:t>
      </w:r>
    </w:p>
    <w:bookmarkEnd w:id="26"/>
    <w:bookmarkStart w:id="27" w:name="三维斜向横向涡量波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三维斜向横向涡量波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网格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密度均值</w:t>
              <w:rPr>
                <w:sz w:val="17"/>
                <w:szCs w:val="17"/>
              </w:rPr>
            </w:r>
            <w:r>
              <w:t xml:space="preserve"> </w:t>
              <w:rPr>
                <w:sz w:val="17"/>
                <w:szCs w:val="17"/>
              </w:rPr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相邻阶数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恢复格点密度</w:t>
              <w:rPr>
                <w:sz w:val="17"/>
                <w:szCs w:val="17"/>
              </w:rPr>
            </w:r>
            <w:r>
              <w:t xml:space="preserve"> </w:t>
              <w:rPr>
                <w:sz w:val="17"/>
                <w:szCs w:val="17"/>
              </w:rPr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相邻阶数</w:t>
              <w:rPr>
                <w:sz w:val="17"/>
                <w:szCs w:val="17"/>
              </w:rPr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IV10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1.6522563e-2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1.7236374e-2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  <w:rPr>
                <w:sz w:val="17"/>
                <w:szCs w:val="17"/>
              </w:rPr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IV20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5.5331171e-3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1.617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5.6708734e-3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1.643</w:t>
              <w:rPr>
                <w:sz w:val="17"/>
                <w:szCs w:val="17"/>
              </w:rPr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IV40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9.2873659e-4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2.605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9.3665000e-4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2.629</w:t>
              <w:rPr>
                <w:sz w:val="17"/>
                <w:szCs w:val="17"/>
              </w:rPr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IV80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1.2062301e-4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  <w:sz w:val="17"/>
                <w:szCs w:val="17"/>
              </w:rPr>
              <w:t xml:space="preserve">2.965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1.2090426e-4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  <w:sz w:val="17"/>
                <w:szCs w:val="17"/>
              </w:rPr>
              <w:t xml:space="preserve">2.974</w:t>
            </w:r>
          </w:p>
        </w:tc>
      </w:tr>
    </w:tbl>
    <w:p>
      <w:pPr>
        <w:pStyle w:val="BodyText"/>
      </w:pPr>
      <w:r>
        <w:t xml:space="preserve">80 网格原始变量恢复格点误差及其 IV40→IV80 观测阶如下：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变量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IV40→IV80 观测阶</w:t>
              <w:rPr>
                <w:sz w:val="17"/>
                <w:szCs w:val="17"/>
              </w:rPr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u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2.0884116e-4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3.020</w:t>
              <w:rPr>
                <w:sz w:val="17"/>
                <w:szCs w:val="17"/>
              </w:rPr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2.0919910e-4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3.021</w:t>
              <w:rPr>
                <w:sz w:val="17"/>
                <w:szCs w:val="17"/>
              </w:rPr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1.4565630e-4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2.955</w:t>
              <w:rPr>
                <w:sz w:val="17"/>
                <w:szCs w:val="17"/>
              </w:rPr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1.6578165e-4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2.969</w:t>
              <w:rPr>
                <w:sz w:val="17"/>
                <w:szCs w:val="17"/>
              </w:rPr>
            </w:r>
          </w:p>
        </w:tc>
      </w:tr>
    </w:tbl>
    <w:p>
      <w:pPr>
        <w:pStyle w:val="BodyText"/>
      </w:pPr>
      <w:r>
        <w:t xml:space="preserve">两种三维波的解析周期状态不匹配量均小于</w:t>
      </w:r>
      <w:r>
        <w:t xml:space="preserve"> </w:t>
      </w:r>
      <m:oMath>
        <m:r>
          <m:t>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，八组计算均没有非物理恢复点。两类波的最大质量守恒漂移分别小于</w:t>
      </w:r>
      <w:r>
        <w:t xml:space="preserve"> </w:t>
      </w:r>
      <m:oMath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 </w:t>
      </w:r>
      <w:r>
        <w:t xml:space="preserve">和</w:t>
      </w:r>
      <w:r>
        <w:t xml:space="preserve"> </w:t>
      </w:r>
      <m:oMath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t xml:space="preserve">。</w:t>
      </w:r>
    </w:p>
    <w:bookmarkEnd w:id="27"/>
    <w:bookmarkEnd w:id="28"/>
    <w:bookmarkStart w:id="29" w:name="等熵涡的-roe-耗散与周期拼接对照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等熵涡的 Roe 耗散与周期拼接对照</w:t>
      </w:r>
    </w:p>
    <w:p>
      <w:pPr>
        <w:pStyle w:val="FirstParagraph"/>
      </w:pPr>
      <w:r>
        <w:t xml:space="preserve">高效算法的内部面通量可以拆成左右物理通量的积分平均值与 Roe 修正：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I</m:t>
                  </m:r>
                </m:e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b>
                <m:sup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s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I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b>
                <m:sup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s</m:t>
                  </m:r>
                </m:sup>
              </m:sSub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e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e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b"/>
                        </m:rPr>
                        <m:t>n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rPr>
                              <m:sty m:val="b"/>
                            </m:rPr>
                            <m:t>n</m:t>
                          </m:r>
                        </m:e>
                        <m:sub>
                          <m:r>
                            <m:t>e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b>
                          <m:r>
                            <m:t>R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rPr>
                              <m:sty m:val="b"/>
                            </m:rPr>
                            <m:t>n</m:t>
                          </m:r>
                        </m:e>
                        <m:sub>
                          <m:r>
                            <m:t>e</m:t>
                          </m:r>
                        </m:sub>
                      </m:sSub>
                    </m:e>
                  </m:d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诊断中只将方括号内的 Roe 修正乘以系数</w:t>
      </w:r>
      <w:r>
        <w:t xml:space="preserve"> </w:t>
      </w:r>
      <m:oMath>
        <m:r>
          <m:t>α</m:t>
        </m:r>
      </m:oMath>
      <w:r>
        <w:t xml:space="preserve">，其余重构、积分、时间步保持一致。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是完整 Roe，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是无该修正的中心积分。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网格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完整 Roe 密度均值</w:t>
              <w:rPr>
                <w:sz w:val="17"/>
                <w:szCs w:val="17"/>
              </w:rPr>
            </w:r>
            <w:r>
              <w:t xml:space="preserve"> </w:t>
              <w:rPr>
                <w:sz w:val="17"/>
                <w:szCs w:val="17"/>
              </w:rPr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  <w:rPr>
                <w:sz w:val="17"/>
                <w:szCs w:val="17"/>
              </w:rPr>
            </w:r>
            <w:r>
              <w:t xml:space="preserve">密度均值</w:t>
              <w:rPr>
                <w:sz w:val="17"/>
                <w:szCs w:val="17"/>
              </w:rPr>
            </w:r>
            <w:r>
              <w:t xml:space="preserve"> </w:t>
              <w:rPr>
                <w:sz w:val="17"/>
                <w:szCs w:val="17"/>
              </w:rPr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后者相对降幅</w:t>
              <w:rPr>
                <w:sz w:val="17"/>
                <w:szCs w:val="17"/>
              </w:rPr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IV10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2.7401226e-2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2.6144867e-2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4.6%</w:t>
              <w:rPr>
                <w:sz w:val="17"/>
                <w:szCs w:val="17"/>
              </w:rPr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IV20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8.7065204e-3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6.4306187e-3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26.1%</w:t>
              <w:rPr>
                <w:sz w:val="17"/>
                <w:szCs w:val="17"/>
              </w:rPr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IV40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1.7808669e-3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4.2979075e-4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75.9%</w:t>
              <w:rPr>
                <w:sz w:val="17"/>
                <w:szCs w:val="17"/>
              </w:rPr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IV80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2.6992003e-4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3.4081181e-5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  <w:sz w:val="17"/>
                <w:szCs w:val="17"/>
              </w:rPr>
              <w:t xml:space="preserve">87.4%</w:t>
            </w:r>
          </w:p>
        </w:tc>
      </w:tr>
    </w:tbl>
    <w:p>
      <w:pPr>
        <w:pStyle w:val="BodyText"/>
      </w:pPr>
      <w:r>
        <w:t xml:space="preserve">IV40 的半耗散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误差为 1.0268365e-3，处于两端之间。在 IV80 解析场的瞬时密度残差中，Roe 项体积加权范数在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和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1.6</m:t>
        </m:r>
      </m:oMath>
      <w:r>
        <w:t xml:space="preserve"> </w:t>
      </w:r>
      <w:r>
        <w:t xml:space="preserve">分别为中心部分误差的 10.15 倍和 11.68 倍；独立通量分解与程序 RHS 的最大不符约</w:t>
      </w:r>
      <w:r>
        <w:t xml:space="preserve"> </w:t>
      </w:r>
      <m:oMath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。因此在这个算例中，Roe 修正作用于左右重构面均值跳跃是主要的可移除误差来源。零耗散的 IV40→IV80 表观阶数为 3.681；该数值不能解释为格式具有四阶形式精度。</w:t>
      </w:r>
    </w:p>
    <w:p>
      <w:pPr>
        <w:pStyle w:val="BodyText"/>
      </w:pPr>
      <w:r>
        <w:t xml:space="preserve">等熵涡的最小镜像延拓在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1.6</m:t>
        </m:r>
      </m:oMath>
      <w:r>
        <w:t xml:space="preserve"> </w:t>
      </w:r>
      <w:r>
        <w:t xml:space="preserve">的切换线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1.6</m:t>
        </m:r>
      </m:oMath>
      <w:r>
        <w:t xml:space="preserve">、</w:t>
      </w:r>
      <m:oMath>
        <m:r>
          <m:t>y</m:t>
        </m:r>
        <m:r>
          <m:rPr>
            <m:sty m:val="p"/>
          </m:rPr>
          <m:t>=</m:t>
        </m:r>
        <m:r>
          <m:t>1.6</m:t>
        </m:r>
      </m:oMath>
      <w:r>
        <w:t xml:space="preserve"> </w:t>
      </w:r>
      <w:r>
        <w:t xml:space="preserve">处不完全光滑：密度连续，密度法向导数最大跳跃约</w:t>
      </w:r>
      <w:r>
        <w:t xml:space="preserve"> </w:t>
      </w:r>
      <m:oMath>
        <m:r>
          <m:t>1.71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，切向速度最大跳跃约</w:t>
      </w:r>
      <w:r>
        <w:t xml:space="preserve"> </w:t>
      </w:r>
      <m:oMath>
        <m:r>
          <m:t>4.89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。下表给出 IV80 恢复格点密度误差平方积分的区域份额；拼接带是切换线两侧宽 0.5 的区域。区域可能互相重叠，表中百分数不应求和。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通量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涡核</w:t>
              <w:rPr>
                <w:sz w:val="17"/>
                <w:szCs w:val="17"/>
              </w:rPr>
            </w:r>
            <w:r>
              <w:t xml:space="preserve"> </w:t>
              <w:rPr>
                <w:sz w:val="17"/>
                <w:szCs w:val="17"/>
              </w:rPr>
            </w:r>
            <m:oMath>
              <m:r>
                <m:t>r</m:t>
              </m:r>
              <m:r>
                <m:rPr>
                  <m:sty m:val="p"/>
                </m:rPr>
                <m:t>&lt;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周期拼接带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物理周期边界附近</w:t>
              <w:rPr>
                <w:sz w:val="17"/>
                <w:szCs w:val="17"/>
              </w:rPr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 Roe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98.90%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0.0051%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0.484%</w:t>
              <w:rPr>
                <w:sz w:val="17"/>
                <w:szCs w:val="17"/>
              </w:rPr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零耗散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90.78%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1.19%</w:t>
              <w:rPr>
                <w:sz w:val="17"/>
                <w:szCs w:val="17"/>
              </w:rPr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0.421%</w:t>
              <w:rPr>
                <w:sz w:val="17"/>
                <w:szCs w:val="17"/>
              </w:rPr>
            </w:r>
          </w:p>
        </w:tc>
      </w:tr>
    </w:tbl>
    <w:p>
      <w:pPr>
        <w:pStyle w:val="BodyText"/>
      </w:pPr>
      <w:r>
        <w:t xml:space="preserve">Roe 修正降低了拼接带的局部误差，但显著增大涡核误差。零耗散后仍有</w:t>
      </w:r>
      <w:r>
        <w:t xml:space="preserve"> </w:t>
      </w:r>
      <m:oMath>
        <m:r>
          <m:t>3.4081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的 IV80 密度均值误差，其中大部分仍位于涡核。周期拼接存在局部影响，却不能解释当前主要的密度精度损失。</w:t>
      </w:r>
    </w:p>
    <w:bookmarkEnd w:id="29"/>
    <w:bookmarkStart w:id="30" w:name="结论计算问题及适用范围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结论、计算问题及适用范围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格式具备三维约三阶能力。</w:t>
      </w:r>
      <w:r>
        <w:t xml:space="preserve"> </w:t>
      </w:r>
      <w:r>
        <w:t xml:space="preserve">在相同的 LS13、高效积分、Roe 和 SSPRK3 设置下，严格周期的三维熵波与涡量波在 IV40→IV80 的密度均值观测阶分别为 2.981 和 2.965；涡量波的三维速度和压力分量也接近三阶。因此不存在使所有三维光滑解统一降至约 2.7 阶的模板或 ghost 缺陷证据。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等熵涡误差主要来自 Roe 修正与涡核流场的相互作用。</w:t>
      </w:r>
      <w:r>
        <w:t xml:space="preserve"> </w:t>
      </w:r>
      <w:r>
        <w:t xml:space="preserve">等熵涡的同段密度均值阶为 2.740；去掉 Roe 修正后，IV80 误差下降 87.4%。这反映的是当前光滑等熵涡的误差常数与有限网格观测阶，不能据此判定 Roe 公式本身实现错误。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周期拼接是次要因素。</w:t>
      </w:r>
      <w:r>
        <w:t xml:space="preserve"> </w:t>
      </w:r>
      <w:r>
        <w:t xml:space="preserve">解析延拓不完全光滑，但在完整 Roe 计算中，拼接带只占 IV80 格点密度误差平方积分的 0.0051%。零耗散后占比上升至 1.19%，剩余误差仍主要集中在涡核。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并行诊断输出曾发生目录竞争。</w:t>
      </w:r>
      <w:r>
        <w:t xml:space="preserve"> </w:t>
      </w:r>
      <w:r>
        <w:t xml:space="preserve">LS13 等熵涡 IV80 的首次 32 进程诊断运行在并发创建输出目录时退出；隔离并预先创建诊断目录后，同一数值设置完整复算。最终精度表只使用成功复算的数据。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结果范围。</w:t>
      </w:r>
      <w:r>
        <w:t xml:space="preserve"> </w:t>
      </w:r>
      <w:r>
        <w:t xml:space="preserve">160/320 网格尚无完整同口径的三类算例结果，本报告只对 IV10–IV80 的有限网格观测阶负责。时间误差、中心物理通量积分与重构误差在零耗散剩余项中尚未完全分离；无耗散中心通量也未用于激波稳定性验证。</w:t>
      </w:r>
    </w:p>
    <w:p>
      <w:pPr>
        <w:pStyle w:val="FirstParagraph"/>
      </w:pPr>
      <w:r>
        <w:t xml:space="preserve">本报告的数据取自仓库</w:t>
      </w:r>
      <w:r>
        <w:t xml:space="preserve"> </w:t>
      </w:r>
      <w:r>
        <w:rPr>
          <w:rStyle w:val="VerbatimChar"/>
        </w:rPr>
        <w:t xml:space="preserve">docs/dev</w:t>
      </w:r>
      <w:r>
        <w:t xml:space="preserve"> </w:t>
      </w:r>
      <w:r>
        <w:t xml:space="preserve">目录中的等熵涡精度、Roe 与周期拼接、三维精确波三份单项记录及对应诊断 JSON。数值试验没有修改生产求解器的通量、重构或时间推进代码。</w:t>
      </w:r>
    </w:p>
    <w:bookmarkEnd w:id="30"/>
    <w:sectPr>
      <w:pgSz w:w="11906" w:h="16838"/>
      <w:pgMar w:top="1020" w:bottom="1020" w:left="1020" w:right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Noto Serif CJK SC" w:hAnsi="Noto Serif CJK SC" w:eastAsia="Noto Serif CJK SC"/>
      <w:sz w:val="21"/>
      <w:szCs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22"/>
      <w:szCs w:val="22"/>
      <w:rFonts w:ascii="Noto Sans CJK SC" w:hAnsi="Noto Sans CJK SC" w:eastAsia="Noto Sans CJK SC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themeColor="accent1" w:val="4F81BD"/>
      <w:sz w:val="30"/>
      <w:szCs w:val="30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themeColor="accent1" w:val="4F81BD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LS13 高效 NCFV 三维算例与精度验证报告</dc:title>
  <dc:creator/>
  <dc:language>zh-CN</dc:language>
  <cp:keywords/>
  <dcterms:created xsi:type="dcterms:W3CDTF">2026-09-24T03:39:11Z</dcterms:created>
  <dcterms:modified xsi:type="dcterms:W3CDTF">2026-09-24T03:39:11Z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9 月 24 日</vt:lpwstr>
  </property>
  <property fmtid="{D5CDD505-2E9C-101B-9397-08002B2CF9AE}" pid="3" name="geometry">
    <vt:lpwstr>margin=1.8cm</vt:lpwstr>
  </property>
  <property fmtid="{D5CDD505-2E9C-101B-9397-08002B2CF9AE}" pid="4" name="papersize">
    <vt:lpwstr>a4</vt:lpwstr>
  </property>
  <property fmtid="{D5CDD505-2E9C-101B-9397-08002B2CF9AE}" pid="5" name="subtitle">
    <vt:lpwstr>三棱柱网格 · 等熵涡、斜向熵波及横向涡量波</vt:lpwstr>
  </property>
</Properties>
</file>