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60"/>
        <w:rPr/>
      </w:pPr>
      <w:r>
        <w:rPr/>
        <w:t xml:space="preserve">NCFV </w:t>
      </w:r>
      <w:r>
        <w:rPr/>
        <w:t>传统算法与高效算法运行时间对比</w:t>
      </w:r>
    </w:p>
    <w:p>
      <w:pPr>
        <w:pStyle w:val="BodyTextsubtitle"/>
        <w:bidi w:val="0"/>
        <w:rPr/>
      </w:pPr>
      <w:r>
        <w:rPr/>
        <w:t xml:space="preserve">三维等熵涡算例 </w:t>
      </w:r>
      <w:r>
        <w:rPr/>
        <w:t>· IV10 / IV20 / IV40 / IV80 · 2026-09-12</w:t>
      </w:r>
    </w:p>
    <w:tbl>
      <w:tblPr>
        <w:tblW w:w="6801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81"/>
        <w:gridCol w:w="481"/>
        <w:gridCol w:w="1006"/>
        <w:gridCol w:w="1861"/>
        <w:gridCol w:w="1861"/>
        <w:gridCol w:w="1111"/>
      </w:tblGrid>
      <w:tr>
        <w:trPr>
          <w:tblHeader w:val="true"/>
        </w:trPr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>序号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>网格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 xml:space="preserve">MPI </w:t>
            </w:r>
            <w:r>
              <w:rPr/>
              <w:t>进程数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>高效算法</w:t>
            </w:r>
            <w:r>
              <w:rPr/>
              <w:br/>
            </w:r>
            <w:r>
              <w:rPr/>
              <w:t xml:space="preserve">单次 </w:t>
            </w:r>
            <w:r>
              <w:rPr/>
              <w:t xml:space="preserve">RHS </w:t>
            </w:r>
            <w:r>
              <w:rPr/>
              <w:t>时间（</w:t>
            </w:r>
            <w:r>
              <w:rPr/>
              <w:t>ms</w:t>
            </w:r>
            <w:r>
              <w:rPr/>
              <w:t>）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>传统算法</w:t>
            </w:r>
            <w:r>
              <w:rPr/>
              <w:br/>
            </w:r>
            <w:r>
              <w:rPr/>
              <w:t xml:space="preserve">单次 </w:t>
            </w:r>
            <w:r>
              <w:rPr/>
              <w:t xml:space="preserve">RHS </w:t>
            </w:r>
            <w:r>
              <w:rPr/>
              <w:t>时间（</w:t>
            </w:r>
            <w:r>
              <w:rPr/>
              <w:t>ms</w:t>
            </w:r>
            <w:r>
              <w:rPr/>
              <w:t>）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Heading"/>
              <w:suppressLineNumbers/>
              <w:shd w:fill="17365D" w:val="clear"/>
              <w:bidi w:val="0"/>
              <w:spacing w:lineRule="auto" w:line="252" w:before="0" w:after="283"/>
              <w:jc w:val="center"/>
              <w:rPr/>
            </w:pPr>
            <w:r>
              <w:rPr/>
              <w:t>加速比</w:t>
            </w:r>
            <w:r>
              <w:rPr/>
              <w:br/>
            </w:r>
            <w:r>
              <w:rPr/>
              <w:t xml:space="preserve">传统 </w:t>
            </w:r>
            <w:r>
              <w:rPr/>
              <w:t xml:space="preserve">÷ </w:t>
            </w:r>
            <w:r>
              <w:rPr/>
              <w:t>高效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IV10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3.876250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45.344698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11.6981×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IV10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0.772172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7.310523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9.4675×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IV20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32.184884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314.969704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9.7863×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4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IV20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5.468847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47.792607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8.7391×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5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IV40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255.239270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2647.031555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10.3708×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6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IV40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39.776816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367.574572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9.2409×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7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IV80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1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2161.934916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20038.391150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9.2687×</w:t>
            </w:r>
          </w:p>
        </w:tc>
      </w:tr>
      <w:tr>
        <w:trPr/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48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IV80</w:t>
            </w:r>
          </w:p>
        </w:tc>
        <w:tc>
          <w:tcPr>
            <w:tcW w:w="1006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311.831253</w:t>
            </w:r>
          </w:p>
        </w:tc>
        <w:tc>
          <w:tcPr>
            <w:tcW w:w="186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2692.405291</w:t>
            </w:r>
          </w:p>
        </w:tc>
        <w:tc>
          <w:tcPr>
            <w:tcW w:w="1111" w:type="dxa"/>
            <w:tcBorders/>
            <w:vAlign w:val="center"/>
          </w:tcPr>
          <w:p>
            <w:pPr>
              <w:pStyle w:val="TableContents"/>
              <w:bidi w:val="0"/>
              <w:spacing w:lineRule="auto" w:line="252" w:before="0" w:after="283"/>
              <w:jc w:val="center"/>
              <w:rPr/>
            </w:pPr>
            <w:r>
              <w:rPr/>
              <w:t>8.6342×</w:t>
            </w:r>
          </w:p>
        </w:tc>
      </w:tr>
    </w:tbl>
    <w:p>
      <w:pPr>
        <w:pStyle w:val="BodyTextnotes-title"/>
        <w:bidi w:val="0"/>
        <w:spacing w:before="100" w:after="283"/>
        <w:ind w:hanging="0" w:start="0" w:end="0"/>
        <w:jc w:val="start"/>
        <w:rPr>
          <w:bdr w:val="single" w:sz="24" w:space="8" w:color="2F75B5"/>
          <w:shd w:fill="F3F7FB" w:val="clear"/>
        </w:rPr>
      </w:pPr>
      <w:r>
        <w:rPr>
          <w:bdr w:val="single" w:sz="24" w:space="8" w:color="2F75B5"/>
          <w:shd w:fill="F3F7FB" w:val="clear"/>
        </w:rPr>
        <w:t>测试口径</w:t>
      </w:r>
    </w:p>
    <w:p>
      <w:pPr>
        <w:pStyle w:val="BodyText"/>
        <w:bidi w:val="0"/>
        <w:spacing w:before="100" w:after="283"/>
        <w:jc w:val="start"/>
        <w:rPr>
          <w:bdr w:val="single" w:sz="24" w:space="8" w:color="2F75B5"/>
          <w:shd w:fill="F3F7FB" w:val="clear"/>
        </w:rPr>
      </w:pPr>
      <w:r>
        <w:rPr>
          <w:bdr w:val="single" w:sz="24" w:space="8" w:color="2F75B5"/>
          <w:shd w:fill="F3F7FB" w:val="clear"/>
        </w:rPr>
        <w:t xml:space="preserve">时间为预热后一次空间离散 </w:t>
      </w:r>
      <w:r>
        <w:rPr>
          <w:bdr w:val="single" w:sz="24" w:space="8" w:color="2F75B5"/>
          <w:shd w:fill="F3F7FB" w:val="clear"/>
        </w:rPr>
        <w:t xml:space="preserve">RHS </w:t>
      </w:r>
      <w:r>
        <w:rPr>
          <w:bdr w:val="single" w:sz="24" w:space="8" w:color="2F75B5"/>
          <w:shd w:fill="F3F7FB" w:val="clear"/>
        </w:rPr>
        <w:t xml:space="preserve">计算的中位耗时，不含初始化与文件 </w:t>
      </w:r>
      <w:r>
        <w:rPr>
          <w:bdr w:val="single" w:sz="24" w:space="8" w:color="2F75B5"/>
          <w:shd w:fill="F3F7FB" w:val="clear"/>
        </w:rPr>
        <w:t>I/O</w:t>
      </w:r>
      <w:r>
        <w:rPr>
          <w:bdr w:val="single" w:sz="24" w:space="8" w:color="2F75B5"/>
          <w:shd w:fill="F3F7FB" w:val="clear"/>
        </w:rPr>
        <w:t xml:space="preserve">；构建配置为 </w:t>
      </w:r>
      <w:r>
        <w:rPr>
          <w:bdr w:val="single" w:sz="24" w:space="8" w:color="2F75B5"/>
          <w:shd w:fill="F3F7FB" w:val="clear"/>
        </w:rPr>
        <w:t>Release</w:t>
      </w:r>
      <w:r>
        <w:rPr>
          <w:bdr w:val="single" w:sz="24" w:space="8" w:color="2F75B5"/>
          <w:shd w:fill="F3F7FB" w:val="clear"/>
        </w:rPr>
        <w:t>（</w:t>
      </w:r>
      <w:r>
        <w:rPr>
          <w:bdr w:val="single" w:sz="24" w:space="8" w:color="2F75B5"/>
          <w:shd w:fill="F3F7FB" w:val="clear"/>
        </w:rPr>
        <w:t>-O3</w:t>
      </w:r>
      <w:r>
        <w:rPr>
          <w:bdr w:val="single" w:sz="24" w:space="8" w:color="2F75B5"/>
          <w:shd w:fill="F3F7FB" w:val="clear"/>
        </w:rPr>
        <w:t>，</w:t>
      </w:r>
      <w:r>
        <w:rPr>
          <w:bdr w:val="single" w:sz="24" w:space="8" w:color="2F75B5"/>
          <w:shd w:fill="F3F7FB" w:val="clear"/>
        </w:rPr>
        <w:t>NDEBUG</w:t>
      </w:r>
      <w:r>
        <w:rPr>
          <w:bdr w:val="single" w:sz="24" w:space="8" w:color="2F75B5"/>
          <w:shd w:fill="F3F7FB" w:val="clear"/>
        </w:rPr>
        <w:t>），</w:t>
      </w:r>
      <w:r>
        <w:rPr>
          <w:bdr w:val="single" w:sz="24" w:space="8" w:color="2F75B5"/>
          <w:shd w:fill="F3F7FB" w:val="clear"/>
        </w:rPr>
        <w:t xml:space="preserve">8 </w:t>
      </w:r>
      <w:r>
        <w:rPr>
          <w:bdr w:val="single" w:sz="24" w:space="8" w:color="2F75B5"/>
          <w:shd w:fill="F3F7FB" w:val="clear"/>
        </w:rPr>
        <w:t xml:space="preserve">进程测试采用 </w:t>
      </w:r>
      <w:r>
        <w:rPr>
          <w:bdr w:val="single" w:sz="24" w:space="8" w:color="2F75B5"/>
          <w:shd w:fill="F3F7FB" w:val="clear"/>
        </w:rPr>
        <w:t xml:space="preserve">8 </w:t>
      </w:r>
      <w:r>
        <w:rPr>
          <w:bdr w:val="single" w:sz="24" w:space="8" w:color="2F75B5"/>
          <w:shd w:fill="F3F7FB" w:val="clear"/>
        </w:rPr>
        <w:t xml:space="preserve">个单线程 </w:t>
      </w:r>
      <w:r>
        <w:rPr>
          <w:bdr w:val="single" w:sz="24" w:space="8" w:color="2F75B5"/>
          <w:shd w:fill="F3F7FB" w:val="clear"/>
        </w:rPr>
        <w:t>MPI rank</w:t>
      </w:r>
      <w:r>
        <w:rPr>
          <w:bdr w:val="single" w:sz="24" w:space="8" w:color="2F75B5"/>
          <w:shd w:fill="F3F7FB" w:val="clear"/>
        </w:rPr>
        <w:t>；</w:t>
      </w:r>
      <w:r>
        <w:rPr>
          <w:bdr w:val="single" w:sz="24" w:space="8" w:color="2F75B5"/>
          <w:shd w:fill="F3F7FB" w:val="clear"/>
        </w:rPr>
        <w:t>IV10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>IV20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>IV40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 xml:space="preserve">IV80 </w:t>
      </w:r>
      <w:r>
        <w:rPr>
          <w:bdr w:val="single" w:sz="24" w:space="8" w:color="2F75B5"/>
          <w:shd w:fill="F3F7FB" w:val="clear"/>
        </w:rPr>
        <w:t xml:space="preserve">分别重复测量 </w:t>
      </w:r>
      <w:r>
        <w:rPr>
          <w:bdr w:val="single" w:sz="24" w:space="8" w:color="2F75B5"/>
          <w:shd w:fill="F3F7FB" w:val="clear"/>
        </w:rPr>
        <w:t>200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>80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>20</w:t>
      </w:r>
      <w:r>
        <w:rPr>
          <w:bdr w:val="single" w:sz="24" w:space="8" w:color="2F75B5"/>
          <w:shd w:fill="F3F7FB" w:val="clear"/>
        </w:rPr>
        <w:t>、</w:t>
      </w:r>
      <w:r>
        <w:rPr>
          <w:bdr w:val="single" w:sz="24" w:space="8" w:color="2F75B5"/>
          <w:shd w:fill="F3F7FB" w:val="clear"/>
        </w:rPr>
        <w:t xml:space="preserve">3 </w:t>
      </w:r>
      <w:r>
        <w:rPr>
          <w:bdr w:val="single" w:sz="24" w:space="8" w:color="2F75B5"/>
          <w:shd w:fill="F3F7FB" w:val="clear"/>
        </w:rPr>
        <w:t xml:space="preserve">次，每个条件独立启动 </w:t>
      </w:r>
      <w:r>
        <w:rPr>
          <w:bdr w:val="single" w:sz="24" w:space="8" w:color="2F75B5"/>
          <w:shd w:fill="F3F7FB" w:val="clear"/>
        </w:rPr>
        <w:t xml:space="preserve">1 </w:t>
      </w:r>
      <w:r>
        <w:rPr>
          <w:bdr w:val="single" w:sz="24" w:space="8" w:color="2F75B5"/>
          <w:shd w:fill="F3F7FB" w:val="clear"/>
        </w:rPr>
        <w:t xml:space="preserve">次；加速比按“传统算法时间 </w:t>
      </w:r>
      <w:r>
        <w:rPr>
          <w:bdr w:val="single" w:sz="24" w:space="8" w:color="2F75B5"/>
          <w:shd w:fill="F3F7FB" w:val="clear"/>
        </w:rPr>
        <w:t xml:space="preserve">÷ </w:t>
      </w:r>
      <w:r>
        <w:rPr>
          <w:bdr w:val="single" w:sz="24" w:space="8" w:color="2F75B5"/>
          <w:shd w:fill="F3F7FB" w:val="clear"/>
        </w:rPr>
        <w:t>高效算法时间”计算。</w:t>
      </w:r>
    </w:p>
    <w:sectPr>
      <w:type w:val="nextPage"/>
      <w:pgSz w:orient="landscape" w:w="16838" w:h="11906"/>
      <w:pgMar w:left="794" w:right="794" w:gutter="0" w:header="0" w:top="680" w:footer="0" w:bottom="68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3"/>
    </w:pPr>
    <w:rPr>
      <w:rFonts w:ascii="Noto Sans CJK SC;Microsoft YaHei;SimSun;sans-serif" w:hAnsi="Noto Sans CJK SC;Microsoft YaHei;SimSun;sans-serif" w:eastAsia="Noto Sans CJK SC;Microsoft YaHei;SimSun;sans-serif" w:cs="Noto Sans CJK SC;Microsoft YaHei;SimSun;sans-serif"/>
      <w:color w:val="1F2937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60"/>
      <w:jc w:val="center"/>
    </w:pPr>
    <w:rPr>
      <w:rFonts w:ascii="Noto Sans" w:hAnsi="Noto Sans"/>
      <w:b/>
      <w:bCs/>
      <w:color w:val="17365D"/>
      <w:sz w:val="34"/>
      <w:szCs w:val="34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spacing w:lineRule="auto" w:line="252"/>
      <w:jc w:val="center"/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subtitle">
    <w:name w:val="Body Text.subtitle"/>
    <w:basedOn w:val="BodyText"/>
    <w:qFormat/>
    <w:pPr>
      <w:spacing w:before="0" w:after="180"/>
      <w:jc w:val="center"/>
    </w:pPr>
    <w:rPr>
      <w:color w:val="4B5563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17365D" w:val="clear"/>
      <w:spacing w:lineRule="auto" w:line="252"/>
      <w:jc w:val="center"/>
    </w:pPr>
    <w:rPr>
      <w:b/>
      <w:bCs/>
      <w:color w:val="FFFFFF"/>
      <w:sz w:val="18"/>
      <w:szCs w:val="18"/>
    </w:rPr>
  </w:style>
  <w:style w:type="paragraph" w:styleId="BodyTextnotes-title">
    <w:name w:val="Body Text.notes-title"/>
    <w:basedOn w:val="BodyText"/>
    <w:qFormat/>
    <w:pPr>
      <w:spacing w:before="0" w:after="40"/>
    </w:pPr>
    <w:rPr>
      <w:b/>
      <w:bCs/>
      <w:color w:val="17365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DNDSR benchmark</dc:creator>
  <dc:description>NCFV 等熵涡算例传统算法与高效算法运行时间对比</dc:description>
  <dc:language>en-US</dc:language>
  <cp:lastModifiedBy/>
  <cp:revision>0</cp:revision>
  <dc:subject/>
  <dc:title>NCFV 传统与高效算法运行时间对比表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