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NCFV </w:t>
      </w:r>
      <w:r>
        <w:rPr/>
        <w:t>纯四面体与纯六面体网格性能与内存对比</w:t>
      </w:r>
    </w:p>
    <w:p>
      <w:pPr>
        <w:pStyle w:val="BodyText"/>
        <w:bidi w:val="0"/>
        <w:spacing w:before="80" w:after="240"/>
        <w:ind w:hanging="0" w:start="0" w:end="0"/>
        <w:jc w:val="center"/>
        <w:rPr>
          <w:color w:val="52606D"/>
        </w:rPr>
      </w:pPr>
      <w:r>
        <w:rPr>
          <w:color w:val="52606D"/>
        </w:rPr>
        <w:t>物理时间：</w:t>
      </w:r>
      <w:r>
        <w:rPr>
          <w:color w:val="52606D"/>
        </w:rPr>
        <w:t>t=0 → t=2</w:t>
      </w:r>
      <w:r>
        <w:rPr>
          <w:color w:val="52606D"/>
        </w:rPr>
        <w:t>；报告生成：</w:t>
      </w:r>
      <w:r>
        <w:rPr>
          <w:color w:val="52606D"/>
        </w:rPr>
        <w:t>2026-09-13 22:30 CST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bdr w:val="single" w:sz="24" w:space="10" w:color="3478A8"/>
          <w:shd w:fill="EEF5FB" w:val="clear"/>
        </w:rPr>
      </w:pPr>
      <w:r>
        <w:rPr>
          <w:b/>
          <w:bdr w:val="single" w:sz="24" w:space="10" w:color="3478A8"/>
          <w:shd w:fill="EEF5FB" w:val="clear"/>
        </w:rPr>
        <w:t>结果来源：</w:t>
      </w:r>
      <w:r>
        <w:rPr>
          <w:bdr w:val="single" w:sz="24" w:space="10" w:color="3478A8"/>
          <w:shd w:fill="EEF5FB" w:val="clear"/>
        </w:rPr>
        <w:t xml:space="preserve">本报告只使用清空旧数据后重新生成的 </w:t>
      </w:r>
      <w:r>
        <w:rPr>
          <w:bdr w:val="single" w:sz="24" w:space="10" w:color="3478A8"/>
          <w:shd w:fill="EEF5FB" w:val="clear"/>
        </w:rPr>
        <w:t xml:space="preserve">16 </w:t>
      </w:r>
      <w:r>
        <w:rPr>
          <w:bdr w:val="single" w:sz="24" w:space="10" w:color="3478A8"/>
          <w:shd w:fill="EEF5FB" w:val="clear"/>
        </w:rPr>
        <w:t xml:space="preserve">组实际运行结果。每组均从初始状态 </w:t>
      </w:r>
      <w:r>
        <w:rPr>
          <w:bdr w:val="single" w:sz="24" w:space="10" w:color="3478A8"/>
          <w:shd w:fill="EEF5FB" w:val="clear"/>
        </w:rPr>
        <w:t xml:space="preserve">t=0 </w:t>
      </w:r>
      <w:r>
        <w:rPr>
          <w:bdr w:val="single" w:sz="24" w:space="10" w:color="3478A8"/>
          <w:shd w:fill="EEF5FB" w:val="clear"/>
        </w:rPr>
        <w:t xml:space="preserve">直接推进到 </w:t>
      </w:r>
      <w:r>
        <w:rPr>
          <w:bdr w:val="single" w:sz="24" w:space="10" w:color="3478A8"/>
          <w:shd w:fill="EEF5FB" w:val="clear"/>
        </w:rPr>
        <w:t>t=2</w:t>
      </w:r>
      <w:r>
        <w:rPr>
          <w:bdr w:val="single" w:sz="24" w:space="10" w:color="3478A8"/>
          <w:shd w:fill="EEF5FB" w:val="clear"/>
        </w:rPr>
        <w:t>；未读取或写入重启检查点，未复用旧结果。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测试方法</w:t>
      </w:r>
    </w:p>
    <w:p>
      <w:pPr>
        <w:pStyle w:val="BodyText"/>
        <w:bidi w:val="0"/>
        <w:jc w:val="start"/>
        <w:rPr/>
      </w:pPr>
      <w:r>
        <w:rPr/>
        <w:t>对比算法为高效微分积分方法（</w:t>
      </w:r>
      <w:r>
        <w:rPr/>
        <w:t>EfficientDifferential</w:t>
      </w:r>
      <w:r>
        <w:rPr/>
        <w:t>）与传统高斯求积方法（</w:t>
      </w:r>
      <w:r>
        <w:rPr/>
        <w:t>TraditionalQuadrature</w:t>
      </w:r>
      <w:r>
        <w:rPr/>
        <w:t xml:space="preserve">）。网格为三个方向均可施加周期边界的结构化纯 </w:t>
      </w:r>
      <w:r>
        <w:rPr/>
        <w:t xml:space="preserve">Hex8 </w:t>
      </w:r>
      <w:r>
        <w:rPr/>
        <w:t xml:space="preserve">网格，以及由每个六面体一致划分为 </w:t>
      </w:r>
      <w:r>
        <w:rPr/>
        <w:t xml:space="preserve">6 </w:t>
      </w:r>
      <w:r>
        <w:rPr/>
        <w:t xml:space="preserve">个 </w:t>
      </w:r>
      <w:r>
        <w:rPr/>
        <w:t xml:space="preserve">Tet4 </w:t>
      </w:r>
      <w:r>
        <w:rPr/>
        <w:t>的纯四面体网格。</w:t>
      </w:r>
    </w:p>
    <w:p>
      <w:pPr>
        <w:pStyle w:val="BodyText"/>
        <w:bidi w:val="0"/>
        <w:jc w:val="start"/>
        <w:rPr/>
      </w:pPr>
      <w:r>
        <w:rPr/>
        <w:t>IV10</w:t>
      </w:r>
      <w:r>
        <w:rPr/>
        <w:t>、</w:t>
      </w:r>
      <w:r>
        <w:rPr/>
        <w:t xml:space="preserve">IV20 </w:t>
      </w:r>
      <w:r>
        <w:rPr/>
        <w:t xml:space="preserve">使用 </w:t>
      </w:r>
      <w:r>
        <w:rPr/>
        <w:t xml:space="preserve">8 </w:t>
      </w:r>
      <w:r>
        <w:rPr/>
        <w:t xml:space="preserve">个 </w:t>
      </w:r>
      <w:r>
        <w:rPr/>
        <w:t xml:space="preserve">MPI </w:t>
      </w:r>
      <w:r>
        <w:rPr/>
        <w:t>进程；</w:t>
      </w:r>
      <w:r>
        <w:rPr/>
        <w:t>IV40</w:t>
      </w:r>
      <w:r>
        <w:rPr/>
        <w:t>、</w:t>
      </w:r>
      <w:r>
        <w:rPr/>
        <w:t xml:space="preserve">IV80 </w:t>
      </w:r>
      <w:r>
        <w:rPr/>
        <w:t xml:space="preserve">使用 </w:t>
      </w:r>
      <w:r>
        <w:rPr/>
        <w:t xml:space="preserve">32 </w:t>
      </w:r>
      <w:r>
        <w:rPr/>
        <w:t xml:space="preserve">个 </w:t>
      </w:r>
      <w:r>
        <w:rPr/>
        <w:t xml:space="preserve">MPI </w:t>
      </w:r>
      <w:r>
        <w:rPr/>
        <w:t xml:space="preserve">进程；每个 </w:t>
      </w:r>
      <w:r>
        <w:rPr/>
        <w:t xml:space="preserve">MPI </w:t>
      </w:r>
      <w:r>
        <w:rPr/>
        <w:t xml:space="preserve">进程固定 </w:t>
      </w:r>
      <w:r>
        <w:rPr/>
        <w:t xml:space="preserve">1 </w:t>
      </w:r>
      <w:r>
        <w:rPr/>
        <w:t xml:space="preserve">个线程。相同网格上的两种算法使用完全相同的 </w:t>
      </w:r>
      <w:r>
        <w:rPr/>
        <w:t>MPI/</w:t>
      </w:r>
      <w:r>
        <w:rPr/>
        <w:t xml:space="preserve">线程资源。求解阶段关闭 </w:t>
      </w:r>
      <w:r>
        <w:rPr/>
        <w:t>VTK</w:t>
      </w:r>
      <w:r>
        <w:rPr/>
        <w:t xml:space="preserve">、常规输出和重启 </w:t>
      </w:r>
      <w:r>
        <w:rPr/>
        <w:t>I/O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 xml:space="preserve">时间推进”采用所有 </w:t>
      </w:r>
      <w:r>
        <w:rPr/>
        <w:t xml:space="preserve">MPI </w:t>
      </w:r>
      <w:r>
        <w:rPr/>
        <w:t xml:space="preserve">秩墙钟时间的最大值，包含生产求解器 </w:t>
      </w:r>
      <w:r>
        <w:rPr/>
        <w:t xml:space="preserve">SSPRK3 </w:t>
      </w:r>
      <w:r>
        <w:rPr/>
        <w:t xml:space="preserve">推进、每步三次 </w:t>
      </w:r>
      <w:r>
        <w:rPr/>
        <w:t>RHS</w:t>
      </w:r>
      <w:r>
        <w:rPr/>
        <w:t>、</w:t>
      </w:r>
      <w:r>
        <w:rPr/>
        <w:t xml:space="preserve">CFL </w:t>
      </w:r>
      <w:r>
        <w:rPr/>
        <w:t>时间步选择及最后一个截断步；“总时间”</w:t>
      </w:r>
      <w:r>
        <w:rPr/>
        <w:t>=</w:t>
      </w:r>
      <w:r>
        <w:rPr/>
        <w:t>初始化</w:t>
      </w:r>
      <w:r>
        <w:rPr/>
        <w:t>+</w:t>
      </w:r>
      <w:r>
        <w:rPr/>
        <w:t xml:space="preserve">时间推进。内存主指标为各 </w:t>
      </w:r>
      <w:r>
        <w:rPr/>
        <w:t xml:space="preserve">MPI </w:t>
      </w:r>
      <w:r>
        <w:rPr/>
        <w:t xml:space="preserve">秩 </w:t>
      </w:r>
      <w:r>
        <w:rPr/>
        <w:t xml:space="preserve">PSS </w:t>
      </w:r>
      <w:r>
        <w:rPr/>
        <w:t>之和。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计算时间对比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1"/>
        <w:gridCol w:w="870"/>
        <w:gridCol w:w="824"/>
        <w:gridCol w:w="1572"/>
        <w:gridCol w:w="1481"/>
        <w:gridCol w:w="1481"/>
        <w:gridCol w:w="1187"/>
        <w:gridCol w:w="1322"/>
        <w:gridCol w:w="1753"/>
        <w:gridCol w:w="1481"/>
        <w:gridCol w:w="1549"/>
      </w:tblGrid>
      <w:tr>
        <w:trPr>
          <w:tblHeader w:val="true"/>
        </w:trPr>
        <w:tc>
          <w:tcPr>
            <w:tcW w:w="148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网格类型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MPI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步数</w:t>
            </w:r>
            <w:r>
              <w:rPr/>
              <w:br/>
            </w:r>
            <w:r>
              <w:rPr/>
              <w:t>高效</w:t>
            </w:r>
            <w:r>
              <w:rPr/>
              <w:t>/</w:t>
            </w:r>
            <w:r>
              <w:rPr/>
              <w:t>传统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初始化</w:t>
            </w:r>
            <w:r>
              <w:rPr/>
              <w:t>(s)</w:t>
              <w:br/>
            </w:r>
            <w:r>
              <w:rPr/>
              <w:t>高效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初始化</w:t>
            </w:r>
            <w:r>
              <w:rPr/>
              <w:t>(s)</w:t>
              <w:br/>
            </w:r>
            <w:r>
              <w:rPr/>
              <w:t>传统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推进</w:t>
            </w:r>
            <w:r>
              <w:rPr/>
              <w:t>(s)</w:t>
              <w:br/>
            </w:r>
            <w:r>
              <w:rPr/>
              <w:t>高效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推进</w:t>
            </w:r>
            <w:r>
              <w:rPr/>
              <w:t>(s)</w:t>
              <w:br/>
            </w:r>
            <w:r>
              <w:rPr/>
              <w:t>传统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推进加速比</w:t>
            </w:r>
            <w:r>
              <w:rPr/>
              <w:br/>
            </w:r>
            <w:r>
              <w:rPr/>
              <w:t>传统</w:t>
            </w:r>
            <w:r>
              <w:rPr/>
              <w:t>/</w:t>
            </w:r>
            <w:r>
              <w:rPr/>
              <w:t>高效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总时间</w:t>
            </w:r>
            <w:r>
              <w:rPr/>
              <w:t>(s)</w:t>
              <w:br/>
            </w:r>
            <w:r>
              <w:rPr/>
              <w:t>高效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总时间</w:t>
            </w:r>
            <w:r>
              <w:rPr/>
              <w:t>(s)</w:t>
              <w:br/>
            </w:r>
            <w:r>
              <w:rPr/>
              <w:t>传统</w:t>
            </w:r>
          </w:p>
        </w:tc>
      </w:tr>
      <w:tr>
        <w:trPr/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6⁠3⁠/⁠6⁠3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0⁠.⁠1⁠3⁠8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0⁠.⁠1⁠2⁠5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0⁠.⁠2⁠8⁠6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1⁠.⁠8⁠0⁠9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6⁠.⁠3⁠3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0⁠.⁠4⁠2⁠3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1⁠.⁠9⁠3⁠4</w:t>
            </w:r>
          </w:p>
        </w:tc>
      </w:tr>
      <w:tr>
        <w:trPr/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1⁠2⁠9⁠/⁠1⁠2⁠9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0⁠.⁠5⁠1⁠0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0⁠.⁠4⁠1⁠6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3⁠.⁠8⁠5⁠3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2⁠4⁠.⁠9⁠9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6⁠.⁠4⁠9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4⁠.⁠3⁠6⁠3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2⁠5⁠.⁠4⁠1</w:t>
            </w:r>
          </w:p>
        </w:tc>
      </w:tr>
      <w:tr>
        <w:trPr/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2⁠6⁠2⁠/⁠2⁠6⁠3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1⁠.⁠5⁠0⁠1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1⁠.⁠3⁠5⁠0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2⁠4⁠.⁠9⁠9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1⁠1⁠8⁠.⁠3⁠7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4⁠.⁠7⁠4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2⁠6⁠.⁠4⁠9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1⁠1⁠9⁠.⁠7⁠2</w:t>
            </w:r>
          </w:p>
        </w:tc>
      </w:tr>
      <w:tr>
        <w:trPr/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5⁠2⁠7⁠/⁠5⁠2⁠8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1⁠3⁠.⁠0⁠3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9⁠.⁠1⁠3⁠7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3⁠5⁠2⁠.⁠1⁠5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1⁠7⁠3⁠8⁠.⁠3⁠5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4⁠.⁠9⁠4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3⁠6⁠5⁠.⁠1⁠8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1⁠7⁠4⁠7⁠.⁠4⁠9</w:t>
            </w:r>
          </w:p>
        </w:tc>
      </w:tr>
      <w:tr>
        <w:trPr/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6⁠3⁠/⁠6⁠3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0⁠.⁠2⁠4⁠1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0⁠.⁠2⁠5⁠4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0⁠.⁠3⁠3⁠7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4⁠.⁠8⁠1⁠5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1⁠4⁠.⁠2⁠9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0⁠.⁠5⁠7⁠8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5⁠.⁠0⁠6⁠9</w:t>
            </w:r>
          </w:p>
        </w:tc>
      </w:tr>
      <w:tr>
        <w:trPr/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1⁠2⁠9⁠/⁠1⁠2⁠9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1⁠.⁠3⁠8⁠3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1⁠.⁠4⁠9⁠0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4⁠.⁠9⁠6⁠9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7⁠2⁠.⁠9⁠5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1⁠4⁠.⁠6⁠8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6⁠.⁠3⁠5⁠2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7⁠4⁠.⁠4⁠4</w:t>
            </w:r>
          </w:p>
        </w:tc>
      </w:tr>
      <w:tr>
        <w:trPr/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2⁠6⁠3⁠/⁠2⁠6⁠3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6⁠.⁠1⁠7⁠3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6⁠.⁠4⁠9⁠0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2⁠7⁠.⁠5⁠1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3⁠2⁠1⁠.⁠2⁠0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1⁠1⁠.⁠6⁠8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3⁠3⁠.⁠6⁠8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3⁠2⁠7⁠.⁠6⁠9</w:t>
            </w:r>
          </w:p>
        </w:tc>
      </w:tr>
      <w:tr>
        <w:trPr/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87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82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</w:t>
            </w:r>
          </w:p>
        </w:tc>
        <w:tc>
          <w:tcPr>
            <w:tcW w:w="157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5⁠2⁠9⁠/⁠5⁠3⁠0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4⁠6⁠.⁠8⁠0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4⁠9⁠.⁠4⁠4</w:t>
            </w:r>
          </w:p>
        </w:tc>
        <w:tc>
          <w:tcPr>
            <w:tcW w:w="1187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4⁠1⁠2⁠.⁠8⁠7</w:t>
            </w:r>
          </w:p>
        </w:tc>
        <w:tc>
          <w:tcPr>
            <w:tcW w:w="13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4⁠8⁠6⁠6⁠.⁠9⁠5</w:t>
            </w:r>
          </w:p>
        </w:tc>
        <w:tc>
          <w:tcPr>
            <w:tcW w:w="1753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1⁠1⁠.⁠7⁠9</w:t>
            </w:r>
          </w:p>
        </w:tc>
        <w:tc>
          <w:tcPr>
            <w:tcW w:w="148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4⁠5⁠9⁠.⁠6⁠7</w:t>
            </w:r>
          </w:p>
        </w:tc>
        <w:tc>
          <w:tcPr>
            <w:tcW w:w="1549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4⁠9⁠1⁠6⁠.⁠3⁠9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内存需求对比（</w:t>
      </w:r>
      <w:r>
        <w:rPr/>
        <w:t xml:space="preserve">PSS </w:t>
      </w:r>
      <w:r>
        <w:rPr/>
        <w:t>总量）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0"/>
        <w:gridCol w:w="762"/>
        <w:gridCol w:w="722"/>
        <w:gridCol w:w="2365"/>
        <w:gridCol w:w="2365"/>
        <w:gridCol w:w="1721"/>
        <w:gridCol w:w="1721"/>
        <w:gridCol w:w="1351"/>
        <w:gridCol w:w="1368"/>
        <w:gridCol w:w="1335"/>
      </w:tblGrid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网格类型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MPI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初始化后 </w:t>
            </w:r>
            <w:r>
              <w:rPr/>
              <w:t>PSS(GiB)</w:t>
              <w:br/>
            </w:r>
            <w:r>
              <w:rPr/>
              <w:t>高效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初始化后 </w:t>
            </w:r>
            <w:r>
              <w:rPr/>
              <w:t>PSS(GiB)</w:t>
              <w:br/>
            </w:r>
            <w:r>
              <w:rPr/>
              <w:t>传统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t=2 PSS(GiB)</w:t>
              <w:br/>
            </w:r>
            <w:r>
              <w:rPr/>
              <w:t>高效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t=2 PSS(GiB)</w:t>
              <w:br/>
            </w:r>
            <w:r>
              <w:rPr/>
              <w:t>传统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节省</w:t>
            </w:r>
            <w:r>
              <w:rPr/>
              <w:t>(GiB)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传统</w:t>
            </w:r>
            <w:r>
              <w:rPr/>
              <w:t>/</w:t>
            </w:r>
            <w:r>
              <w:rPr/>
              <w:t>高效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降低比例</w:t>
            </w:r>
          </w:p>
        </w:tc>
      </w:tr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0⁠.⁠3⁠7⁠9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0⁠.⁠4⁠0⁠3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0⁠.⁠3⁠8⁠0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0⁠.⁠4⁠0⁠5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0⁠.⁠0⁠2⁠5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1⁠.⁠0⁠7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6⁠.⁠2⁠%</w:t>
            </w:r>
          </w:p>
        </w:tc>
      </w:tr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0⁠.⁠5⁠6⁠3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0⁠.⁠7⁠4⁠7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0⁠.⁠5⁠6⁠6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0⁠.⁠7⁠5⁠1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0⁠.⁠1⁠8⁠6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1⁠.⁠3⁠3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2⁠4⁠.⁠7⁠%</w:t>
            </w:r>
          </w:p>
        </w:tc>
      </w:tr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3⁠.⁠5⁠9⁠7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4⁠.⁠9⁠6⁠1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3⁠.⁠6⁠0⁠3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4⁠.⁠9⁠7⁠6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1⁠.⁠3⁠7⁠3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1⁠.⁠3⁠8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2⁠7⁠.⁠6⁠%</w:t>
            </w:r>
          </w:p>
        </w:tc>
      </w:tr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2⁠0⁠.⁠2⁠4⁠2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3⁠1⁠.⁠0⁠1⁠2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2⁠0⁠.⁠2⁠4⁠7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3⁠1⁠.⁠0⁠2⁠0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1⁠0⁠.⁠7⁠7⁠4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1⁠.⁠5⁠3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3⁠4⁠.⁠7⁠%</w:t>
            </w:r>
          </w:p>
        </w:tc>
      </w:tr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0⁠.⁠4⁠0⁠6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0⁠.⁠4⁠9⁠8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0⁠.⁠4⁠0⁠8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0⁠.⁠4⁠9⁠9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0⁠.⁠0⁠9⁠1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1⁠.⁠2⁠2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1⁠8⁠.⁠3⁠%</w:t>
            </w:r>
          </w:p>
        </w:tc>
      </w:tr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0⁠.⁠7⁠2⁠0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1⁠.⁠4⁠3⁠3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0⁠.⁠7⁠2⁠2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1⁠.⁠4⁠3⁠5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0⁠.⁠7⁠1⁠3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1⁠.⁠9⁠9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4⁠9⁠.⁠7⁠%</w:t>
            </w:r>
          </w:p>
        </w:tc>
      </w:tr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5⁠.⁠6⁠3⁠8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1⁠1⁠.⁠1⁠1⁠7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5⁠.⁠6⁠4⁠1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1⁠1⁠.⁠1⁠2⁠1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5⁠.⁠4⁠8⁠0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1⁠.⁠9⁠7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4⁠9⁠.⁠3⁠%</w:t>
            </w:r>
          </w:p>
        </w:tc>
      </w:tr>
      <w:tr>
        <w:trPr/>
        <w:tc>
          <w:tcPr>
            <w:tcW w:w="129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72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3⁠2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3⁠5⁠.⁠1⁠3⁠5</w:t>
            </w:r>
          </w:p>
        </w:tc>
        <w:tc>
          <w:tcPr>
            <w:tcW w:w="236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7⁠8⁠.⁠5⁠4⁠0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3⁠5⁠.⁠1⁠3⁠8</w:t>
            </w:r>
          </w:p>
        </w:tc>
        <w:tc>
          <w:tcPr>
            <w:tcW w:w="172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7⁠8⁠.⁠5⁠4⁠4</w:t>
            </w:r>
          </w:p>
        </w:tc>
        <w:tc>
          <w:tcPr>
            <w:tcW w:w="1351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4⁠3⁠.⁠4⁠0⁠6</w:t>
            </w:r>
          </w:p>
        </w:tc>
        <w:tc>
          <w:tcPr>
            <w:tcW w:w="136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2⁠.⁠2⁠4</w:t>
            </w:r>
          </w:p>
        </w:tc>
        <w:tc>
          <w:tcPr>
            <w:tcW w:w="133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5⁠5⁠.⁠3⁠%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4. RSS </w:t>
      </w:r>
      <w:r>
        <w:rPr/>
        <w:t>与峰值代理</w:t>
      </w:r>
    </w:p>
    <w:tbl>
      <w:tblPr>
        <w:tblW w:w="15000" w:type="dxa"/>
        <w:tblLayout w:type="fixed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8"/>
        <w:gridCol w:w="762"/>
        <w:gridCol w:w="1812"/>
        <w:gridCol w:w="1812"/>
        <w:gridCol w:w="2345"/>
        <w:gridCol w:w="2345"/>
        <w:gridCol w:w="2364"/>
        <w:gridCol w:w="2430"/>
      </w:tblGrid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网格类型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>网格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t=2 RSS </w:t>
            </w:r>
            <w:r>
              <w:rPr/>
              <w:t>总量</w:t>
            </w:r>
            <w:r>
              <w:rPr/>
              <w:t>(GiB)</w:t>
              <w:br/>
            </w:r>
            <w:r>
              <w:rPr/>
              <w:t>高效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t=2 RSS </w:t>
            </w:r>
            <w:r>
              <w:rPr/>
              <w:t>总量</w:t>
            </w:r>
            <w:r>
              <w:rPr/>
              <w:t>(GiB)</w:t>
              <w:br/>
            </w:r>
            <w:r>
              <w:rPr/>
              <w:t>传统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各秩 </w:t>
            </w:r>
            <w:r>
              <w:rPr/>
              <w:t xml:space="preserve">VmHWM </w:t>
            </w:r>
            <w:r>
              <w:rPr/>
              <w:t>之和</w:t>
            </w:r>
            <w:r>
              <w:rPr/>
              <w:t>(GiB)</w:t>
              <w:br/>
            </w:r>
            <w:r>
              <w:rPr/>
              <w:t>高效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各秩 </w:t>
            </w:r>
            <w:r>
              <w:rPr/>
              <w:t xml:space="preserve">VmHWM </w:t>
            </w:r>
            <w:r>
              <w:rPr/>
              <w:t>之和</w:t>
            </w:r>
            <w:r>
              <w:rPr/>
              <w:t>(GiB)</w:t>
              <w:br/>
            </w:r>
            <w:r>
              <w:rPr/>
              <w:t>传统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单秩最大 </w:t>
            </w:r>
            <w:r>
              <w:rPr/>
              <w:t>VmHWM(MiB)</w:t>
              <w:br/>
            </w:r>
            <w:r>
              <w:rPr/>
              <w:t>高效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Heading"/>
              <w:suppressLineNumbers/>
              <w:shd w:fill="DBEAF5" w:val="clear"/>
              <w:bidi w:val="0"/>
              <w:spacing w:before="80" w:after="80"/>
              <w:jc w:val="center"/>
              <w:rPr/>
            </w:pPr>
            <w:r>
              <w:rPr/>
              <w:t xml:space="preserve">单秩最大 </w:t>
            </w:r>
            <w:r>
              <w:rPr/>
              <w:t>VmHWM(MiB)</w:t>
              <w:br/>
            </w:r>
            <w:r>
              <w:rPr/>
              <w:t>传统</w:t>
            </w:r>
          </w:p>
        </w:tc>
      </w:tr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1⁠.⁠2⁠4⁠1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1⁠.⁠2⁠6⁠9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1⁠.⁠2⁠4⁠1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1⁠.⁠2⁠6⁠9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1⁠6⁠4⁠.⁠2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1⁠6⁠8⁠.⁠1</w:t>
            </w:r>
          </w:p>
        </w:tc>
      </w:tr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1⁠.⁠4⁠3⁠8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1⁠.⁠6⁠3⁠4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1⁠.⁠4⁠3⁠8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1⁠.⁠6⁠3⁠4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1⁠9⁠2⁠.⁠1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2⁠1⁠9⁠.⁠9</w:t>
            </w:r>
          </w:p>
        </w:tc>
      </w:tr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7⁠.⁠6⁠8⁠0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9⁠.⁠1⁠1⁠7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8⁠.⁠1⁠5⁠0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9⁠.⁠4⁠8⁠9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3⁠0⁠0⁠.⁠7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3⁠5⁠6⁠.⁠5</w:t>
            </w:r>
          </w:p>
        </w:tc>
      </w:tr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H⁠e⁠x⁠8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2⁠4⁠.⁠3⁠5⁠8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3⁠5⁠.⁠2⁠0⁠6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2⁠8⁠.⁠8⁠2⁠9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3⁠9⁠.⁠6⁠3⁠9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1⁠1⁠7⁠2⁠.⁠6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1⁠5⁠5⁠2⁠.⁠3</w:t>
            </w:r>
          </w:p>
        </w:tc>
      </w:tr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I⁠V⁠1⁠0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1⁠.⁠2⁠8⁠1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1⁠.⁠3⁠7⁠0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1⁠.⁠2⁠8⁠1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1⁠.⁠3⁠7⁠0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1⁠7⁠1⁠.⁠8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1⁠8⁠8⁠.⁠1</w:t>
            </w:r>
          </w:p>
        </w:tc>
      </w:tr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I⁠V⁠2⁠0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1⁠.⁠6⁠1⁠4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2⁠.⁠3⁠2⁠1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1⁠.⁠6⁠1⁠4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2⁠.⁠3⁠2⁠1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2⁠4⁠4⁠.⁠4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3⁠5⁠6⁠.⁠5</w:t>
            </w:r>
          </w:p>
        </w:tc>
      </w:tr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I⁠V⁠4⁠0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9⁠.⁠7⁠2⁠0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1⁠5⁠.⁠2⁠1⁠6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1⁠0⁠.⁠2⁠4⁠9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1⁠5⁠.⁠7⁠2⁠2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6⁠4⁠2⁠.⁠6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8⁠2⁠1⁠.⁠0</w:t>
            </w:r>
          </w:p>
        </w:tc>
      </w:tr>
      <w:tr>
        <w:trPr/>
        <w:tc>
          <w:tcPr>
            <w:tcW w:w="1128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T⁠e⁠t⁠4</w:t>
            </w:r>
          </w:p>
        </w:tc>
        <w:tc>
          <w:tcPr>
            <w:tcW w:w="76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I⁠V⁠8⁠0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3⁠9⁠.⁠3⁠0⁠2</w:t>
            </w:r>
          </w:p>
        </w:tc>
        <w:tc>
          <w:tcPr>
            <w:tcW w:w="1812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8⁠2⁠.⁠6⁠9⁠9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4⁠3⁠.⁠9⁠6⁠7</w:t>
            </w:r>
          </w:p>
        </w:tc>
        <w:tc>
          <w:tcPr>
            <w:tcW w:w="2345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8⁠7⁠.⁠5⁠1⁠2</w:t>
            </w:r>
          </w:p>
        </w:tc>
        <w:tc>
          <w:tcPr>
            <w:tcW w:w="2364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3⁠9⁠5⁠7⁠.⁠4</w:t>
            </w:r>
          </w:p>
        </w:tc>
        <w:tc>
          <w:tcPr>
            <w:tcW w:w="2430" w:type="dxa"/>
            <w:tcBorders/>
            <w:vAlign w:val="center"/>
            <w:noWrap/>
          </w:tcPr>
          <w:p>
            <w:pPr>
              <w:pStyle w:val="TableContents"/>
              <w:bidi w:val="0"/>
              <w:spacing w:before="80" w:after="80"/>
              <w:jc w:val="center"/>
              <w:rPr/>
            </w:pPr>
            <w:r>
              <w:rPr/>
              <w:t>5⁠0⁠0⁠5⁠.⁠6</w:t>
            </w:r>
          </w:p>
        </w:tc>
      </w:tr>
    </w:tbl>
    <w:p>
      <w:pPr>
        <w:keepLines/>
        <w:pageBreakBefore/>
        <w:pStyle w:val="BodyText"/>
        <w:bidi w:val="0"/>
        <w:spacing w:before="160" w:after="160"/>
        <w:ind w:hanging="0" w:start="160" w:end="160"/>
        <w:jc w:val="start"/>
        <w:rPr>
          <w:bdr w:val="single" w:sz="24" w:space="10" w:color="D49B21"/>
          <w:shd w:fill="FFF8E6" w:val="clear"/>
        </w:rPr>
      </w:pPr>
      <w:r>
        <w:rPr>
          <w:b/>
          <w:bdr w:val="single" w:sz="24" w:space="10" w:color="D49B21"/>
          <w:shd w:fill="FFF8E6" w:val="clear"/>
        </w:rPr>
        <w:t>内存口径：</w:t>
      </w:r>
      <w:r>
        <w:rPr>
          <w:bdr w:val="single" w:sz="24" w:space="10" w:color="D49B21"/>
          <w:shd w:fill="FFF8E6" w:val="clear"/>
        </w:rPr>
        <w:t xml:space="preserve">PSS </w:t>
      </w:r>
      <w:r>
        <w:rPr>
          <w:bdr w:val="single" w:sz="24" w:space="10" w:color="D49B21"/>
          <w:shd w:fill="FFF8E6" w:val="clear"/>
        </w:rPr>
        <w:t>按共享页比例分摊，适合作为多进程聚合内存的主指标；</w:t>
      </w:r>
      <w:r>
        <w:rPr>
          <w:bdr w:val="single" w:sz="24" w:space="10" w:color="D49B21"/>
          <w:shd w:fill="FFF8E6" w:val="clear"/>
        </w:rPr>
        <w:t xml:space="preserve">RSS </w:t>
      </w:r>
      <w:r>
        <w:rPr>
          <w:bdr w:val="single" w:sz="24" w:space="10" w:color="D49B21"/>
          <w:shd w:fill="FFF8E6" w:val="clear"/>
        </w:rPr>
        <w:t xml:space="preserve">会在各 </w:t>
      </w:r>
      <w:r>
        <w:rPr>
          <w:bdr w:val="single" w:sz="24" w:space="10" w:color="D49B21"/>
          <w:shd w:fill="FFF8E6" w:val="clear"/>
        </w:rPr>
        <w:t xml:space="preserve">MPI </w:t>
      </w:r>
      <w:r>
        <w:rPr>
          <w:bdr w:val="single" w:sz="24" w:space="10" w:color="D49B21"/>
          <w:shd w:fill="FFF8E6" w:val="clear"/>
        </w:rPr>
        <w:t>秩重复计算共享页。</w:t>
      </w:r>
      <w:r>
        <w:rPr>
          <w:bdr w:val="single" w:sz="24" w:space="10" w:color="D49B21"/>
          <w:shd w:fill="FFF8E6" w:val="clear"/>
        </w:rPr>
        <w:t xml:space="preserve">VmHWM </w:t>
      </w:r>
      <w:r>
        <w:rPr>
          <w:bdr w:val="single" w:sz="24" w:space="10" w:color="D49B21"/>
          <w:shd w:fill="FFF8E6" w:val="clear"/>
        </w:rPr>
        <w:t xml:space="preserve">是单进程历史 </w:t>
      </w:r>
      <w:r>
        <w:rPr>
          <w:bdr w:val="single" w:sz="24" w:space="10" w:color="D49B21"/>
          <w:shd w:fill="FFF8E6" w:val="clear"/>
        </w:rPr>
        <w:t xml:space="preserve">RSS </w:t>
      </w:r>
      <w:r>
        <w:rPr>
          <w:bdr w:val="single" w:sz="24" w:space="10" w:color="D49B21"/>
          <w:shd w:fill="FFF8E6" w:val="clear"/>
        </w:rPr>
        <w:t xml:space="preserve">峰值，“各秩 </w:t>
      </w:r>
      <w:r>
        <w:rPr>
          <w:bdr w:val="single" w:sz="24" w:space="10" w:color="D49B21"/>
          <w:shd w:fill="FFF8E6" w:val="clear"/>
        </w:rPr>
        <w:t xml:space="preserve">VmHWM </w:t>
      </w:r>
      <w:r>
        <w:rPr>
          <w:bdr w:val="single" w:sz="24" w:space="10" w:color="D49B21"/>
          <w:shd w:fill="FFF8E6" w:val="clear"/>
        </w:rPr>
        <w:t>之和”不代表所有秩在同一时刻的真实峰值，只作为保守容量参考。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主要结论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纯六面体网格上，高效方法的时间推进加速比为 </w:t>
      </w:r>
      <w:r>
        <w:rPr/>
        <w:t xml:space="preserve">4.74–6.49 </w:t>
      </w:r>
      <w:r>
        <w:rPr/>
        <w:t xml:space="preserve">倍；纯四面体网格上为 </w:t>
      </w:r>
      <w:r>
        <w:rPr/>
        <w:t xml:space="preserve">11.68–14.68 </w:t>
      </w:r>
      <w:r>
        <w:rPr/>
        <w:t xml:space="preserve">倍。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六面体 </w:t>
      </w:r>
      <w:r>
        <w:rPr/>
        <w:t>IV80</w:t>
      </w:r>
      <w:r>
        <w:rPr/>
        <w:t>：高效</w:t>
      </w:r>
      <w:r>
        <w:rPr/>
        <w:t>/</w:t>
      </w:r>
      <w:r>
        <w:rPr/>
        <w:t xml:space="preserve">传统推进时间为 </w:t>
      </w:r>
      <w:r>
        <w:rPr/>
        <w:t>352.15 s / 1738.35 s</w:t>
      </w:r>
      <w:r>
        <w:rPr/>
        <w:t xml:space="preserve">，加速 </w:t>
      </w:r>
      <w:r>
        <w:rPr/>
        <w:t xml:space="preserve">4.94 </w:t>
      </w:r>
      <w:r>
        <w:rPr/>
        <w:t>倍；</w:t>
      </w:r>
      <w:r>
        <w:rPr/>
        <w:t xml:space="preserve">t=2 PSS </w:t>
      </w:r>
      <w:r>
        <w:rPr/>
        <w:t xml:space="preserve">为 </w:t>
      </w:r>
      <w:r>
        <w:rPr/>
        <w:t>20.247 / 31.020 GiB</w:t>
      </w:r>
      <w:r>
        <w:rPr/>
        <w:t xml:space="preserve">，节省 </w:t>
      </w:r>
      <w:r>
        <w:rPr/>
        <w:t>10.774 GiB</w:t>
      </w:r>
      <w:r>
        <w:rPr/>
        <w:t xml:space="preserve">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hanging="283" w:start="789"/>
        <w:jc w:val="start"/>
        <w:rPr/>
      </w:pPr>
      <w:r>
        <w:rPr/>
        <w:t xml:space="preserve">四面体 </w:t>
      </w:r>
      <w:r>
        <w:rPr/>
        <w:t>IV80</w:t>
      </w:r>
      <w:r>
        <w:rPr/>
        <w:t>：高效</w:t>
      </w:r>
      <w:r>
        <w:rPr/>
        <w:t>/</w:t>
      </w:r>
      <w:r>
        <w:rPr/>
        <w:t xml:space="preserve">传统推进时间为 </w:t>
      </w:r>
      <w:r>
        <w:rPr/>
        <w:t>412.87 s / 4866.95 s</w:t>
      </w:r>
      <w:r>
        <w:rPr/>
        <w:t xml:space="preserve">，加速 </w:t>
      </w:r>
      <w:r>
        <w:rPr/>
        <w:t xml:space="preserve">11.79 </w:t>
      </w:r>
      <w:r>
        <w:rPr/>
        <w:t>倍；</w:t>
      </w:r>
      <w:r>
        <w:rPr/>
        <w:t xml:space="preserve">t=2 PSS </w:t>
      </w:r>
      <w:r>
        <w:rPr/>
        <w:t xml:space="preserve">为 </w:t>
      </w:r>
      <w:r>
        <w:rPr/>
        <w:t>35.138 / 78.544 GiB</w:t>
      </w:r>
      <w:r>
        <w:rPr/>
        <w:t xml:space="preserve">，节省 </w:t>
      </w:r>
      <w:r>
        <w:rPr/>
        <w:t>43.406 GiB</w:t>
      </w:r>
      <w:r>
        <w:rPr/>
        <w:t xml:space="preserve">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hanging="283" w:start="789"/>
        <w:jc w:val="start"/>
        <w:rPr/>
      </w:pPr>
      <w:r>
        <w:rPr/>
        <w:t xml:space="preserve">在全部 </w:t>
      </w:r>
      <w:r>
        <w:rPr/>
        <w:t xml:space="preserve">8 </w:t>
      </w:r>
      <w:r>
        <w:rPr/>
        <w:t xml:space="preserve">组网格配对中，高效方法的时间推进均更快，且 </w:t>
      </w:r>
      <w:r>
        <w:rPr/>
        <w:t xml:space="preserve">t=2 </w:t>
      </w:r>
      <w:r>
        <w:rPr/>
        <w:t xml:space="preserve">的 </w:t>
      </w:r>
      <w:r>
        <w:rPr/>
        <w:t xml:space="preserve">PSS </w:t>
      </w:r>
      <w:r>
        <w:rPr/>
        <w:t xml:space="preserve">总量均更低。四面体网格上的收益最明显：传统方法 </w:t>
      </w:r>
      <w:r>
        <w:rPr/>
        <w:t xml:space="preserve">PSS </w:t>
      </w:r>
      <w:r>
        <w:rPr/>
        <w:t xml:space="preserve">为高效方法的 </w:t>
      </w:r>
      <w:r>
        <w:rPr/>
        <w:t xml:space="preserve">1.22–2.24 </w:t>
      </w:r>
      <w:r>
        <w:rPr/>
        <w:t xml:space="preserve">倍。 </w:t>
      </w:r>
    </w:p>
    <w:p>
      <w:pPr>
        <w:pStyle w:val="BodyTextsmall"/>
        <w:bidi w:val="0"/>
        <w:spacing w:before="80" w:after="80"/>
        <w:jc w:val="start"/>
        <w:rPr/>
      </w:pPr>
      <w:r>
        <w:rPr/>
        <w:t>说明：</w:t>
      </w:r>
      <w:r>
        <w:rPr/>
        <w:t xml:space="preserve">IV40/IV80 </w:t>
      </w:r>
      <w:r>
        <w:rPr/>
        <w:t xml:space="preserve">的 </w:t>
      </w:r>
      <w:r>
        <w:rPr/>
        <w:t xml:space="preserve">MPI </w:t>
      </w:r>
      <w:r>
        <w:rPr/>
        <w:t xml:space="preserve">进程数与 </w:t>
      </w:r>
      <w:r>
        <w:rPr/>
        <w:t xml:space="preserve">IV10/IV20 </w:t>
      </w:r>
      <w:r>
        <w:rPr/>
        <w:t xml:space="preserve">不同，因此表中跨网格尺度的绝对时间不用于并行强缩放结论；算法加速比只在同一网格、相同资源配置内比较。每个组合本轮执行 </w:t>
      </w:r>
      <w:r>
        <w:rPr/>
        <w:t xml:space="preserve">1 </w:t>
      </w:r>
      <w:r>
        <w:rPr/>
        <w:t>次，结果反映本机本次运行条件。</w:t>
      </w:r>
    </w:p>
    <w:sectPr>
      <w:type w:val="nextPage"/>
      <w:pgSz w:orient="landscape" w:w="16838" w:h="11906"/>
      <w:pgMar w:left="794" w:right="794" w:gutter="0" w:header="0" w:top="794" w:footer="0" w:bottom="794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0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</w:pPr>
    <w:rPr>
      <w:rFonts w:ascii="Noto Sans" w:hAnsi="Noto Sans"/>
      <w:b/>
      <w:bCs/>
      <w:color w:val="17365D"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FBAD0"/>
      </w:pBdr>
      <w:spacing w:before="280" w:after="120"/>
      <w:ind w:start="280" w:end="280"/>
      <w:outlineLvl w:val="1"/>
    </w:pPr>
    <w:rPr>
      <w:rFonts w:ascii="Liberation Serif" w:hAnsi="Liberation Serif" w:eastAsia="Noto Serif CJK SC" w:cs="Noto Sans Devanagari"/>
      <w:b/>
      <w:bCs/>
      <w:color w:val="17365D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center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80" w:after="80"/>
      <w:ind w:start="80" w:end="8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DBEAF5" w:val="clear"/>
      <w:jc w:val="center"/>
    </w:pPr>
    <w:rPr>
      <w:b/>
      <w:bCs/>
      <w:color w:val="17365D"/>
    </w:rPr>
  </w:style>
  <w:style w:type="paragraph" w:styleId="BodyTextsmall">
    <w:name w:val="Body Text.small"/>
    <w:basedOn w:val="BodyText"/>
    <w:qFormat/>
    <w:pPr/>
    <w:rPr>
      <w:color w:val="52606D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NCFV 纯四面体与纯六面体 t=2 性能与内存对比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