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rPr/>
      </w:pPr>
      <w:r>
        <w:rPr/>
        <w:t xml:space="preserve">NCFV </w:t>
      </w:r>
      <w:r>
        <w:rPr/>
        <w:t xml:space="preserve">传统算法与高效算法：推进至 </w:t>
      </w:r>
      <w:r>
        <w:rPr/>
        <w:t xml:space="preserve">t=2 </w:t>
      </w:r>
      <w:r>
        <w:rPr/>
        <w:t>的计算时间与内存占用对比</w:t>
      </w:r>
    </w:p>
    <w:p>
      <w:pPr>
        <w:pStyle w:val="BodyTextsubtitle"/>
        <w:bidi w:val="0"/>
        <w:rPr/>
      </w:pPr>
      <w:r>
        <w:rPr/>
        <w:t xml:space="preserve">三维等熵涡 </w:t>
      </w:r>
      <w:r>
        <w:rPr/>
        <w:t xml:space="preserve">· </w:t>
      </w:r>
      <w:r>
        <w:rPr/>
        <w:t xml:space="preserve">原始 </w:t>
      </w:r>
      <w:r>
        <w:rPr/>
        <w:t xml:space="preserve">IV </w:t>
      </w:r>
      <w:r>
        <w:rPr/>
        <w:t>三棱柱网格（</w:t>
      </w:r>
      <w:r>
        <w:rPr/>
        <w:t>Prism6</w:t>
      </w:r>
      <w:r>
        <w:rPr/>
        <w:t>）</w:t>
      </w:r>
      <w:r>
        <w:rPr/>
        <w:t>· IV10 / IV20 / IV40 / IV80</w:t>
      </w:r>
    </w:p>
    <w:p>
      <w:pPr>
        <w:pStyle w:val="BodyText"/>
        <w:bidi w:val="0"/>
        <w:spacing w:before="120" w:after="120"/>
        <w:ind w:hanging="0" w:start="120" w:end="120"/>
        <w:jc w:val="start"/>
        <w:rPr/>
      </w:pPr>
      <w:r>
        <w:rPr>
          <w:b/>
          <w:sz w:val="17"/>
          <w:bdr w:val="single" w:sz="24" w:space="7" w:color="2F75B5"/>
          <w:shd w:fill="F3F7FB" w:val="clear"/>
        </w:rPr>
        <w:t>测试口径：</w:t>
      </w:r>
      <w:r>
        <w:rPr>
          <w:sz w:val="17"/>
          <w:bdr w:val="single" w:sz="24" w:space="7" w:color="2F75B5"/>
          <w:shd w:fill="F3F7FB" w:val="clear"/>
        </w:rPr>
        <w:t xml:space="preserve">每个 </w:t>
      </w:r>
      <w:r>
        <w:rPr>
          <w:sz w:val="17"/>
          <w:bdr w:val="single" w:sz="24" w:space="7" w:color="2F75B5"/>
          <w:shd w:fill="F3F7FB" w:val="clear"/>
        </w:rPr>
        <w:t xml:space="preserve">MPI rank </w:t>
      </w:r>
      <w:r>
        <w:rPr>
          <w:sz w:val="17"/>
          <w:bdr w:val="single" w:sz="24" w:space="7" w:color="2F75B5"/>
          <w:shd w:fill="F3F7FB" w:val="clear"/>
        </w:rPr>
        <w:t>固定为单线程（</w:t>
      </w:r>
      <w:r>
        <w:rPr>
          <w:sz w:val="17"/>
          <w:bdr w:val="single" w:sz="24" w:space="7" w:color="2F75B5"/>
          <w:shd w:fill="F3F7FB" w:val="clear"/>
        </w:rPr>
        <w:t>OMP/BLAS=1</w:t>
      </w:r>
      <w:r>
        <w:rPr>
          <w:sz w:val="17"/>
          <w:bdr w:val="single" w:sz="24" w:space="7" w:color="2F75B5"/>
          <w:shd w:fill="F3F7FB" w:val="clear"/>
        </w:rPr>
        <w:t xml:space="preserve">）。计时使用生产求解器 </w:t>
      </w:r>
      <w:r>
        <w:rPr>
          <w:rStyle w:val="SourceText"/>
          <w:sz w:val="17"/>
          <w:bdr w:val="single" w:sz="24" w:space="7" w:color="2F75B5"/>
          <w:shd w:fill="F3F7FB" w:val="clear"/>
        </w:rPr>
        <w:t>Solver::Run()</w:t>
      </w:r>
      <w:r>
        <w:rPr>
          <w:sz w:val="17"/>
          <w:bdr w:val="single" w:sz="24" w:space="7" w:color="2F75B5"/>
          <w:shd w:fill="F3F7FB" w:val="clear"/>
        </w:rPr>
        <w:t xml:space="preserve">，从 </w:t>
      </w:r>
      <w:r>
        <w:rPr>
          <w:sz w:val="17"/>
          <w:bdr w:val="single" w:sz="24" w:space="7" w:color="2F75B5"/>
          <w:shd w:fill="F3F7FB" w:val="clear"/>
        </w:rPr>
        <w:t xml:space="preserve">t=0 </w:t>
      </w:r>
      <w:r>
        <w:rPr>
          <w:sz w:val="17"/>
          <w:bdr w:val="single" w:sz="24" w:space="7" w:color="2F75B5"/>
          <w:shd w:fill="F3F7FB" w:val="clear"/>
        </w:rPr>
        <w:t xml:space="preserve">以 </w:t>
      </w:r>
      <w:r>
        <w:rPr>
          <w:sz w:val="17"/>
          <w:bdr w:val="single" w:sz="24" w:space="7" w:color="2F75B5"/>
          <w:shd w:fill="F3F7FB" w:val="clear"/>
        </w:rPr>
        <w:t xml:space="preserve">CFL=0.5 </w:t>
      </w:r>
      <w:r>
        <w:rPr>
          <w:sz w:val="17"/>
          <w:bdr w:val="single" w:sz="24" w:space="7" w:color="2F75B5"/>
          <w:shd w:fill="F3F7FB" w:val="clear"/>
        </w:rPr>
        <w:t xml:space="preserve">的 </w:t>
      </w:r>
      <w:r>
        <w:rPr>
          <w:sz w:val="17"/>
          <w:bdr w:val="single" w:sz="24" w:space="7" w:color="2F75B5"/>
          <w:shd w:fill="F3F7FB" w:val="clear"/>
        </w:rPr>
        <w:t xml:space="preserve">SSPRK3 </w:t>
      </w:r>
      <w:r>
        <w:rPr>
          <w:sz w:val="17"/>
          <w:bdr w:val="single" w:sz="24" w:space="7" w:color="2F75B5"/>
          <w:shd w:fill="F3F7FB" w:val="clear"/>
        </w:rPr>
        <w:t xml:space="preserve">真正推进至 </w:t>
      </w:r>
      <w:r>
        <w:rPr>
          <w:sz w:val="17"/>
          <w:bdr w:val="single" w:sz="24" w:space="7" w:color="2F75B5"/>
          <w:shd w:fill="F3F7FB" w:val="clear"/>
        </w:rPr>
        <w:t>t=2</w:t>
      </w:r>
      <w:r>
        <w:rPr>
          <w:sz w:val="17"/>
          <w:bdr w:val="single" w:sz="24" w:space="7" w:color="2F75B5"/>
          <w:shd w:fill="F3F7FB" w:val="clear"/>
        </w:rPr>
        <w:t xml:space="preserve">；每一物理步包含 </w:t>
      </w:r>
      <w:r>
        <w:rPr>
          <w:sz w:val="17"/>
          <w:bdr w:val="single" w:sz="24" w:space="7" w:color="2F75B5"/>
          <w:shd w:fill="F3F7FB" w:val="clear"/>
        </w:rPr>
        <w:t xml:space="preserve">3 </w:t>
      </w:r>
      <w:r>
        <w:rPr>
          <w:sz w:val="17"/>
          <w:bdr w:val="single" w:sz="24" w:space="7" w:color="2F75B5"/>
          <w:shd w:fill="F3F7FB" w:val="clear"/>
        </w:rPr>
        <w:t xml:space="preserve">次 </w:t>
      </w:r>
      <w:r>
        <w:rPr>
          <w:sz w:val="17"/>
          <w:bdr w:val="single" w:sz="24" w:space="7" w:color="2F75B5"/>
          <w:shd w:fill="F3F7FB" w:val="clear"/>
        </w:rPr>
        <w:t>RHS</w:t>
      </w:r>
      <w:r>
        <w:rPr>
          <w:sz w:val="17"/>
          <w:bdr w:val="single" w:sz="24" w:space="7" w:color="2F75B5"/>
          <w:shd w:fill="F3F7FB" w:val="clear"/>
        </w:rPr>
        <w:t xml:space="preserve">、状态更新和 </w:t>
      </w:r>
      <w:r>
        <w:rPr>
          <w:sz w:val="17"/>
          <w:bdr w:val="single" w:sz="24" w:space="7" w:color="2F75B5"/>
          <w:shd w:fill="F3F7FB" w:val="clear"/>
        </w:rPr>
        <w:t xml:space="preserve">CFL </w:t>
      </w:r>
      <w:r>
        <w:rPr>
          <w:sz w:val="17"/>
          <w:bdr w:val="single" w:sz="24" w:space="7" w:color="2F75B5"/>
          <w:shd w:fill="F3F7FB" w:val="clear"/>
        </w:rPr>
        <w:t>步长选择。为排除文件系统影响，</w:t>
      </w:r>
      <w:r>
        <w:rPr>
          <w:sz w:val="17"/>
          <w:bdr w:val="single" w:sz="24" w:space="7" w:color="2F75B5"/>
          <w:shd w:fill="F3F7FB" w:val="clear"/>
        </w:rPr>
        <w:t>VTK</w:t>
      </w:r>
      <w:r>
        <w:rPr>
          <w:sz w:val="17"/>
          <w:bdr w:val="single" w:sz="24" w:space="7" w:color="2F75B5"/>
          <w:shd w:fill="F3F7FB" w:val="clear"/>
        </w:rPr>
        <w:t>、重启和诊断文件输出均关闭。下表“推进时间”不含初始化；</w:t>
      </w:r>
      <w:r>
        <w:rPr>
          <w:sz w:val="17"/>
          <w:bdr w:val="single" w:sz="24" w:space="7" w:color="2F75B5"/>
          <w:shd w:fill="F3F7FB" w:val="clear"/>
        </w:rPr>
        <w:t>PSS</w:t>
      </w:r>
      <w:r>
        <w:rPr>
          <w:sz w:val="17"/>
          <w:bdr w:val="single" w:sz="24" w:space="7" w:color="2F75B5"/>
          <w:shd w:fill="F3F7FB" w:val="clear"/>
        </w:rPr>
        <w:t>、</w:t>
      </w:r>
      <w:r>
        <w:rPr>
          <w:sz w:val="17"/>
          <w:bdr w:val="single" w:sz="24" w:space="7" w:color="2F75B5"/>
          <w:shd w:fill="F3F7FB" w:val="clear"/>
        </w:rPr>
        <w:t>RSS</w:t>
      </w:r>
      <w:r>
        <w:rPr>
          <w:sz w:val="17"/>
          <w:bdr w:val="single" w:sz="24" w:space="7" w:color="2F75B5"/>
          <w:shd w:fill="F3F7FB" w:val="clear"/>
        </w:rPr>
        <w:t>、</w:t>
      </w:r>
      <w:r>
        <w:rPr>
          <w:sz w:val="17"/>
          <w:bdr w:val="single" w:sz="24" w:space="7" w:color="2F75B5"/>
          <w:shd w:fill="F3F7FB" w:val="clear"/>
        </w:rPr>
        <w:t xml:space="preserve">HWM </w:t>
      </w:r>
      <w:r>
        <w:rPr>
          <w:sz w:val="17"/>
          <w:bdr w:val="single" w:sz="24" w:space="7" w:color="2F75B5"/>
          <w:shd w:fill="F3F7FB" w:val="clear"/>
        </w:rPr>
        <w:t xml:space="preserve">均为该行所有 </w:t>
      </w:r>
      <w:r>
        <w:rPr>
          <w:sz w:val="17"/>
          <w:bdr w:val="single" w:sz="24" w:space="7" w:color="2F75B5"/>
          <w:shd w:fill="F3F7FB" w:val="clear"/>
        </w:rPr>
        <w:t xml:space="preserve">rank </w:t>
      </w:r>
      <w:r>
        <w:rPr>
          <w:sz w:val="17"/>
          <w:bdr w:val="single" w:sz="24" w:space="7" w:color="2F75B5"/>
          <w:shd w:fill="F3F7FB" w:val="clear"/>
        </w:rPr>
        <w:t>的聚合值。</w:t>
      </w:r>
      <w:r>
        <w:rPr>
          <w:sz w:val="17"/>
          <w:bdr w:val="single" w:sz="24" w:space="7" w:color="2F75B5"/>
          <w:shd w:fill="F3F7FB" w:val="clear"/>
        </w:rPr>
        <w:t xml:space="preserve">IV10–IV40 </w:t>
      </w:r>
      <w:r>
        <w:rPr>
          <w:sz w:val="17"/>
          <w:bdr w:val="single" w:sz="24" w:space="7" w:color="2F75B5"/>
          <w:shd w:fill="F3F7FB" w:val="clear"/>
        </w:rPr>
        <w:t xml:space="preserve">使用 </w:t>
      </w:r>
      <w:r>
        <w:rPr>
          <w:sz w:val="17"/>
          <w:bdr w:val="single" w:sz="24" w:space="7" w:color="2F75B5"/>
          <w:shd w:fill="F3F7FB" w:val="clear"/>
        </w:rPr>
        <w:t>8 rank</w:t>
      </w:r>
      <w:r>
        <w:rPr>
          <w:sz w:val="17"/>
          <w:bdr w:val="single" w:sz="24" w:space="7" w:color="2F75B5"/>
          <w:shd w:fill="F3F7FB" w:val="clear"/>
        </w:rPr>
        <w:t xml:space="preserve">；为使 </w:t>
      </w:r>
      <w:r>
        <w:rPr>
          <w:sz w:val="17"/>
          <w:bdr w:val="single" w:sz="24" w:space="7" w:color="2F75B5"/>
          <w:shd w:fill="F3F7FB" w:val="clear"/>
        </w:rPr>
        <w:t xml:space="preserve">IV80 </w:t>
      </w:r>
      <w:r>
        <w:rPr>
          <w:sz w:val="17"/>
          <w:bdr w:val="single" w:sz="24" w:space="7" w:color="2F75B5"/>
          <w:shd w:fill="F3F7FB" w:val="clear"/>
        </w:rPr>
        <w:t>完整实测不超额订阅，</w:t>
      </w:r>
      <w:r>
        <w:rPr>
          <w:sz w:val="17"/>
          <w:bdr w:val="single" w:sz="24" w:space="7" w:color="2F75B5"/>
          <w:shd w:fill="F3F7FB" w:val="clear"/>
        </w:rPr>
        <w:t xml:space="preserve">IV80 </w:t>
      </w:r>
      <w:r>
        <w:rPr>
          <w:sz w:val="17"/>
          <w:bdr w:val="single" w:sz="24" w:space="7" w:color="2F75B5"/>
          <w:shd w:fill="F3F7FB" w:val="clear"/>
        </w:rPr>
        <w:t xml:space="preserve">使用 </w:t>
      </w:r>
      <w:r>
        <w:rPr>
          <w:sz w:val="17"/>
          <w:bdr w:val="single" w:sz="24" w:space="7" w:color="2F75B5"/>
          <w:shd w:fill="F3F7FB" w:val="clear"/>
        </w:rPr>
        <w:t>32 rank</w:t>
      </w:r>
      <w:r>
        <w:rPr>
          <w:sz w:val="17"/>
          <w:bdr w:val="single" w:sz="24" w:space="7" w:color="2F75B5"/>
          <w:shd w:fill="F3F7FB" w:val="clear"/>
        </w:rPr>
        <w:t xml:space="preserve">；每一行中两种算法的 </w:t>
      </w:r>
      <w:r>
        <w:rPr>
          <w:sz w:val="17"/>
          <w:bdr w:val="single" w:sz="24" w:space="7" w:color="2F75B5"/>
          <w:shd w:fill="F3F7FB" w:val="clear"/>
        </w:rPr>
        <w:t xml:space="preserve">MPI </w:t>
      </w:r>
      <w:r>
        <w:rPr>
          <w:sz w:val="17"/>
          <w:bdr w:val="single" w:sz="24" w:space="7" w:color="2F75B5"/>
          <w:shd w:fill="F3F7FB" w:val="clear"/>
        </w:rPr>
        <w:t>数完全相同。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实际推进计算时间</w:t>
      </w:r>
    </w:p>
    <w:tbl>
      <w:tblPr>
        <w:tblW w:w="89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601"/>
        <w:gridCol w:w="946"/>
        <w:gridCol w:w="856"/>
        <w:gridCol w:w="946"/>
        <w:gridCol w:w="946"/>
        <w:gridCol w:w="1471"/>
        <w:gridCol w:w="1471"/>
        <w:gridCol w:w="1186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网格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MPI</w:t>
              <w:br/>
              <w:t>rank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原始节点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体单元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高效法</w:t>
            </w:r>
            <w:r>
              <w:rPr/>
              <w:br/>
            </w:r>
            <w:r>
              <w:rPr/>
              <w:t>物理步数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传统法</w:t>
            </w:r>
            <w:r>
              <w:rPr/>
              <w:br/>
            </w:r>
            <w:r>
              <w:rPr/>
              <w:t>物理步数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高效法</w:t>
            </w:r>
            <w:r>
              <w:rPr/>
              <w:br/>
              <w:t xml:space="preserve">0→2 </w:t>
            </w:r>
            <w:r>
              <w:rPr/>
              <w:t>时间（</w:t>
            </w:r>
            <w:r>
              <w:rPr/>
              <w:t>s</w:t>
            </w:r>
            <w:r>
              <w:rPr/>
              <w:t>）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传统法</w:t>
            </w:r>
            <w:r>
              <w:rPr/>
              <w:br/>
              <w:t xml:space="preserve">0→2 </w:t>
            </w:r>
            <w:r>
              <w:rPr/>
              <w:t>时间（</w:t>
            </w:r>
            <w:r>
              <w:rPr/>
              <w:t>s</w:t>
            </w:r>
            <w:r>
              <w:rPr/>
              <w:t>）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</w:t>
            </w:r>
            <w:r>
              <w:rPr/>
              <w:t>÷</w:t>
            </w:r>
            <w:r>
              <w:rPr/>
              <w:t>高效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IV10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8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745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1,024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60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60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0.149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1.347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9.07×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IV20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8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4,752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7,792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124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124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1.878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17.995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9.58×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IV40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8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33,694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60,832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266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266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29.041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803.744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27.68×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IV80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32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252,780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479,936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548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548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176.211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1260.767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7.15×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初始化与端到端时间</w:t>
      </w:r>
    </w:p>
    <w:tbl>
      <w:tblPr>
        <w:tblW w:w="65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1231"/>
        <w:gridCol w:w="1231"/>
        <w:gridCol w:w="1726"/>
        <w:gridCol w:w="1771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网格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高效法</w:t>
            </w:r>
            <w:r>
              <w:rPr/>
              <w:br/>
            </w:r>
            <w:r>
              <w:rPr/>
              <w:t>初始化（</w:t>
            </w:r>
            <w:r>
              <w:rPr/>
              <w:t>s</w:t>
            </w:r>
            <w:r>
              <w:rPr/>
              <w:t>）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传统法</w:t>
            </w:r>
            <w:r>
              <w:rPr/>
              <w:br/>
            </w:r>
            <w:r>
              <w:rPr/>
              <w:t>初始化（</w:t>
            </w:r>
            <w:r>
              <w:rPr/>
              <w:t>s</w:t>
            </w:r>
            <w:r>
              <w:rPr/>
              <w:t>）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高效法</w:t>
            </w:r>
            <w:r>
              <w:rPr/>
              <w:br/>
            </w:r>
            <w:r>
              <w:rPr/>
              <w:t>初始化</w:t>
            </w:r>
            <w:r>
              <w:rPr/>
              <w:t>+</w:t>
            </w:r>
            <w:r>
              <w:rPr/>
              <w:t>推进（</w:t>
            </w:r>
            <w:r>
              <w:rPr/>
              <w:t>s</w:t>
            </w:r>
            <w:r>
              <w:rPr/>
              <w:t>）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传统法</w:t>
            </w:r>
            <w:r>
              <w:rPr/>
              <w:br/>
            </w:r>
            <w:r>
              <w:rPr/>
              <w:t>初始化</w:t>
            </w:r>
            <w:r>
              <w:rPr/>
              <w:t>+</w:t>
            </w:r>
            <w:r>
              <w:rPr/>
              <w:t>推进（</w:t>
            </w:r>
            <w:r>
              <w:rPr/>
              <w:t>s</w:t>
            </w:r>
            <w:r>
              <w:rPr/>
              <w:t>）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IV10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0.123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0.120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0.272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1.467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IV20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0.341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0.347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2.219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18.343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IV40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2.272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2.125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31.313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805.869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IV80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8.944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8.496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185.155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1269.263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 xml:space="preserve">内存占用（聚合 </w:t>
      </w:r>
      <w:r>
        <w:rPr/>
        <w:t>PSS</w:t>
      </w:r>
      <w:r>
        <w:rPr/>
        <w:t>）</w:t>
      </w:r>
    </w:p>
    <w:tbl>
      <w:tblPr>
        <w:tblW w:w="87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1726"/>
        <w:gridCol w:w="1726"/>
        <w:gridCol w:w="1246"/>
        <w:gridCol w:w="1246"/>
        <w:gridCol w:w="1261"/>
        <w:gridCol w:w="991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网格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高效法：初始化后</w:t>
            </w:r>
            <w:r>
              <w:rPr/>
              <w:br/>
              <w:t>PSS</w:t>
            </w:r>
            <w:r>
              <w:rPr/>
              <w:t>（</w:t>
            </w:r>
            <w:r>
              <w:rPr/>
              <w:t>GiB</w:t>
            </w:r>
            <w:r>
              <w:rPr/>
              <w:t>）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传统法：初始化后</w:t>
            </w:r>
            <w:r>
              <w:rPr/>
              <w:br/>
              <w:t>PSS</w:t>
            </w:r>
            <w:r>
              <w:rPr/>
              <w:t>（</w:t>
            </w:r>
            <w:r>
              <w:rPr/>
              <w:t>GiB</w:t>
            </w:r>
            <w:r>
              <w:rPr/>
              <w:t>）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高效法：</w:t>
            </w:r>
            <w:r>
              <w:rPr/>
              <w:t>t=2</w:t>
              <w:br/>
              <w:t>PSS</w:t>
            </w:r>
            <w:r>
              <w:rPr/>
              <w:t>（</w:t>
            </w:r>
            <w:r>
              <w:rPr/>
              <w:t>GiB</w:t>
            </w:r>
            <w:r>
              <w:rPr/>
              <w:t>）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传统法：</w:t>
            </w:r>
            <w:r>
              <w:rPr/>
              <w:t>t=2</w:t>
              <w:br/>
              <w:t>PSS</w:t>
            </w:r>
            <w:r>
              <w:rPr/>
              <w:t>（</w:t>
            </w:r>
            <w:r>
              <w:rPr/>
              <w:t>GiB</w:t>
            </w:r>
            <w:r>
              <w:rPr/>
              <w:t>）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 xml:space="preserve">t=2 PSS </w:t>
            </w:r>
            <w:r>
              <w:rPr/>
              <w:t>节省</w:t>
            </w:r>
            <w:r>
              <w:rPr/>
              <w:br/>
            </w:r>
            <w:r>
              <w:rPr/>
              <w:t>（</w:t>
            </w:r>
            <w:r>
              <w:rPr/>
              <w:t>GiB</w:t>
            </w:r>
            <w:r>
              <w:rPr/>
              <w:t>）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 xml:space="preserve">PSS </w:t>
            </w:r>
            <w:r>
              <w:rPr/>
              <w:t>节省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0.364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0.385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0.365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0.386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0.021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5.40%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IV20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0.472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0.621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0.473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0.622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0.149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23.96%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IV40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1.196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2.331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1.197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2.258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1.061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47.00%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IV80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11.552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20.027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11.557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20.033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8.476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42.31%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推进过程内存监控</w:t>
      </w:r>
    </w:p>
    <w:tbl>
      <w:tblPr>
        <w:tblW w:w="86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2206"/>
        <w:gridCol w:w="2206"/>
        <w:gridCol w:w="1786"/>
        <w:gridCol w:w="1831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网格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高效法：初始化后→</w:t>
            </w:r>
            <w:r>
              <w:rPr/>
              <w:t>t=2</w:t>
              <w:br/>
              <w:t xml:space="preserve">PSS </w:t>
            </w:r>
            <w:r>
              <w:rPr/>
              <w:t>增量（</w:t>
            </w:r>
            <w:r>
              <w:rPr/>
              <w:t>MiB</w:t>
            </w:r>
            <w:r>
              <w:rPr/>
              <w:t>）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传统法：初始化后→</w:t>
            </w:r>
            <w:r>
              <w:rPr/>
              <w:t>t=2</w:t>
              <w:br/>
              <w:t xml:space="preserve">PSS </w:t>
            </w:r>
            <w:r>
              <w:rPr/>
              <w:t>增量（</w:t>
            </w:r>
            <w:r>
              <w:rPr/>
              <w:t>MiB</w:t>
            </w:r>
            <w:r>
              <w:rPr/>
              <w:t>）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高效法：</w:t>
            </w:r>
            <w:r>
              <w:rPr/>
              <w:t>t=2</w:t>
              <w:br/>
            </w:r>
            <w:r>
              <w:rPr/>
              <w:t xml:space="preserve">聚合 </w:t>
            </w:r>
            <w:r>
              <w:rPr/>
              <w:t>HWM</w:t>
            </w:r>
            <w:r>
              <w:rPr/>
              <w:t>（</w:t>
            </w:r>
            <w:r>
              <w:rPr/>
              <w:t>GiB</w:t>
            </w:r>
            <w:r>
              <w:rPr/>
              <w:t>）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before="60" w:after="60"/>
              <w:jc w:val="center"/>
              <w:rPr/>
            </w:pPr>
            <w:r>
              <w:rPr/>
              <w:t>传统法：</w:t>
            </w:r>
            <w:r>
              <w:rPr/>
              <w:t>t=2</w:t>
              <w:br/>
            </w:r>
            <w:r>
              <w:rPr/>
              <w:t xml:space="preserve">聚合 </w:t>
            </w:r>
            <w:r>
              <w:rPr/>
              <w:t>HWM</w:t>
            </w:r>
            <w:r>
              <w:rPr/>
              <w:t>（</w:t>
            </w:r>
            <w:r>
              <w:rPr/>
              <w:t>GiB</w:t>
            </w:r>
            <w:r>
              <w:rPr/>
              <w:t>）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IV10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0.649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0.970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1.230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1.245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IV20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0.904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1.153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1.350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1.480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IV40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1.138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-75.061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2.116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3.210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IV80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5.654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5.886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17.739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jc w:val="start"/>
              <w:rPr/>
            </w:pPr>
            <w:r>
              <w:rPr/>
              <w:t>26.264</w:t>
            </w:r>
          </w:p>
        </w:tc>
      </w:tr>
    </w:tbl>
    <w:p>
      <w:pPr>
        <w:pStyle w:val="BodyText"/>
        <w:bidi w:val="0"/>
        <w:spacing w:before="120" w:after="120"/>
        <w:ind w:hanging="0" w:start="120" w:end="120"/>
        <w:jc w:val="start"/>
        <w:rPr>
          <w:bdr w:val="single" w:sz="24" w:space="7" w:color="2F75B5"/>
          <w:shd w:fill="F3F7FB" w:val="clear"/>
        </w:rPr>
      </w:pPr>
      <w:r>
        <w:rPr>
          <w:b/>
          <w:sz w:val="17"/>
          <w:bdr w:val="single" w:sz="24" w:space="7" w:color="2F75B5"/>
          <w:shd w:fill="F3F7FB" w:val="clear"/>
        </w:rPr>
        <w:t>说明：</w:t>
      </w:r>
      <w:r>
        <w:rPr>
          <w:sz w:val="17"/>
          <w:bdr w:val="single" w:sz="24" w:space="7" w:color="2F75B5"/>
          <w:shd w:fill="F3F7FB" w:val="clear"/>
        </w:rPr>
        <w:t xml:space="preserve">高效法与传统法依据各自空间离散的 </w:t>
      </w:r>
      <w:r>
        <w:rPr>
          <w:sz w:val="17"/>
          <w:bdr w:val="single" w:sz="24" w:space="7" w:color="2F75B5"/>
          <w:shd w:fill="F3F7FB" w:val="clear"/>
        </w:rPr>
        <w:t xml:space="preserve">CFL </w:t>
      </w:r>
      <w:r>
        <w:rPr>
          <w:sz w:val="17"/>
          <w:bdr w:val="single" w:sz="24" w:space="7" w:color="2F75B5"/>
          <w:shd w:fill="F3F7FB" w:val="clear"/>
        </w:rPr>
        <w:t xml:space="preserve">谱半径选择步长，故个别网格的物理步数可相差 </w:t>
      </w:r>
      <w:r>
        <w:rPr>
          <w:sz w:val="17"/>
          <w:bdr w:val="single" w:sz="24" w:space="7" w:color="2F75B5"/>
          <w:shd w:fill="F3F7FB" w:val="clear"/>
        </w:rPr>
        <w:t>1</w:t>
      </w:r>
      <w:r>
        <w:rPr>
          <w:sz w:val="17"/>
          <w:bdr w:val="single" w:sz="24" w:space="7" w:color="2F75B5"/>
          <w:shd w:fill="F3F7FB" w:val="clear"/>
        </w:rPr>
        <w:t xml:space="preserve">；两者均精确到达 </w:t>
      </w:r>
      <w:r>
        <w:rPr>
          <w:sz w:val="17"/>
          <w:bdr w:val="single" w:sz="24" w:space="7" w:color="2F75B5"/>
          <w:shd w:fill="F3F7FB" w:val="clear"/>
        </w:rPr>
        <w:t>t=2</w:t>
      </w:r>
      <w:r>
        <w:rPr>
          <w:sz w:val="17"/>
          <w:bdr w:val="single" w:sz="24" w:space="7" w:color="2F75B5"/>
          <w:shd w:fill="F3F7FB" w:val="clear"/>
        </w:rPr>
        <w:t>。</w:t>
      </w:r>
      <w:r>
        <w:rPr>
          <w:sz w:val="17"/>
          <w:bdr w:val="single" w:sz="24" w:space="7" w:color="2F75B5"/>
          <w:shd w:fill="F3F7FB" w:val="clear"/>
        </w:rPr>
        <w:t xml:space="preserve">HWM </w:t>
      </w:r>
      <w:r>
        <w:rPr>
          <w:sz w:val="17"/>
          <w:bdr w:val="single" w:sz="24" w:space="7" w:color="2F75B5"/>
          <w:shd w:fill="F3F7FB" w:val="clear"/>
        </w:rPr>
        <w:t xml:space="preserve">是每个 </w:t>
      </w:r>
      <w:r>
        <w:rPr>
          <w:sz w:val="17"/>
          <w:bdr w:val="single" w:sz="24" w:space="7" w:color="2F75B5"/>
          <w:shd w:fill="F3F7FB" w:val="clear"/>
        </w:rPr>
        <w:t xml:space="preserve">rank </w:t>
      </w:r>
      <w:r>
        <w:rPr>
          <w:sz w:val="17"/>
          <w:bdr w:val="single" w:sz="24" w:space="7" w:color="2F75B5"/>
          <w:shd w:fill="F3F7FB" w:val="clear"/>
        </w:rPr>
        <w:t xml:space="preserve">在整个进程生命周期的峰值 </w:t>
      </w:r>
      <w:r>
        <w:rPr>
          <w:sz w:val="17"/>
          <w:bdr w:val="single" w:sz="24" w:space="7" w:color="2F75B5"/>
          <w:shd w:fill="F3F7FB" w:val="clear"/>
        </w:rPr>
        <w:t xml:space="preserve">RSS </w:t>
      </w:r>
      <w:r>
        <w:rPr>
          <w:sz w:val="17"/>
          <w:bdr w:val="single" w:sz="24" w:space="7" w:color="2F75B5"/>
          <w:shd w:fill="F3F7FB" w:val="clear"/>
        </w:rPr>
        <w:t>之和；</w:t>
      </w:r>
      <w:r>
        <w:rPr>
          <w:sz w:val="17"/>
          <w:bdr w:val="single" w:sz="24" w:space="7" w:color="2F75B5"/>
          <w:shd w:fill="F3F7FB" w:val="clear"/>
        </w:rPr>
        <w:t xml:space="preserve">PSS </w:t>
      </w:r>
      <w:r>
        <w:rPr>
          <w:sz w:val="17"/>
          <w:bdr w:val="single" w:sz="24" w:space="7" w:color="2F75B5"/>
          <w:shd w:fill="F3F7FB" w:val="clear"/>
        </w:rPr>
        <w:t>是结束时实际分摊物理内存，适合比较共享库页后的真实占用。</w:t>
      </w:r>
    </w:p>
    <w:p>
      <w:pPr>
        <w:pStyle w:val="BodyTextsource"/>
        <w:bidi w:val="0"/>
        <w:spacing w:before="60" w:after="60"/>
        <w:jc w:val="start"/>
        <w:rPr/>
      </w:pPr>
      <w:r>
        <w:rPr/>
        <w:t>原始数据：</w:t>
      </w:r>
      <w:r>
        <w:rPr/>
        <w:t>/tmp/ncfv-t2-original-np8-20260913/*.json</w:t>
      </w:r>
      <w:r>
        <w:rPr/>
        <w:t>；生成日期：</w:t>
      </w:r>
      <w:r>
        <w:rPr/>
        <w:t>2026-09-13</w:t>
      </w:r>
      <w:r>
        <w:rPr/>
        <w:t>。</w:t>
      </w:r>
    </w:p>
    <w:sectPr>
      <w:type w:val="nextPage"/>
      <w:pgSz w:orient="landscape" w:w="16838" w:h="11906"/>
      <w:pgMar w:left="794" w:right="794" w:gutter="0" w:header="0" w:top="709" w:footer="0" w:bottom="709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3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F293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jc w:val="center"/>
    </w:pPr>
    <w:rPr>
      <w:rFonts w:ascii="Noto Sans" w:hAnsi="Noto Sans"/>
      <w:b/>
      <w:bCs/>
      <w:color w:val="17365D"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9" w:space="2" w:color="2F75B5"/>
      </w:pBdr>
      <w:spacing w:before="260" w:after="80"/>
      <w:ind w:start="260" w:end="260"/>
      <w:outlineLvl w:val="1"/>
    </w:pPr>
    <w:rPr>
      <w:rFonts w:ascii="Liberation Serif" w:hAnsi="Liberation Serif" w:eastAsia="Noto Serif CJK SC" w:cs="Noto Sans Devanagari"/>
      <w:b/>
      <w:bCs/>
      <w:color w:val="17365D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60" w:after="60"/>
      <w:ind w:start="60" w:end="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>
      <w:spacing w:before="60" w:after="180"/>
      <w:jc w:val="center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17365D" w:val="clear"/>
      <w:jc w:val="center"/>
    </w:pPr>
    <w:rPr>
      <w:b/>
      <w:bCs/>
      <w:color w:val="FFFFFF"/>
    </w:rPr>
  </w:style>
  <w:style w:type="paragraph" w:styleId="BodyTextsource">
    <w:name w:val="Body Text.source"/>
    <w:basedOn w:val="BodyText"/>
    <w:qFormat/>
    <w:pPr/>
    <w:rPr>
      <w:color w:val="6B7280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NCFV 推进至 t=2 的时间与内存对比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