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00"/>
        <w:rPr/>
      </w:pPr>
      <w:r>
        <w:rPr/>
        <w:t xml:space="preserve">NCFV </w:t>
      </w:r>
      <w:r>
        <w:rPr/>
        <w:t>修改后不同网格积分初始化阶段单线程计时</w:t>
      </w:r>
    </w:p>
    <w:p>
      <w:pPr>
        <w:pStyle w:val="BodyText"/>
        <w:bidi w:val="0"/>
        <w:spacing w:before="80" w:after="180"/>
        <w:ind w:hanging="0" w:start="0" w:end="0"/>
        <w:jc w:val="center"/>
        <w:rPr>
          <w:color w:val="52606D"/>
        </w:rPr>
      </w:pPr>
      <w:r>
        <w:rPr>
          <w:color w:val="52606D"/>
        </w:rPr>
        <w:t>Prism6 / Hex8 / Tet4</w:t>
      </w:r>
      <w:r>
        <w:rPr>
          <w:color w:val="52606D"/>
        </w:rPr>
        <w:t>；</w:t>
      </w:r>
      <w:r>
        <w:rPr>
          <w:color w:val="52606D"/>
        </w:rPr>
        <w:t>IV10 / 20 / 40 / 80</w:t>
      </w:r>
      <w:r>
        <w:rPr>
          <w:color w:val="52606D"/>
        </w:rPr>
        <w:t xml:space="preserve">；生成时间 </w:t>
      </w:r>
      <w:r>
        <w:rPr>
          <w:color w:val="52606D"/>
        </w:rPr>
        <w:t>2026-09-14 17:48 CST</w:t>
      </w:r>
    </w:p>
    <w:p>
      <w:pPr>
        <w:pStyle w:val="BodyText"/>
        <w:bidi w:val="0"/>
        <w:spacing w:before="140" w:after="140"/>
        <w:ind w:hanging="0" w:start="140" w:end="140"/>
        <w:jc w:val="start"/>
        <w:rPr>
          <w:bdr w:val="single" w:sz="24" w:space="9" w:color="3478A8"/>
          <w:shd w:fill="EEF5FB" w:val="clear"/>
        </w:rPr>
      </w:pPr>
      <w:r>
        <w:rPr>
          <w:b/>
          <w:bdr w:val="single" w:sz="24" w:space="9" w:color="3478A8"/>
          <w:shd w:fill="EEF5FB" w:val="clear"/>
        </w:rPr>
        <w:t>资源与计时口径：</w:t>
      </w:r>
      <w:r>
        <w:rPr>
          <w:bdr w:val="single" w:sz="24" w:space="9" w:color="3478A8"/>
          <w:shd w:fill="EEF5FB" w:val="clear"/>
        </w:rPr>
        <w:t xml:space="preserve">全部使用 </w:t>
      </w:r>
      <w:r>
        <w:rPr>
          <w:bdr w:val="single" w:sz="24" w:space="9" w:color="3478A8"/>
          <w:shd w:fill="EEF5FB" w:val="clear"/>
        </w:rPr>
        <w:t xml:space="preserve">1 </w:t>
      </w:r>
      <w:r>
        <w:rPr>
          <w:bdr w:val="single" w:sz="24" w:space="9" w:color="3478A8"/>
          <w:shd w:fill="EEF5FB" w:val="clear"/>
        </w:rPr>
        <w:t xml:space="preserve">个 </w:t>
      </w:r>
      <w:r>
        <w:rPr>
          <w:bdr w:val="single" w:sz="24" w:space="9" w:color="3478A8"/>
          <w:shd w:fill="EEF5FB" w:val="clear"/>
        </w:rPr>
        <w:t xml:space="preserve">MPI </w:t>
      </w:r>
      <w:r>
        <w:rPr>
          <w:bdr w:val="single" w:sz="24" w:space="9" w:color="3478A8"/>
          <w:shd w:fill="EEF5FB" w:val="clear"/>
        </w:rPr>
        <w:t xml:space="preserve">秩，每秩 </w:t>
      </w:r>
      <w:r>
        <w:rPr>
          <w:bdr w:val="single" w:sz="24" w:space="9" w:color="3478A8"/>
          <w:shd w:fill="EEF5FB" w:val="clear"/>
        </w:rPr>
        <w:t xml:space="preserve">OMP/BLAS </w:t>
      </w:r>
      <w:r>
        <w:rPr>
          <w:bdr w:val="single" w:sz="24" w:space="9" w:color="3478A8"/>
          <w:shd w:fill="EEF5FB" w:val="clear"/>
        </w:rPr>
        <w:t xml:space="preserve">线程数均为 </w:t>
      </w:r>
      <w:r>
        <w:rPr>
          <w:bdr w:val="single" w:sz="24" w:space="9" w:color="3478A8"/>
          <w:shd w:fill="EEF5FB" w:val="clear"/>
        </w:rPr>
        <w:t>1</w:t>
      </w:r>
      <w:r>
        <w:rPr>
          <w:bdr w:val="single" w:sz="24" w:space="9" w:color="3478A8"/>
          <w:shd w:fill="EEF5FB" w:val="clear"/>
        </w:rPr>
        <w:t>。高效方法仅统计微体恢复权、融合后的内部微面节点权、边界积分权以及恢复权归一化。传统方法仅统计参考求积规则创建、物理高斯点与物理积分权生成和存储。计时器自身开销按本进程实测值扣除。</w:t>
      </w:r>
    </w:p>
    <w:p>
      <w:pPr>
        <w:pStyle w:val="BodyText"/>
        <w:bidi w:val="0"/>
        <w:jc w:val="start"/>
        <w:rPr/>
      </w:pPr>
      <w:r>
        <w:rPr>
          <w:b/>
        </w:rPr>
        <w:t>明确排除：</w:t>
      </w:r>
      <w:r>
        <w:rPr/>
        <w:t>网格读取、拓扑构造、两种方法共有的几何量、传统体积分矩累积、重构矩阵、字段分配、流场初始化以及任何时间推进。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高效方法初始化权时间（秒）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8"/>
        <w:gridCol w:w="1265"/>
        <w:gridCol w:w="918"/>
        <w:gridCol w:w="1372"/>
        <w:gridCol w:w="1612"/>
        <w:gridCol w:w="1799"/>
        <w:gridCol w:w="1799"/>
        <w:gridCol w:w="1372"/>
        <w:gridCol w:w="2093"/>
        <w:gridCol w:w="1532"/>
      </w:tblGrid>
      <w:tr>
        <w:trPr>
          <w:tblHeader w:val="true"/>
        </w:trPr>
        <w:tc>
          <w:tcPr>
            <w:tcW w:w="123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网格族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节点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体单元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微体恢复权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内部微面权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边界权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恢复权归一化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合计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745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1,024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0.01731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0.02079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0.00054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0.00003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0.03866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4,752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0.1338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0.1588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0.00223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0.00021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0.2950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33,694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60,832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1.0494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1.2024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0.00928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0.00159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2.2628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252,780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479,936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8.0191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9.6822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0.03815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0.01231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17.752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0.02916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0.04339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0.00081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0.00007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0.07343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0.2399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0.4200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0.00377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0.00055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0.6642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64,000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1.8699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2.8367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0.01435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0.00424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4.7252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512,000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16.387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23.697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0.06322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0.03346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40.181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0.04338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0.04794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0.00078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0.00004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0.09214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48,000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0.3497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0.3929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0.00363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0.00030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0.7465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384,000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2.7762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3.2001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0.01724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0.00235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5.9959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3,072,000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22.234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24.420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0.09112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0.01877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46.765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传统方法高斯点与积分权时间（秒）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7"/>
        <w:gridCol w:w="1060"/>
        <w:gridCol w:w="769"/>
        <w:gridCol w:w="1149"/>
        <w:gridCol w:w="1350"/>
        <w:gridCol w:w="1596"/>
        <w:gridCol w:w="2088"/>
        <w:gridCol w:w="2088"/>
        <w:gridCol w:w="1216"/>
        <w:gridCol w:w="2647"/>
      </w:tblGrid>
      <w:tr>
        <w:trPr>
          <w:tblHeader w:val="true"/>
        </w:trPr>
        <w:tc>
          <w:tcPr>
            <w:tcW w:w="103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网格族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节点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体单元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内部面高斯点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边界面高斯点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合计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</w:t>
            </w:r>
            <w:r>
              <w:rPr/>
              <w:t>/</w:t>
            </w:r>
            <w:r>
              <w:rPr/>
              <w:t>传统初始化成本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745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1,024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0.01357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0.00482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0.00088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0.01927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2.01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4,752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7,792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0.09875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0.03962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0.00365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0.1420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2.08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33,694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60,832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0.6886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0.2872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0.01502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0.9908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2.28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252,780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479,936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5.2270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2.2893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0.06907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7.5854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2.34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0.02020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0.00602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0.00085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0.02707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2.71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0.1413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0.04814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0.00409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0.1936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3.43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64,000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1.1259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0.4038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0.01499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1.5447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3.06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512,000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8.4804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3.0923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0.06975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11.642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3.45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0.04726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0.02073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0.00180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0.06979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1.32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48,000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0.3629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0.1670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0.00945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0.5394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1.38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384,000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2.8035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1.3337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0.04899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4.1862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1.43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3,072,000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26.215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11.542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0.2755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38.033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1.23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初始化数据规模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683"/>
        <w:gridCol w:w="1993"/>
        <w:gridCol w:w="2211"/>
        <w:gridCol w:w="1556"/>
        <w:gridCol w:w="1556"/>
        <w:gridCol w:w="1775"/>
        <w:gridCol w:w="2211"/>
        <w:gridCol w:w="2053"/>
      </w:tblGrid>
      <w:tr>
        <w:trPr>
          <w:tblHeader w:val="true"/>
        </w:trPr>
        <w:tc>
          <w:tcPr>
            <w:tcW w:w="96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高效：微体恢复权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高效：内部面全部权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高效：边界权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高效：权合计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传统：体高斯点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传统：全部面高斯点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传统：高斯点合计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12,441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140,720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14,336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167,497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516,096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136,704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652,800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88,250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1,022,900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55,544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1,166,694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3,927,168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942,384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4,869,552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663,852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7,795,820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218,792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8,678,464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30,659,328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6,966,480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37,625,808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5,138,478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60,751,060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867,608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66,757,146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241,887,744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53,404,464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295,292,208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29,791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288,300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337,291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672,000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172,800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844,800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226,981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2,232,600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76,800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2,536,381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5,376,000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1,267,200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6,643,200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1,771,561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17,569,200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307,200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19,647,961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43,008,000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9,676,800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52,684,800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13,997,521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139,394,400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1,228,800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154,620,721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344,064,000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75,571,200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419,635,200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17,191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268,300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21,600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307,091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2,016,000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475,200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2,491,200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128,581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2,072,600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86,400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2,287,581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16,128,000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3,628,800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19,756,800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993,961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16,289,200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345,600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17,628,761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129,024,000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28,339,200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157,363,200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7,815,121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129,154,400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1,382,400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138,351,921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1,032,192,000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223,948,800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1,256,140,800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结论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在 </w:t>
      </w:r>
      <w:r>
        <w:rPr/>
        <w:t xml:space="preserve">12 </w:t>
      </w:r>
      <w:r>
        <w:rPr/>
        <w:t>个网格上，高效方法的权初始化成本为传统高斯点</w:t>
      </w:r>
      <w:r>
        <w:rPr/>
        <w:t>/</w:t>
      </w:r>
      <w:r>
        <w:rPr/>
        <w:t xml:space="preserve">积分权初始化的 </w:t>
      </w:r>
      <w:r>
        <w:rPr/>
        <w:t xml:space="preserve">1.23–3.45 </w:t>
      </w:r>
      <w:r>
        <w:rPr/>
        <w:t xml:space="preserve">倍。这里比较的只是一次性预计算，不是时间推进成本。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修改后的高效方法把同一节点的左右状态权、左右通量矩阵权和梯度积分权融合进一个有序短向量条目，使用二分查找原位累加，不再为每次合并构造多个 </w:t>
      </w:r>
      <w:r>
        <w:rPr/>
        <w:t>std::map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start="789"/>
        <w:jc w:val="start"/>
        <w:rPr/>
      </w:pPr>
      <w:r>
        <w:rPr/>
        <w:t>初始化付出的权构造成本在后续每个时间步重复使用；传统方法则在时间推进的每次通量</w:t>
      </w:r>
      <w:r>
        <w:rPr/>
        <w:t>/</w:t>
      </w:r>
      <w:r>
        <w:rPr/>
        <w:t xml:space="preserve">体积分过程中持续遍历大量高斯点。因此不能用本表推断高效方法的整体求解速度更慢。 </w:t>
      </w:r>
    </w:p>
    <w:p>
      <w:pPr>
        <w:pStyle w:val="BodyTextsmall"/>
        <w:bidi w:val="0"/>
        <w:spacing w:before="80" w:after="80"/>
        <w:jc w:val="start"/>
        <w:rPr/>
      </w:pPr>
      <w:r>
        <w:rPr/>
        <w:t xml:space="preserve">每个组合独立运行 </w:t>
      </w:r>
      <w:r>
        <w:rPr/>
        <w:t xml:space="preserve">1 </w:t>
      </w:r>
      <w:r>
        <w:rPr/>
        <w:t xml:space="preserve">次。时间采用方法专属代码块的累计墙钟，并扣除 </w:t>
      </w:r>
      <w:r>
        <w:rPr/>
        <w:t xml:space="preserve">100 </w:t>
      </w:r>
      <w:r>
        <w:rPr/>
        <w:t>万次空计时对测得的单次计时器开销。</w:t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17"/>
      <w:szCs w:val="17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00"/>
      <w:jc w:val="center"/>
    </w:pPr>
    <w:rPr>
      <w:rFonts w:ascii="Noto Sans" w:hAnsi="Noto Sans"/>
      <w:b/>
      <w:bCs/>
      <w:color w:val="17365D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FBAD0"/>
      </w:pBdr>
      <w:spacing w:before="240" w:after="100"/>
      <w:ind w:start="240" w:end="240"/>
      <w:outlineLvl w:val="1"/>
    </w:pPr>
    <w:rPr>
      <w:rFonts w:ascii="Liberation Serif" w:hAnsi="Liberation Serif" w:eastAsia="Noto Serif CJK SC" w:cs="Noto Sans Devanagari"/>
      <w:b/>
      <w:bCs/>
      <w:color w:val="17365D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center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8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BEAF5" w:val="clear"/>
      <w:jc w:val="center"/>
    </w:pPr>
    <w:rPr>
      <w:b/>
      <w:bCs/>
      <w:color w:val="17365D"/>
    </w:rPr>
  </w:style>
  <w:style w:type="paragraph" w:styleId="BodyTextsmall">
    <w:name w:val="Body Text.small"/>
    <w:basedOn w:val="BodyText"/>
    <w:qFormat/>
    <w:pPr/>
    <w:rPr>
      <w:color w:val="52606D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NCFV 修改后积分初始化阶段单线程计时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