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A</w:t>
      </w:r>
      <w:r>
        <w:t xml:space="preserve"> </w:t>
      </w:r>
      <w:r>
        <w:t xml:space="preserve">differential-integration</w:t>
      </w:r>
      <w:r>
        <w:t xml:space="preserve"> </w:t>
      </w:r>
      <w:r>
        <w:t xml:space="preserve">node-centred</w:t>
      </w:r>
      <w:r>
        <w:t xml:space="preserve"> </w:t>
      </w:r>
      <w:r>
        <w:t xml:space="preserve">finite-volume</w:t>
      </w:r>
      <w:r>
        <w:t xml:space="preserve"> </w:t>
      </w:r>
      <w:r>
        <w:t xml:space="preserve">framework</w:t>
      </w:r>
      <w:r>
        <w:t xml:space="preserve"> </w:t>
      </w:r>
      <w:r>
        <w:t xml:space="preserve">for</w:t>
      </w:r>
      <w:r>
        <w:t xml:space="preserve"> </w:t>
      </w:r>
      <w:r>
        <w:t xml:space="preserve">efficient</w:t>
      </w:r>
      <w:r>
        <w:t xml:space="preserve"> </w:t>
      </w:r>
      <w:r>
        <w:t xml:space="preserve">high-order</w:t>
      </w:r>
      <w:r>
        <w:t xml:space="preserve"> </w:t>
      </w:r>
      <w:r>
        <w:t xml:space="preserve">reconstruction</w:t>
      </w:r>
      <w:r>
        <w:t xml:space="preserve"> </w:t>
      </w:r>
      <w:r>
        <w:t xml:space="preserve">on</w:t>
      </w:r>
      <w:r>
        <w:t xml:space="preserve"> </w:t>
      </w:r>
      <w:r>
        <w:t xml:space="preserve">unstructured</w:t>
      </w:r>
      <w:r>
        <w:t xml:space="preserve"> </w:t>
      </w:r>
      <w:r>
        <w:t xml:space="preserve">meshes</w:t>
      </w:r>
    </w:p>
    <w:p>
      <w:pPr>
        <w:pStyle w:val="Author"/>
      </w:pPr>
      <w:r>
        <w:t xml:space="preserve">Author</w:t>
      </w:r>
      <w:r>
        <w:t xml:space="preserve"> </w:t>
      </w:r>
      <w:r>
        <w:t xml:space="preserve">names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inserted</w:t>
      </w:r>
    </w:p>
    <w:p>
      <w:pPr>
        <w:pStyle w:val="Date"/>
      </w:pPr>
      <w:r>
        <w:t xml:space="preserve">15 September 2026</w:t>
      </w:r>
    </w:p>
    <w:bookmarkStart w:id="20" w:name="abstract"/>
    <w:p>
      <w:pPr>
        <w:pStyle w:val="Heading1"/>
      </w:pPr>
      <w:r>
        <w:t xml:space="preserve">Abstract</w:t>
      </w:r>
    </w:p>
    <w:p>
      <w:pPr>
        <w:pStyle w:val="FirstParagraph"/>
      </w:pPr>
      <w:r>
        <w:t xml:space="preserve">High-order node-centred finite-volume methods incur substantial costs from quadratic coefficient storage and repeated nonlinear flux evaluation. Building on the author’s master’s thesis, this article develops a differential-integration formulation for unstructured dual meshes. A complete quadratic least-squares problem supplies second-order gradients, while exact simplex moments and total-differential identities replace Hessian contractions by precomputed gradient weights. The resulting operators recover nodal point values from cell averages and integrate physical fluxes without production Gauss points. A chain-rule error analysis establishes the required flux-gradient accuracy under smoothness and bounded-stencil assumptions. A frozen macroface dissipation matrix reduces the Riemann work to one call per primal edge, and an edge-owner MPI protocol shares one conservative flux. The thesis cost model predicts 39.8% fewer floating-point storage entries and a 10.31-fold reduction in multiplications for a representative tetrahedral stencil. Its reported one-dimensional and extruded-vortex tests show near-third-order convergence. Independently available DNDSR paired runs yield marching-time ratios of 4.94–17.36 and aggregate proportional-set-size reductions of 15.6–66.5%. The repository’s present component-wise vortex convergence sequence does not yet establish stable third-order accuracy. The formulation therefore identifies both the measured efficiency gains and the remaining accuracy conditions associated with nonplanar dissipation, viscous closure and boundary integration.</w:t>
      </w:r>
    </w:p>
    <w:p>
      <w:pPr>
        <w:pStyle w:val="BodyText"/>
      </w:pPr>
      <w:r>
        <w:rPr>
          <w:bCs/>
          <w:b/>
        </w:rPr>
        <w:t xml:space="preserve">Keywords:</w:t>
      </w:r>
      <w:r>
        <w:t xml:space="preserve"> </w:t>
      </w:r>
      <w:r>
        <w:t xml:space="preserve">high-order finite volume; node-centred discretization; unstructured mesh; quadrature-free integration;</w:t>
      </w:r>
      <w:r>
        <w:t xml:space="preserve"> </w:t>
      </w:r>
      <m:oMath>
        <m:r>
          <m:t>k</m:t>
        </m:r>
      </m:oMath>
      <w:r>
        <w:t xml:space="preserve">-exact reconstruction; MPI</w:t>
      </w:r>
    </w:p>
    <w:bookmarkEnd w:id="20"/>
    <w:bookmarkStart w:id="21" w:name="sec:intro"/>
    <w:p>
      <w:pPr>
        <w:pStyle w:val="Heading1"/>
      </w:pPr>
      <w:r>
        <w:t xml:space="preserve">1. Introduction</w:t>
      </w:r>
    </w:p>
    <w:p>
      <w:pPr>
        <w:pStyle w:val="FirstParagraph"/>
      </w:pPr>
      <w:r>
        <w:t xml:space="preserve">High-order methods remain attractive for vortex-dominated and wave-propagation flows because reduced numerical dissipation can lower the resolution required for a prescribed error. Their use on unstructured meshes is nevertheless limited by reconstruction, flux integration and data-management costs</w:t>
      </w:r>
      <w:r>
        <w:t xml:space="preserve"> </w:t>
      </w:r>
      <w:r>
        <w:t xml:space="preserve">[1]</w:t>
      </w:r>
      <w:r>
        <w:t xml:space="preserve">. The classical</w:t>
      </w:r>
      <w:r>
        <w:t xml:space="preserve"> </w:t>
      </w:r>
      <m:oMath>
        <m:r>
          <m:t>k</m:t>
        </m:r>
      </m:oMath>
      <w:r>
        <w:t xml:space="preserve">-exact finite-volume route reconstructs a polynomial from cell averages and evaluates interface fluxes by sufficiently accurate quadrature</w:t>
      </w:r>
      <w:r>
        <w:t xml:space="preserve"> </w:t>
      </w:r>
      <w:r>
        <w:t xml:space="preserve">[2,3]</w:t>
      </w:r>
      <w:r>
        <w:t xml:space="preserve">. The reconstruction stencil, the number of face quadrature points and the cost of nonlinear Riemann evaluations all increase with order and dimension.</w:t>
      </w:r>
    </w:p>
    <w:p>
      <w:pPr>
        <w:pStyle w:val="BodyText"/>
      </w:pPr>
      <w:r>
        <w:t xml:space="preserve">Several research directions address parts of this cost. Quadrature-free ADER finite-volume schemes use analytic integration and a local space–time procedure</w:t>
      </w:r>
      <w:r>
        <w:t xml:space="preserve"> </w:t>
      </w:r>
      <w:r>
        <w:t xml:space="preserve">[4]</w:t>
      </w:r>
      <w:r>
        <w:t xml:space="preserve">; spectral-volume formulations have reconstructed a polynomial flux and analytically integrated it over subfaces</w:t>
      </w:r>
      <w:r>
        <w:t xml:space="preserve"> </w:t>
      </w:r>
      <w:r>
        <w:t xml:space="preserve">[5,6]</w:t>
      </w:r>
      <w:r>
        <w:t xml:space="preserve">. Compact and multiple-correction methods instead seek to control stencil growth or reuse local differential information</w:t>
      </w:r>
      <w:r>
        <w:t xml:space="preserve"> </w:t>
      </w:r>
      <w:r>
        <w:t xml:space="preserve">[7,8]</w:t>
      </w:r>
      <w:r>
        <w:t xml:space="preserve">. Vertex-centred median-dual formulations are of particular interest because their edge loop can reduce the number of control volumes and flux interfaces, and their high-order</w:t>
      </w:r>
      <w:r>
        <w:t xml:space="preserve"> </w:t>
      </w:r>
      <m:oMath>
        <m:r>
          <m:t>k</m:t>
        </m:r>
      </m:oMath>
      <w:r>
        <w:t xml:space="preserve">-exact variants have been incorporated in production solvers</w:t>
      </w:r>
      <w:r>
        <w:t xml:space="preserve"> </w:t>
      </w:r>
      <w:r>
        <w:t xml:space="preserve">[9,10]</w:t>
      </w:r>
      <w:r>
        <w:t xml:space="preserve">. These approaches establish that high-order reconstruction, analytic integration and edge-based data layouts are complementary rather than competing design choices.</w:t>
      </w:r>
    </w:p>
    <w:p>
      <w:pPr>
        <w:pStyle w:val="BodyText"/>
      </w:pPr>
      <w:r>
        <w:t xml:space="preserve">The immediate methodological basis is Ma’s master’s thesis on an efficient third-order vertex-centred finite-volume method</w:t>
      </w:r>
      <w:r>
        <w:t xml:space="preserve"> </w:t>
      </w:r>
      <w:r>
        <w:t xml:space="preserve">[11]</w:t>
      </w:r>
      <w:r>
        <w:t xml:space="preserve">, especially Chapters 3–5. It combines gradient-only reconstruction, differential integration and a macroface dissipation approximation. The present article develops that formulation in a unified notation, makes its consistency assumptions explicit, and relates its analytical cost model and reported tests to the independently available DNDSR implementation evidence. The underlying gradient-only method is therefore attributed to the thesis.</w:t>
      </w:r>
    </w:p>
    <w:p>
      <w:pPr>
        <w:pStyle w:val="BodyText"/>
      </w:pPr>
      <w:r>
        <w:t xml:space="preserve">Two antecedents clarify this construction. Liu and Vinokur</w:t>
      </w:r>
      <w:r>
        <w:t xml:space="preserve"> </w:t>
      </w:r>
      <w:r>
        <w:t xml:space="preserve">[12]</w:t>
      </w:r>
      <w:r>
        <w:t xml:space="preserve"> </w:t>
      </w:r>
      <w:r>
        <w:t xml:space="preserve">derive polynomial moments on segments, triangles and tetrahedra, supplying the geometric integration identities. Nishikawa and White</w:t>
      </w:r>
      <w:r>
        <w:t xml:space="preserve"> </w:t>
      </w:r>
      <w:r>
        <w:t xml:space="preserve">[13]</w:t>
      </w:r>
      <w:r>
        <w:t xml:space="preserve"> </w:t>
      </w:r>
      <w:r>
        <w:t xml:space="preserve">eliminate stored second derivatives in a third-order cell-centred tetrahedral scheme using nodal gradients and projected derivatives. Their solution unknowns are point values at cell centres. Here the evolved unknowns are dual-cell averages associated with primal vertices: the anchor generally differs from the integration-simplex centroid, so first moments and the full quadratic moment contraction must be retained. This difference explains the separate point-recovery operator and the general weights developed below.</w:t>
      </w:r>
    </w:p>
    <w:p>
      <w:pPr>
        <w:pStyle w:val="BodyText"/>
      </w:pPr>
      <w:r>
        <w:t xml:space="preserve">The central observation is that a complete quadratic reconstruction determines a consistent first derivative, while its second-derivative coefficients need not be stored or evaluated at run time. For each micro-simplex of a dual control volume or dual interface, the Hessian contribution can be written as a precomputed linear combination of gradients at its construction vertices. The resulting formulation has the following components:</w:t>
      </w:r>
    </w:p>
    <w:p>
      <w:pPr>
        <w:numPr>
          <w:ilvl w:val="0"/>
          <w:numId w:val="1001"/>
        </w:numPr>
      </w:pPr>
      <w:r>
        <w:t xml:space="preserve">a mixed-element node-centred dual geometry whose internal macrofaces correspond one-to-one with primal edges;</w:t>
      </w:r>
    </w:p>
    <w:p>
      <w:pPr>
        <w:numPr>
          <w:ilvl w:val="0"/>
          <w:numId w:val="1001"/>
        </w:numPr>
      </w:pPr>
      <w:r>
        <w:t xml:space="preserve">a differential-integration identity that replaces quadratic coefficient storage and production Gauss-point storage with gradient weights;</w:t>
      </w:r>
    </w:p>
    <w:p>
      <w:pPr>
        <w:numPr>
          <w:ilvl w:val="0"/>
          <w:numId w:val="1001"/>
        </w:numPr>
      </w:pPr>
      <w:r>
        <w:t xml:space="preserve">a macroface flux formulation and edge-owner MPI protocol that preserve a unique numerical flux across partition boundaries; and</w:t>
      </w:r>
    </w:p>
    <w:p>
      <w:pPr>
        <w:numPr>
          <w:ilvl w:val="0"/>
          <w:numId w:val="1001"/>
        </w:numPr>
      </w:pPr>
      <w:r>
        <w:t xml:space="preserve">a paired comparison against a conventional quadratic-plus-quadrature path, reporting both performance/memory measurements and the present limits of the accuracy evidence.</w:t>
      </w:r>
    </w:p>
    <w:p>
      <w:pPr>
        <w:pStyle w:val="FirstParagraph"/>
      </w:pPr>
      <w:r>
        <w:t xml:space="preserve">The aim is not to relabel every analytic integral as</w:t>
      </w:r>
      <w:r>
        <w:t xml:space="preserve"> </w:t>
      </w:r>
      <w:r>
        <w:t xml:space="preserve">“</w:t>
      </w:r>
      <w:r>
        <w:t xml:space="preserve">quadrature free.</w:t>
      </w:r>
      <w:r>
        <w:t xml:space="preserve">”</w:t>
      </w:r>
      <w:r>
        <w:t xml:space="preserve"> </w:t>
      </w:r>
      <w:r>
        <w:t xml:space="preserve">In this paper the term means that the</w:t>
      </w:r>
      <w:r>
        <w:t xml:space="preserve"> </w:t>
      </w:r>
      <w:r>
        <w:rPr>
          <w:iCs/>
          <w:i/>
        </w:rPr>
        <w:t xml:space="preserve">production</w:t>
      </w:r>
      <w:r>
        <w:t xml:space="preserve"> </w:t>
      </w:r>
      <w:r>
        <w:t xml:space="preserve">differential path creates, stores and traverses no volume, internal-face or boundary-face quadrature points. High-order quadrature is still used as an independent diagnostic and as the conventional baseline. This distinction is essential when numerical accuracy and resource use are discussed together.</w:t>
      </w:r>
    </w:p>
    <w:bookmarkEnd w:id="21"/>
    <w:bookmarkStart w:id="32" w:name="sec:method"/>
    <w:p>
      <w:pPr>
        <w:pStyle w:val="Heading1"/>
      </w:pPr>
      <w:r>
        <w:t xml:space="preserve">2. Node-centred finite-volume formulation</w:t>
      </w:r>
    </w:p>
    <w:bookmarkStart w:id="22" w:name="Xe254f14a079d5c8d33b740adc6a67a9250c6bd4"/>
    <w:p>
      <w:pPr>
        <w:pStyle w:val="Heading2"/>
      </w:pPr>
      <w:r>
        <w:t xml:space="preserve">2.1 Dual control volumes and semi-discrete system</w:t>
      </w:r>
    </w:p>
    <w:p>
      <w:pPr>
        <w:pStyle w:val="FirstParagraph"/>
      </w:pPr>
      <w:r>
        <w:t xml:space="preserve">Let</w:t>
      </w:r>
      <w:r>
        <w:t xml:space="preserve"> </w:t>
      </w:r>
      <m:oMath>
        <m:sSub>
          <m:e>
            <m:r>
              <m:t>Ω</m:t>
            </m:r>
          </m:e>
          <m:sub>
            <m:r>
              <m:t>i</m:t>
            </m:r>
          </m:sub>
        </m:sSub>
      </m:oMath>
      <w:r>
        <w:t xml:space="preserve"> </w:t>
      </w:r>
      <w:r>
        <w:t xml:space="preserve">be the dual control volume associated with primal node</w:t>
      </w:r>
      <w:r>
        <w:t xml:space="preserve"> </w:t>
      </w:r>
      <m:oMath>
        <m:r>
          <m:t>i</m:t>
        </m:r>
      </m:oMath>
      <w:r>
        <w:t xml:space="preserve">, let</w:t>
      </w:r>
      <w:r>
        <w:t xml:space="preserve"> </w:t>
      </w:r>
      <m:oMath>
        <m:sSub>
          <m:e>
            <m:r>
              <m:t>V</m:t>
            </m:r>
          </m:e>
          <m:sub>
            <m:r>
              <m:t>i</m:t>
            </m:r>
          </m:sub>
        </m:sSub>
        <m:r>
          <m:rPr>
            <m:sty m:val="p"/>
          </m:rPr>
          <m:t>=</m:t>
        </m:r>
        <m:d>
          <m:dPr>
            <m:begChr m:val="|"/>
            <m:endChr m:val="|"/>
            <m:sepChr m:val=""/>
            <m:grow/>
          </m:dPr>
          <m:e>
            <m:sSub>
              <m:e>
                <m:r>
                  <m:t>Ω</m:t>
                </m:r>
              </m:e>
              <m:sub>
                <m:r>
                  <m:t>i</m:t>
                </m:r>
              </m:sub>
            </m:sSub>
          </m:e>
        </m:d>
      </m:oMath>
      <w:r>
        <w:t xml:space="preserve">, and let</w:t>
      </w:r>
      <w:r>
        <w:t xml:space="preserve"> </w:t>
      </w:r>
      <m:oMath>
        <m:r>
          <m:t>e</m:t>
        </m:r>
        <m:r>
          <m:rPr>
            <m:sty m:val="p"/>
          </m:rPr>
          <m:t>=</m:t>
        </m:r>
        <m:d>
          <m:dPr>
            <m:begChr m:val="("/>
            <m:endChr m:val=")"/>
            <m:sepChr m:val=""/>
            <m:grow/>
          </m:dPr>
          <m:e>
            <m:r>
              <m:t>i</m:t>
            </m:r>
            <m:r>
              <m:rPr>
                <m:sty m:val="p"/>
              </m:rPr>
              <m:t>,</m:t>
            </m:r>
            <m:r>
              <m:t>j</m:t>
            </m:r>
          </m:e>
        </m:d>
      </m:oMath>
      <w:r>
        <w:t xml:space="preserve"> </w:t>
      </w:r>
      <w:r>
        <w:t xml:space="preserve">denote a primal edge. The dual macroface</w:t>
      </w:r>
      <w:r>
        <w:t xml:space="preserve"> </w:t>
      </w:r>
      <m:oMath>
        <m:sSub>
          <m:e>
            <m:r>
              <m:t>Γ</m:t>
            </m:r>
          </m:e>
          <m:sub>
            <m:r>
              <m:t>e</m:t>
            </m:r>
          </m:sub>
        </m:sSub>
      </m:oMath>
      <w:r>
        <w:t xml:space="preserve"> </w:t>
      </w:r>
      <w:r>
        <w:t xml:space="preserve">separates the two endpoint control volumes. In two dimensions, each cell–edge–node chain produces a micro-triangle formed by the node, edge midpoint and arithmetic mean of cell vertices. In three dimensions, each cell–face–edge–node chain similarly produces a micro-tetrahedron using the node, edge midpoint, arithmetic face point and arithmetic cell point. These are definitions of the dual geometry; for non-simplex primal cells the arithmetic points are not substituted by area or volume centroids.</w:t>
      </w:r>
    </w:p>
    <w:p>
      <w:pPr>
        <w:pStyle w:val="BodyText"/>
      </w:pPr>
      <w:r>
        <w:t xml:space="preserve">For the inviscid conservation law</w:t>
      </w:r>
      <w:r>
        <w:t xml:space="preserve"> </w:t>
      </w:r>
      <m:oMath>
        <m:sSub>
          <m:e>
            <m:r>
              <m:rPr>
                <m:sty m:val="p"/>
              </m:rPr>
              <m:t>∂</m:t>
            </m:r>
          </m:e>
          <m:sub>
            <m:r>
              <m:t>t</m:t>
            </m:r>
          </m:sub>
        </m:sSub>
        <m:r>
          <m:rPr>
            <m:sty m:val="b"/>
          </m:rPr>
          <m:t>U</m:t>
        </m:r>
        <m:r>
          <m:rPr>
            <m:sty m:val="p"/>
          </m:rPr>
          <m:t>+</m:t>
        </m:r>
        <m:r>
          <m:rPr>
            <m:sty m:val="b"/>
          </m:rPr>
          <m:t>∇</m:t>
        </m:r>
        <m:r>
          <m:rPr>
            <m:sty m:val="p"/>
          </m:rPr>
          <m:t>⋅</m:t>
        </m:r>
        <m:r>
          <m:rPr>
            <m:sty m:val="b"/>
          </m:rPr>
          <m:t>F</m:t>
        </m:r>
        <m:d>
          <m:dPr>
            <m:begChr m:val="("/>
            <m:endChr m:val=")"/>
            <m:sepChr m:val=""/>
            <m:grow/>
          </m:dPr>
          <m:e>
            <m:r>
              <m:rPr>
                <m:sty m:val="b"/>
              </m:rPr>
              <m:t>U</m:t>
            </m:r>
          </m:e>
        </m:d>
        <m:r>
          <m:rPr>
            <m:sty m:val="p"/>
          </m:rPr>
          <m:t>=</m:t>
        </m:r>
        <m:r>
          <m:rPr>
            <m:sty m:val="b"/>
          </m:rPr>
          <m:t>0</m:t>
        </m:r>
      </m:oMath>
      <w:r>
        <w:t xml:space="preserve">, the node-centred semi-discrete system is</w:t>
      </w:r>
    </w:p>
    <w:p>
      <w:pPr>
        <w:pStyle w:val="BodyText"/>
      </w:pPr>
      <m:oMathPara>
        <m:oMathParaPr>
          <m:jc m:val="center"/>
        </m:oMathParaPr>
        <m:oMath>
          <m:f>
            <m:fPr>
              <m:type m:val="bar"/>
            </m:fPr>
            <m:num>
              <m:r>
                <m:rPr>
                  <m:sty m:val="p"/>
                </m:rPr>
                <m:t>d</m:t>
              </m:r>
              <m:sSub>
                <m:e>
                  <m:bar>
                    <m:barPr>
                      <m:pos m:val="top"/>
                    </m:barPr>
                    <m:e>
                      <m:r>
                        <m:rPr>
                          <m:sty m:val="b"/>
                        </m:rPr>
                        <m:t>U</m:t>
                      </m:r>
                    </m:e>
                  </m:bar>
                </m:e>
                <m:sub>
                  <m:r>
                    <m:t>i</m:t>
                  </m:r>
                </m:sub>
              </m:sSub>
            </m:num>
            <m:den>
              <m:r>
                <m:rPr>
                  <m:sty m:val="p"/>
                </m:rPr>
                <m:t>d</m:t>
              </m:r>
              <m:r>
                <m:t>t</m:t>
              </m:r>
            </m:den>
          </m:f>
          <m:r>
            <m:rPr>
              <m:sty m:val="p"/>
            </m:rPr>
            <m:t>=</m:t>
          </m:r>
          <m:r>
            <m:rPr>
              <m:sty m:val="p"/>
            </m:rPr>
            <m:t>−</m:t>
          </m:r>
          <m:f>
            <m:fPr>
              <m:type m:val="bar"/>
            </m:fPr>
            <m:num>
              <m:r>
                <m:t>1</m:t>
              </m:r>
            </m:num>
            <m:den>
              <m:sSub>
                <m:e>
                  <m:r>
                    <m:t>V</m:t>
                  </m:r>
                </m:e>
                <m:sub>
                  <m:r>
                    <m:t>i</m:t>
                  </m:r>
                </m:sub>
              </m:sSub>
            </m:den>
          </m:f>
          <m:d>
            <m:dPr>
              <m:begChr m:val="("/>
              <m:endChr m:val=")"/>
              <m:sepChr m:val=""/>
              <m:grow/>
            </m:dPr>
            <m:e>
              <m:nary>
                <m:naryPr>
                  <m:chr m:val="∑"/>
                  <m:limLoc m:val="undOvr"/>
                  <m:subHide m:val="off"/>
                  <m:supHide m:val="on"/>
                </m:naryPr>
                <m:sub>
                  <m:r>
                    <m:t>e</m:t>
                  </m:r>
                  <m:r>
                    <m:rPr>
                      <m:sty m:val="p"/>
                    </m:rPr>
                    <m:t>∈</m:t>
                  </m:r>
                  <m:r>
                    <m:rPr>
                      <m:sty m:val="p"/>
                      <m:scr m:val="script"/>
                    </m:rPr>
                    <m:t>E</m:t>
                  </m:r>
                  <m:d>
                    <m:dPr>
                      <m:begChr m:val="("/>
                      <m:endChr m:val=")"/>
                      <m:sepChr m:val=""/>
                      <m:grow/>
                    </m:dPr>
                    <m:e>
                      <m:r>
                        <m:t>i</m:t>
                      </m:r>
                    </m:e>
                  </m:d>
                </m:sub>
                <m:sup>
                  <m:r>
                    <m:t>​</m:t>
                  </m:r>
                </m:sup>
                <m:e>
                  <m:sSub>
                    <m:e>
                      <m:r>
                        <m:t>B</m:t>
                      </m:r>
                    </m:e>
                    <m:sub>
                      <m:r>
                        <m:t>i</m:t>
                      </m:r>
                      <m:r>
                        <m:t>e</m:t>
                      </m:r>
                    </m:sub>
                  </m:sSub>
                </m:e>
              </m:nary>
              <m:sSub>
                <m:e>
                  <m:acc>
                    <m:accPr>
                      <m:chr m:val="̂"/>
                    </m:accPr>
                    <m:e>
                      <m:r>
                        <m:rPr>
                          <m:sty m:val="b"/>
                        </m:rPr>
                        <m:t>Φ</m:t>
                      </m:r>
                    </m:e>
                  </m:acc>
                </m:e>
                <m:sub>
                  <m:r>
                    <m:t>e</m:t>
                  </m:r>
                </m:sub>
              </m:sSub>
              <m:r>
                <m:rPr>
                  <m:sty m:val="p"/>
                </m:rPr>
                <m:t>+</m:t>
              </m:r>
              <m:sSubSup>
                <m:e>
                  <m:acc>
                    <m:accPr>
                      <m:chr m:val="̂"/>
                    </m:accPr>
                    <m:e>
                      <m:r>
                        <m:rPr>
                          <m:sty m:val="b"/>
                        </m:rPr>
                        <m:t>Φ</m:t>
                      </m:r>
                    </m:e>
                  </m:acc>
                </m:e>
                <m:sub>
                  <m:r>
                    <m:t>i</m:t>
                  </m:r>
                </m:sub>
                <m:sup>
                  <m:r>
                    <m:rPr>
                      <m:sty m:val="p"/>
                    </m:rPr>
                    <m:t>∂</m:t>
                  </m:r>
                </m:sup>
              </m:sSubSup>
            </m:e>
          </m:d>
          <m:r>
            <m:rPr>
              <m:sty m:val="p"/>
            </m:rPr>
            <m:t>,</m:t>
          </m:r>
          <m:r>
            <m:t> </m:t>
          </m:r>
          <m:d>
            <m:dPr>
              <m:begChr m:val="("/>
              <m:endChr m:val=")"/>
              <m:sepChr m:val=""/>
              <m:grow/>
            </m:dPr>
            <m:e>
              <m:r>
                <m:t>1</m:t>
              </m:r>
            </m:e>
          </m:d>
        </m:oMath>
      </m:oMathPara>
    </w:p>
    <w:p>
      <w:pPr>
        <w:pStyle w:val="FirstParagraph"/>
      </w:pPr>
      <w:r>
        <w:t xml:space="preserve">where</w:t>
      </w:r>
      <w:r>
        <w:t xml:space="preserve"> </w:t>
      </w:r>
      <m:oMath>
        <m:sSub>
          <m:e>
            <m:bar>
              <m:barPr>
                <m:pos m:val="top"/>
              </m:barPr>
              <m:e>
                <m:r>
                  <m:rPr>
                    <m:sty m:val="b"/>
                  </m:rPr>
                  <m:t>U</m:t>
                </m:r>
              </m:e>
            </m:bar>
          </m:e>
          <m:sub>
            <m:r>
              <m:t>i</m:t>
            </m:r>
          </m:sub>
        </m:sSub>
      </m:oMath>
      <w:r>
        <w:t xml:space="preserve"> </w:t>
      </w:r>
      <w:r>
        <w:t xml:space="preserve">is a dual-cell mean,</w:t>
      </w:r>
      <w:r>
        <w:t xml:space="preserve"> </w:t>
      </w:r>
      <m:oMath>
        <m:sSub>
          <m:e>
            <m:r>
              <m:t>B</m:t>
            </m:r>
          </m:e>
          <m:sub>
            <m:r>
              <m:t>i</m:t>
            </m:r>
            <m:r>
              <m:t>e</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is the oriented node–edge incidence,</w:t>
      </w:r>
      <w:r>
        <w:t xml:space="preserve"> </w:t>
      </w:r>
      <m:oMath>
        <m:sSub>
          <m:e>
            <m:acc>
              <m:accPr>
                <m:chr m:val="̂"/>
              </m:accPr>
              <m:e>
                <m:r>
                  <m:rPr>
                    <m:sty m:val="b"/>
                  </m:rPr>
                  <m:t>Φ</m:t>
                </m:r>
              </m:e>
            </m:acc>
          </m:e>
          <m:sub>
            <m:r>
              <m:t>e</m:t>
            </m:r>
          </m:sub>
        </m:sSub>
      </m:oMath>
      <w:r>
        <w:t xml:space="preserve"> </w:t>
      </w:r>
      <w:r>
        <w:t xml:space="preserve">is the area-integrated numerical flux, and</w:t>
      </w:r>
      <w:r>
        <w:t xml:space="preserve"> </w:t>
      </w:r>
      <m:oMath>
        <m:sSubSup>
          <m:e>
            <m:acc>
              <m:accPr>
                <m:chr m:val="̂"/>
              </m:accPr>
              <m:e>
                <m:r>
                  <m:rPr>
                    <m:sty m:val="b"/>
                  </m:rPr>
                  <m:t>Φ</m:t>
                </m:r>
              </m:e>
            </m:acc>
          </m:e>
          <m:sub>
            <m:r>
              <m:t>i</m:t>
            </m:r>
          </m:sub>
          <m:sup>
            <m:r>
              <m:rPr>
                <m:sty m:val="p"/>
              </m:rPr>
              <m:t>∂</m:t>
            </m:r>
          </m:sup>
        </m:sSubSup>
      </m:oMath>
      <w:r>
        <w:t xml:space="preserve"> </w:t>
      </w:r>
      <w:r>
        <w:t xml:space="preserve">is the boundary contribution. The same topology is used by the differential and conventional paths; only the integration and storage representations differ.</w:t>
      </w:r>
    </w:p>
    <w:bookmarkEnd w:id="22"/>
    <w:bookmarkStart w:id="23" w:name="sec:recon"/>
    <w:p>
      <w:pPr>
        <w:pStyle w:val="Heading2"/>
      </w:pPr>
      <w:r>
        <w:t xml:space="preserve">2.2 Quadratic reconstruction with gradient-only runtime storage</w:t>
      </w:r>
    </w:p>
    <w:p>
      <w:pPr>
        <w:pStyle w:val="FirstParagraph"/>
      </w:pPr>
      <w:r>
        <w:t xml:space="preserve">For a scalar conservative component, write the mean-preserving polynomial as</w:t>
      </w:r>
    </w:p>
    <w:p>
      <w:pPr>
        <w:pStyle w:val="BodyText"/>
      </w:pPr>
      <m:oMathPara>
        <m:oMathParaPr>
          <m:jc m:val="center"/>
        </m:oMathParaPr>
        <m:oMath>
          <m:sSub>
            <m:e>
              <m:r>
                <m:t>p</m:t>
              </m:r>
            </m:e>
            <m:sub>
              <m:r>
                <m:t>i</m:t>
              </m:r>
            </m:sub>
          </m:sSub>
          <m:d>
            <m:dPr>
              <m:begChr m:val="("/>
              <m:endChr m:val=")"/>
              <m:sepChr m:val=""/>
              <m:grow/>
            </m:dPr>
            <m:e>
              <m:r>
                <m:rPr>
                  <m:sty m:val="b"/>
                </m:rPr>
                <m:t>x</m:t>
              </m:r>
            </m:e>
          </m:d>
          <m:r>
            <m:rPr>
              <m:sty m:val="p"/>
            </m:rPr>
            <m:t>=</m:t>
          </m:r>
          <m:sSub>
            <m:e>
              <m:acc>
                <m:accPr>
                  <m:chr m:val="‾"/>
                </m:accPr>
                <m:e>
                  <m:r>
                    <m:t>u</m:t>
                  </m:r>
                </m:e>
              </m:acc>
            </m:e>
            <m:sub>
              <m:r>
                <m:t>i</m:t>
              </m:r>
            </m:sub>
          </m:sSub>
          <m:r>
            <m:rPr>
              <m:sty m:val="p"/>
            </m:rPr>
            <m:t>+</m:t>
          </m:r>
          <m:nary>
            <m:naryPr>
              <m:chr m:val="∑"/>
              <m:limLoc m:val="undOvr"/>
              <m:subHide m:val="off"/>
              <m:supHide m:val="off"/>
            </m:naryPr>
            <m:sub>
              <m:r>
                <m:rPr>
                  <m:sty m:val="p"/>
                </m:rPr>
                <m:t>ℓ</m:t>
              </m:r>
              <m:r>
                <m:rPr>
                  <m:sty m:val="p"/>
                </m:rPr>
                <m:t>=</m:t>
              </m:r>
              <m:r>
                <m:t>1</m:t>
              </m:r>
            </m:sub>
            <m:sup>
              <m:sSub>
                <m:e>
                  <m:r>
                    <m:t>N</m:t>
                  </m:r>
                </m:e>
                <m:sub>
                  <m:r>
                    <m:t>q</m:t>
                  </m:r>
                </m:sub>
              </m:sSub>
            </m:sup>
            <m:e>
              <m:sSub>
                <m:e>
                  <m:r>
                    <m:t>a</m:t>
                  </m:r>
                </m:e>
                <m:sub>
                  <m:r>
                    <m:t>i</m:t>
                  </m:r>
                  <m:r>
                    <m:rPr>
                      <m:sty m:val="p"/>
                    </m:rPr>
                    <m:t>ℓ</m:t>
                  </m:r>
                </m:sub>
              </m:sSub>
            </m:e>
          </m:nary>
          <m:sSub>
            <m:e>
              <m:r>
                <m:t>ψ</m:t>
              </m:r>
            </m:e>
            <m:sub>
              <m:r>
                <m:t>i</m:t>
              </m:r>
              <m:r>
                <m:rPr>
                  <m:sty m:val="p"/>
                </m:rPr>
                <m:t>ℓ</m:t>
              </m:r>
            </m:sub>
          </m:sSub>
          <m:d>
            <m:dPr>
              <m:begChr m:val="("/>
              <m:endChr m:val=")"/>
              <m:sepChr m:val=""/>
              <m:grow/>
            </m:dPr>
            <m:e>
              <m:r>
                <m:rPr>
                  <m:sty m:val="b"/>
                </m:rPr>
                <m:t>x</m:t>
              </m:r>
            </m:e>
          </m:d>
          <m:r>
            <m:rPr>
              <m:sty m:val="p"/>
            </m:rPr>
            <m:t>,</m:t>
          </m:r>
          <m:r>
            <m:rPr>
              <m:nor/>
              <m:sty m:val="p"/>
            </m:rPr>
            <m:t> </m:t>
          </m:r>
          <m:sSub>
            <m:e>
              <m:r>
                <m:t>ψ</m:t>
              </m:r>
            </m:e>
            <m:sub>
              <m:r>
                <m:t>i</m:t>
              </m:r>
              <m:r>
                <m:rPr>
                  <m:sty m:val="p"/>
                </m:rPr>
                <m:t>ℓ</m:t>
              </m:r>
            </m:sub>
          </m:sSub>
          <m:r>
            <m:rPr>
              <m:sty m:val="p"/>
            </m:rPr>
            <m:t>=</m:t>
          </m:r>
          <m:sSub>
            <m:e>
              <m:r>
                <m:t>b</m:t>
              </m:r>
            </m:e>
            <m:sub>
              <m:r>
                <m:rPr>
                  <m:sty m:val="p"/>
                </m:rPr>
                <m:t>ℓ</m:t>
              </m:r>
            </m:sub>
          </m:sSub>
          <m:d>
            <m:dPr>
              <m:begChr m:val="("/>
              <m:endChr m:val=")"/>
              <m:sepChr m:val=""/>
              <m:grow/>
            </m:dPr>
            <m:e>
              <m:r>
                <m:rPr>
                  <m:sty m:val="b"/>
                </m:rPr>
                <m:t>ξ</m:t>
              </m:r>
            </m:e>
          </m:d>
          <m:r>
            <m:rPr>
              <m:sty m:val="p"/>
            </m:rPr>
            <m:t>−</m:t>
          </m:r>
          <m:f>
            <m:fPr>
              <m:type m:val="bar"/>
            </m:fPr>
            <m:num>
              <m:r>
                <m:t>1</m:t>
              </m:r>
            </m:num>
            <m:den>
              <m:sSub>
                <m:e>
                  <m:r>
                    <m:t>V</m:t>
                  </m:r>
                </m:e>
                <m:sub>
                  <m:r>
                    <m:t>i</m:t>
                  </m:r>
                </m:sub>
              </m:sSub>
            </m:den>
          </m:f>
          <m:nary>
            <m:naryPr>
              <m:chr m:val="∫"/>
              <m:limLoc m:val="subSup"/>
              <m:subHide m:val="off"/>
              <m:supHide m:val="on"/>
            </m:naryPr>
            <m:sub>
              <m:sSub>
                <m:e>
                  <m:r>
                    <m:t>Ω</m:t>
                  </m:r>
                </m:e>
                <m:sub>
                  <m:r>
                    <m:t>i</m:t>
                  </m:r>
                </m:sub>
              </m:sSub>
            </m:sub>
            <m:sup>
              <m:r>
                <m:t>​</m:t>
              </m:r>
            </m:sup>
            <m:e>
              <m:sSub>
                <m:e>
                  <m:r>
                    <m:t>b</m:t>
                  </m:r>
                </m:e>
                <m:sub>
                  <m:r>
                    <m:rPr>
                      <m:sty m:val="p"/>
                    </m:rPr>
                    <m:t>ℓ</m:t>
                  </m:r>
                </m:sub>
              </m:sSub>
            </m:e>
          </m:nary>
          <m:d>
            <m:dPr>
              <m:begChr m:val="("/>
              <m:endChr m:val=")"/>
              <m:sepChr m:val=""/>
              <m:grow/>
            </m:dPr>
            <m:e>
              <m:r>
                <m:rPr>
                  <m:sty m:val="b"/>
                </m:rPr>
                <m:t>ξ</m:t>
              </m:r>
            </m:e>
          </m:d>
          <m:r>
            <m:t> </m:t>
          </m:r>
          <m:r>
            <m:rPr>
              <m:sty m:val="p"/>
            </m:rPr>
            <m:t>d</m:t>
          </m:r>
          <m:r>
            <m:t>V</m:t>
          </m:r>
          <m:r>
            <m:rPr>
              <m:sty m:val="p"/>
            </m:rPr>
            <m:t>,</m:t>
          </m:r>
          <m:r>
            <m:rPr>
              <m:nor/>
              <m:sty m:val="p"/>
            </m:rPr>
            <m:t> </m:t>
          </m:r>
          <m:sSub>
            <m:e>
              <m:r>
                <m:t>N</m:t>
              </m:r>
            </m:e>
            <m:sub>
              <m:r>
                <m:t>q</m:t>
              </m:r>
            </m:sub>
          </m:sSub>
          <m:r>
            <m:rPr>
              <m:sty m:val="p"/>
            </m:rPr>
            <m:t>=</m:t>
          </m:r>
          <m:f>
            <m:fPr>
              <m:type m:val="bar"/>
            </m:fPr>
            <m:num>
              <m:r>
                <m:t>d</m:t>
              </m:r>
              <m:d>
                <m:dPr>
                  <m:begChr m:val="("/>
                  <m:endChr m:val=")"/>
                  <m:sepChr m:val=""/>
                  <m:grow/>
                </m:dPr>
                <m:e>
                  <m:r>
                    <m:t>d</m:t>
                  </m:r>
                  <m:r>
                    <m:rPr>
                      <m:sty m:val="p"/>
                    </m:rPr>
                    <m:t>+</m:t>
                  </m:r>
                  <m:r>
                    <m:t>3</m:t>
                  </m:r>
                </m:e>
              </m:d>
            </m:num>
            <m:den>
              <m:r>
                <m:t>2</m:t>
              </m:r>
            </m:den>
          </m:f>
          <m:r>
            <m:rPr>
              <m:sty m:val="p"/>
            </m:rPr>
            <m:t>.</m:t>
          </m:r>
          <m:r>
            <m:t> </m:t>
          </m:r>
          <m:d>
            <m:dPr>
              <m:begChr m:val="("/>
              <m:endChr m:val=")"/>
              <m:sepChr m:val=""/>
              <m:grow/>
            </m:dPr>
            <m:e>
              <m:r>
                <m:t>2</m:t>
              </m:r>
            </m:e>
          </m:d>
        </m:oMath>
      </m:oMathPara>
    </w:p>
    <w:p>
      <w:pPr>
        <w:pStyle w:val="FirstParagraph"/>
      </w:pPr>
      <w:r>
        <w:t xml:space="preserve">Thus</w:t>
      </w:r>
      <w:r>
        <w:t xml:space="preserve"> </w:t>
      </w:r>
      <m:oMath>
        <m:nary>
          <m:naryPr>
            <m:chr m:val="∫"/>
            <m:limLoc m:val="subSup"/>
            <m:subHide m:val="off"/>
            <m:supHide m:val="on"/>
          </m:naryPr>
          <m:sub>
            <m:sSub>
              <m:e>
                <m:r>
                  <m:t>Ω</m:t>
                </m:r>
              </m:e>
              <m:sub>
                <m:r>
                  <m:t>i</m:t>
                </m:r>
              </m:sub>
            </m:sSub>
          </m:sub>
          <m:sup>
            <m:r>
              <m:t>​</m:t>
            </m:r>
          </m:sup>
          <m:e>
            <m:sSub>
              <m:e>
                <m:r>
                  <m:t>p</m:t>
                </m:r>
              </m:e>
              <m:sub>
                <m:r>
                  <m:t>i</m:t>
                </m:r>
              </m:sub>
            </m:sSub>
          </m:e>
        </m:nary>
        <m:r>
          <m:t> </m:t>
        </m:r>
        <m:r>
          <m:rPr>
            <m:sty m:val="p"/>
          </m:rPr>
          <m:t>d</m:t>
        </m:r>
        <m:r>
          <m:t>V</m:t>
        </m:r>
        <m:r>
          <m:rPr>
            <m:sty m:val="p"/>
          </m:rPr>
          <m:t>=</m:t>
        </m:r>
        <m:sSub>
          <m:e>
            <m:r>
              <m:t>V</m:t>
            </m:r>
          </m:e>
          <m:sub>
            <m:r>
              <m:t>i</m:t>
            </m:r>
          </m:sub>
        </m:sSub>
        <m:sSub>
          <m:e>
            <m:acc>
              <m:accPr>
                <m:chr m:val="‾"/>
              </m:accPr>
              <m:e>
                <m:r>
                  <m:t>u</m:t>
                </m:r>
              </m:e>
            </m:acc>
          </m:e>
          <m:sub>
            <m:r>
              <m:t>i</m:t>
            </m:r>
          </m:sub>
        </m:sSub>
      </m:oMath>
      <w:r>
        <w:t xml:space="preserve"> </w:t>
      </w:r>
      <w:r>
        <w:t xml:space="preserve">for any coefficient vector. This is the zero-mean construction of thesis Section 3.2</w:t>
      </w:r>
      <w:r>
        <w:t xml:space="preserve"> </w:t>
      </w:r>
      <w:r>
        <w:t xml:space="preserve">[11]</w:t>
      </w:r>
      <w:r>
        <w:t xml:space="preserve">. Its moment subtraction is essential because a dual-cell average generally differs from the value at its anchor vertex.</w:t>
      </w:r>
    </w:p>
    <w:p>
      <w:pPr>
        <w:pStyle w:val="BodyText"/>
      </w:pPr>
      <w:r>
        <w:t xml:space="preserve">At each node, a weighted least-squares problem is constructed from neighbouring dual-cell means in a complete quadratic basis. With local scaled coordinate</w:t>
      </w:r>
      <w:r>
        <w:t xml:space="preserve"> </w:t>
      </w:r>
      <m:oMath>
        <m:r>
          <m:rPr>
            <m:sty m:val="b"/>
          </m:rPr>
          <m:t>ξ</m:t>
        </m:r>
        <m:r>
          <m:rPr>
            <m:sty m:val="p"/>
          </m:rPr>
          <m:t>=</m:t>
        </m:r>
        <m:sSubSup>
          <m:e>
            <m:r>
              <m:rPr>
                <m:sty m:val="b"/>
              </m:rPr>
              <m:t>H</m:t>
            </m:r>
          </m:e>
          <m:sub>
            <m:r>
              <m:t>i</m:t>
            </m:r>
          </m:sub>
          <m:sup>
            <m:r>
              <m:rPr>
                <m:sty m:val="p"/>
              </m:rPr>
              <m:t>−</m:t>
            </m:r>
            <m:r>
              <m:t>1</m:t>
            </m:r>
          </m:sup>
        </m:sSubSup>
        <m:d>
          <m:dPr>
            <m:begChr m:val="("/>
            <m:endChr m:val=")"/>
            <m:sepChr m:val=""/>
            <m:grow/>
          </m:dPr>
          <m:e>
            <m:r>
              <m:rPr>
                <m:sty m:val="b"/>
              </m:rPr>
              <m:t>x</m:t>
            </m:r>
            <m:r>
              <m:rPr>
                <m:sty m:val="p"/>
              </m:rPr>
              <m:t>−</m:t>
            </m:r>
            <m:sSub>
              <m:e>
                <m:r>
                  <m:rPr>
                    <m:sty m:val="b"/>
                  </m:rPr>
                  <m:t>x</m:t>
                </m:r>
              </m:e>
              <m:sub>
                <m:r>
                  <m:t>i</m:t>
                </m:r>
              </m:sub>
            </m:sSub>
          </m:e>
        </m:d>
      </m:oMath>
      <w:r>
        <w:t xml:space="preserve">,</w:t>
      </w:r>
      <w:r>
        <w:t xml:space="preserve"> </w:t>
      </w:r>
      <m:oMath>
        <m:sSub>
          <m:e>
            <m:r>
              <m:rPr>
                <m:sty m:val="b"/>
              </m:rPr>
              <m:t>H</m:t>
            </m:r>
          </m:e>
          <m:sub>
            <m:r>
              <m:t>i</m:t>
            </m:r>
          </m:sub>
        </m:sSub>
        <m:r>
          <m:rPr>
            <m:sty m:val="p"/>
          </m:rPr>
          <m:t>=</m:t>
        </m:r>
        <m:r>
          <m:rPr>
            <m:sty m:val="p"/>
          </m:rPr>
          <m:t>diag</m:t>
        </m:r>
        <m:d>
          <m:dPr>
            <m:begChr m:val="("/>
            <m:endChr m:val=")"/>
            <m:sepChr m:val=""/>
            <m:grow/>
          </m:dPr>
          <m:e>
            <m:r>
              <m:t>Δ</m:t>
            </m:r>
            <m:sSub>
              <m:e>
                <m:r>
                  <m:t>x</m:t>
                </m:r>
              </m:e>
              <m:sub>
                <m:r>
                  <m:t>i</m:t>
                </m:r>
              </m:sub>
            </m:sSub>
            <m:r>
              <m:rPr>
                <m:sty m:val="p"/>
              </m:rPr>
              <m:t>,</m:t>
            </m:r>
            <m:r>
              <m:t>Δ</m:t>
            </m:r>
            <m:sSub>
              <m:e>
                <m:r>
                  <m:t>y</m:t>
                </m:r>
              </m:e>
              <m:sub>
                <m:r>
                  <m:t>i</m:t>
                </m:r>
              </m:sub>
            </m:sSub>
            <m:r>
              <m:rPr>
                <m:sty m:val="p"/>
              </m:rPr>
              <m:t>,</m:t>
            </m:r>
            <m:r>
              <m:t>Δ</m:t>
            </m:r>
            <m:sSub>
              <m:e>
                <m:r>
                  <m:t>z</m:t>
                </m:r>
              </m:e>
              <m:sub>
                <m:r>
                  <m:t>i</m:t>
                </m:r>
              </m:sub>
            </m:sSub>
          </m:e>
        </m:d>
      </m:oMath>
      <w:r>
        <w:t xml:space="preserve"> </w:t>
      </w:r>
      <w:r>
        <w:t xml:space="preserve">contains the directional half-spans of the</w:t>
      </w:r>
      <w:r>
        <w:t xml:space="preserve"> </w:t>
      </w:r>
      <w:r>
        <w:rPr>
          <w:iCs/>
          <w:i/>
        </w:rPr>
        <w:t xml:space="preserve">full dual control volume</w:t>
      </w:r>
      <w:r>
        <w:t xml:space="preserve">. The half-spans are accumulated from micro-simplex construction vertices; they are not taken from a primal-cell bounding box or a reconstruction-stencil bounding box. On translated periodic boundaries, relative-coordinate lower/upper bounds are first united across periodic copies, which prevents the periodic-box width from contaminating a local scale.</w:t>
      </w:r>
    </w:p>
    <w:p>
      <w:pPr>
        <w:pStyle w:val="BodyText"/>
      </w:pPr>
      <w:r>
        <w:t xml:space="preserve">Let</w:t>
      </w:r>
      <w:r>
        <w:t xml:space="preserve"> </w:t>
      </w:r>
      <m:oMath>
        <m:sSub>
          <m:e>
            <m:r>
              <m:rPr>
                <m:sty m:val="b"/>
              </m:rPr>
              <m:t>b</m:t>
            </m:r>
          </m:e>
          <m:sub>
            <m:r>
              <m:t>i</m:t>
            </m:r>
            <m:r>
              <m:t>m</m:t>
            </m:r>
          </m:sub>
        </m:sSub>
      </m:oMath>
      <w:r>
        <w:t xml:space="preserve"> </w:t>
      </w:r>
      <w:r>
        <w:t xml:space="preserve">be the difference between the mean quadratic basis in neighbour control volume</w:t>
      </w:r>
      <w:r>
        <w:t xml:space="preserve"> </w:t>
      </w:r>
      <m:oMath>
        <m:r>
          <m:t>m</m:t>
        </m:r>
      </m:oMath>
      <w:r>
        <w:t xml:space="preserve"> </w:t>
      </w:r>
      <w:r>
        <w:t xml:space="preserve">and the target-control-volume mean basis. A weighted SVD supplies</w:t>
      </w:r>
    </w:p>
    <w:p>
      <w:pPr>
        <w:pStyle w:val="BodyText"/>
      </w:pPr>
      <m:oMathPara>
        <m:oMathParaPr>
          <m:jc m:val="center"/>
        </m:oMathParaPr>
        <m:oMath>
          <m:sSub>
            <m:e>
              <m:r>
                <m:rPr>
                  <m:sty m:val="b"/>
                </m:rPr>
                <m:t>a</m:t>
              </m:r>
            </m:e>
            <m:sub>
              <m:r>
                <m:t>i</m:t>
              </m:r>
            </m:sub>
          </m:sSub>
          <m:r>
            <m:rPr>
              <m:sty m:val="p"/>
            </m:rPr>
            <m:t>=</m:t>
          </m:r>
          <m:sSub>
            <m:e>
              <m:r>
                <m:rPr>
                  <m:sty m:val="b"/>
                </m:rPr>
                <m:t>P</m:t>
              </m:r>
            </m:e>
            <m:sub>
              <m:r>
                <m:t>i</m:t>
              </m:r>
            </m:sub>
          </m:sSub>
          <m:sSup>
            <m:e>
              <m:d>
                <m:dPr>
                  <m:begChr m:val="["/>
                  <m:endChr m:val="]"/>
                  <m:sepChr m:val=""/>
                  <m:grow/>
                </m:dPr>
                <m:e>
                  <m:sSub>
                    <m:e>
                      <m:bar>
                        <m:barPr>
                          <m:pos m:val="top"/>
                        </m:barPr>
                        <m:e>
                          <m:r>
                            <m:rPr>
                              <m:sty m:val="b"/>
                            </m:rPr>
                            <m:t>U</m:t>
                          </m:r>
                        </m:e>
                      </m:bar>
                    </m:e>
                    <m:sub>
                      <m:sSub>
                        <m:e>
                          <m:r>
                            <m:t>m</m:t>
                          </m:r>
                        </m:e>
                        <m:sub>
                          <m:r>
                            <m:t>1</m:t>
                          </m:r>
                        </m:sub>
                      </m:sSub>
                    </m:sub>
                  </m:sSub>
                  <m:r>
                    <m:rPr>
                      <m:sty m:val="p"/>
                    </m:rPr>
                    <m:t>−</m:t>
                  </m:r>
                  <m:sSub>
                    <m:e>
                      <m:bar>
                        <m:barPr>
                          <m:pos m:val="top"/>
                        </m:barPr>
                        <m:e>
                          <m:r>
                            <m:rPr>
                              <m:sty m:val="b"/>
                            </m:rPr>
                            <m:t>U</m:t>
                          </m:r>
                        </m:e>
                      </m:bar>
                    </m:e>
                    <m:sub>
                      <m:r>
                        <m:t>i</m:t>
                      </m:r>
                    </m:sub>
                  </m:sSub>
                  <m:r>
                    <m:rPr>
                      <m:sty m:val="p"/>
                    </m:rPr>
                    <m:t>,</m:t>
                  </m:r>
                  <m:r>
                    <m:rPr>
                      <m:sty m:val="p"/>
                    </m:rPr>
                    <m:t>…</m:t>
                  </m:r>
                  <m:r>
                    <m:rPr>
                      <m:sty m:val="p"/>
                    </m:rPr>
                    <m:t>,</m:t>
                  </m:r>
                  <m:sSub>
                    <m:e>
                      <m:bar>
                        <m:barPr>
                          <m:pos m:val="top"/>
                        </m:barPr>
                        <m:e>
                          <m:r>
                            <m:rPr>
                              <m:sty m:val="b"/>
                            </m:rPr>
                            <m:t>U</m:t>
                          </m:r>
                        </m:e>
                      </m:bar>
                    </m:e>
                    <m:sub>
                      <m:sSub>
                        <m:e>
                          <m:r>
                            <m:t>m</m:t>
                          </m:r>
                        </m:e>
                        <m:sub>
                          <m:r>
                            <m:t>s</m:t>
                          </m:r>
                        </m:sub>
                      </m:sSub>
                    </m:sub>
                  </m:sSub>
                  <m:r>
                    <m:rPr>
                      <m:sty m:val="p"/>
                    </m:rPr>
                    <m:t>−</m:t>
                  </m:r>
                  <m:sSub>
                    <m:e>
                      <m:bar>
                        <m:barPr>
                          <m:pos m:val="top"/>
                        </m:barPr>
                        <m:e>
                          <m:r>
                            <m:rPr>
                              <m:sty m:val="b"/>
                            </m:rPr>
                            <m:t>U</m:t>
                          </m:r>
                        </m:e>
                      </m:bar>
                    </m:e>
                    <m:sub>
                      <m:r>
                        <m:t>i</m:t>
                      </m:r>
                    </m:sub>
                  </m:sSub>
                </m:e>
              </m:d>
            </m:e>
            <m:sup>
              <m:r>
                <m:t>T</m:t>
              </m:r>
            </m:sup>
          </m:sSup>
          <m:r>
            <m:rPr>
              <m:sty m:val="p"/>
            </m:rPr>
            <m:t>,</m:t>
          </m:r>
          <m:r>
            <m:t> </m:t>
          </m:r>
          <m:d>
            <m:dPr>
              <m:begChr m:val="("/>
              <m:endChr m:val=")"/>
              <m:sepChr m:val=""/>
              <m:grow/>
            </m:dPr>
            <m:e>
              <m:r>
                <m:t>3</m:t>
              </m:r>
            </m:e>
          </m:d>
        </m:oMath>
      </m:oMathPara>
    </w:p>
    <w:p>
      <w:pPr>
        <w:pStyle w:val="FirstParagraph"/>
      </w:pPr>
      <w:r>
        <w:t xml:space="preserve">More explicitly, with</w:t>
      </w:r>
      <w:r>
        <w:t xml:space="preserve"> </w:t>
      </w:r>
      <m:oMath>
        <m:sSub>
          <m:e>
            <m:d>
              <m:dPr>
                <m:begChr m:val="("/>
                <m:endChr m:val=")"/>
                <m:sepChr m:val=""/>
                <m:grow/>
              </m:dPr>
              <m:e>
                <m:sSub>
                  <m:e>
                    <m:r>
                      <m:rPr>
                        <m:sty m:val="b"/>
                      </m:rPr>
                      <m:t>A</m:t>
                    </m:r>
                  </m:e>
                  <m:sub>
                    <m:r>
                      <m:t>i</m:t>
                    </m:r>
                  </m:sub>
                </m:sSub>
              </m:e>
            </m:d>
          </m:e>
          <m:sub>
            <m:r>
              <m:t>m</m:t>
            </m:r>
            <m:r>
              <m:rPr>
                <m:sty m:val="p"/>
              </m:rPr>
              <m:t>ℓ</m:t>
            </m:r>
          </m:sub>
        </m:sSub>
        <m:r>
          <m:rPr>
            <m:sty m:val="p"/>
          </m:rPr>
          <m:t>=</m:t>
        </m:r>
        <m:sSubSup>
          <m:e>
            <m:r>
              <m:t>V</m:t>
            </m:r>
          </m:e>
          <m:sub>
            <m:r>
              <m:t>m</m:t>
            </m:r>
          </m:sub>
          <m:sup>
            <m:r>
              <m:rPr>
                <m:sty m:val="p"/>
              </m:rPr>
              <m:t>−</m:t>
            </m:r>
            <m:r>
              <m:t>1</m:t>
            </m:r>
          </m:sup>
        </m:sSubSup>
        <m:nary>
          <m:naryPr>
            <m:chr m:val="∫"/>
            <m:limLoc m:val="subSup"/>
            <m:subHide m:val="off"/>
            <m:supHide m:val="on"/>
          </m:naryPr>
          <m:sub>
            <m:sSub>
              <m:e>
                <m:r>
                  <m:t>Ω</m:t>
                </m:r>
              </m:e>
              <m:sub>
                <m:r>
                  <m:t>m</m:t>
                </m:r>
              </m:sub>
            </m:sSub>
          </m:sub>
          <m:sup>
            <m:r>
              <m:t>​</m:t>
            </m:r>
          </m:sup>
          <m:e>
            <m:sSub>
              <m:e>
                <m:r>
                  <m:t>ψ</m:t>
                </m:r>
              </m:e>
              <m:sub>
                <m:r>
                  <m:t>i</m:t>
                </m:r>
                <m:r>
                  <m:rPr>
                    <m:sty m:val="p"/>
                  </m:rPr>
                  <m:t>ℓ</m:t>
                </m:r>
              </m:sub>
            </m:sSub>
          </m:e>
        </m:nary>
        <m:r>
          <m:t> </m:t>
        </m:r>
        <m:r>
          <m:rPr>
            <m:sty m:val="p"/>
          </m:rPr>
          <m:t>d</m:t>
        </m:r>
        <m:r>
          <m:t>V</m:t>
        </m:r>
      </m:oMath>
      <w:r>
        <w:t xml:space="preserve"> </w:t>
      </w:r>
      <w:r>
        <w:t xml:space="preserve">and positive diagonal weight matrix</w:t>
      </w:r>
      <w:r>
        <w:t xml:space="preserve"> </w:t>
      </w:r>
      <m:oMath>
        <m:sSub>
          <m:e>
            <m:r>
              <m:rPr>
                <m:sty m:val="b"/>
              </m:rPr>
              <m:t>W</m:t>
            </m:r>
          </m:e>
          <m:sub>
            <m:r>
              <m:t>i</m:t>
            </m:r>
          </m:sub>
        </m:sSub>
      </m:oMath>
      <w:r>
        <w:t xml:space="preserve">, the retained map is</w:t>
      </w:r>
    </w:p>
    <w:p>
      <w:pPr>
        <w:pStyle w:val="BodyText"/>
      </w:pPr>
      <m:oMathPara>
        <m:oMathParaPr>
          <m:jc m:val="center"/>
        </m:oMathParaPr>
        <m:oMath>
          <m:sSub>
            <m:e>
              <m:r>
                <m:rPr>
                  <m:sty m:val="b"/>
                </m:rPr>
                <m:t>P</m:t>
              </m:r>
            </m:e>
            <m:sub>
              <m:r>
                <m:t>i</m:t>
              </m:r>
            </m:sub>
          </m:sSub>
          <m:r>
            <m:rPr>
              <m:sty m:val="p"/>
            </m:rPr>
            <m:t>=</m:t>
          </m:r>
          <m:sSup>
            <m:e>
              <m:d>
                <m:dPr>
                  <m:begChr m:val="("/>
                  <m:endChr m:val=")"/>
                  <m:sepChr m:val=""/>
                  <m:grow/>
                </m:dPr>
                <m:e>
                  <m:sSubSup>
                    <m:e>
                      <m:r>
                        <m:rPr>
                          <m:sty m:val="b"/>
                        </m:rPr>
                        <m:t>W</m:t>
                      </m:r>
                    </m:e>
                    <m:sub>
                      <m:r>
                        <m:t>i</m:t>
                      </m:r>
                    </m:sub>
                    <m:sup>
                      <m:r>
                        <m:t>1</m:t>
                      </m:r>
                      <m:r>
                        <m:rPr>
                          <m:sty m:val="p"/>
                        </m:rPr>
                        <m:t>/</m:t>
                      </m:r>
                      <m:r>
                        <m:t>2</m:t>
                      </m:r>
                    </m:sup>
                  </m:sSubSup>
                  <m:sSub>
                    <m:e>
                      <m:r>
                        <m:rPr>
                          <m:sty m:val="b"/>
                        </m:rPr>
                        <m:t>A</m:t>
                      </m:r>
                    </m:e>
                    <m:sub>
                      <m:r>
                        <m:t>i</m:t>
                      </m:r>
                    </m:sub>
                  </m:sSub>
                </m:e>
              </m:d>
            </m:e>
            <m:sup>
              <m:r>
                <m:rPr>
                  <m:sty m:val="p"/>
                </m:rPr>
                <m:t>†</m:t>
              </m:r>
            </m:sup>
          </m:sSup>
          <m:sSubSup>
            <m:e>
              <m:r>
                <m:rPr>
                  <m:sty m:val="b"/>
                </m:rPr>
                <m:t>W</m:t>
              </m:r>
            </m:e>
            <m:sub>
              <m:r>
                <m:t>i</m:t>
              </m:r>
            </m:sub>
            <m:sup>
              <m:r>
                <m:t>1</m:t>
              </m:r>
              <m:r>
                <m:rPr>
                  <m:sty m:val="p"/>
                </m:rPr>
                <m:t>/</m:t>
              </m:r>
              <m:r>
                <m:t>2</m:t>
              </m:r>
            </m:sup>
          </m:sSubSup>
          <m:r>
            <m:rPr>
              <m:sty m:val="p"/>
            </m:rPr>
            <m:t>,</m:t>
          </m:r>
          <m:r>
            <m:rPr>
              <m:nor/>
              <m:sty m:val="p"/>
            </m:rPr>
            <m:t> </m:t>
          </m:r>
          <m:sSubSup>
            <m:e>
              <m:r>
                <m:rPr>
                  <m:sty m:val="b"/>
                </m:rPr>
                <m:t>P</m:t>
              </m:r>
            </m:e>
            <m:sub>
              <m:r>
                <m:t>i</m:t>
              </m:r>
            </m:sub>
            <m:sup>
              <m:d>
                <m:dPr>
                  <m:begChr m:val="("/>
                  <m:endChr m:val=")"/>
                  <m:sepChr m:val=""/>
                  <m:grow/>
                </m:dPr>
                <m:e>
                  <m:r>
                    <m:t>g</m:t>
                  </m:r>
                </m:e>
              </m:d>
            </m:sup>
          </m:sSubSup>
          <m:r>
            <m:rPr>
              <m:sty m:val="p"/>
            </m:rPr>
            <m:t>=</m:t>
          </m:r>
          <m:d>
            <m:dPr>
              <m:begChr m:val="["/>
              <m:endChr m:val="]"/>
              <m:sepChr m:val=""/>
              <m:grow/>
            </m:dPr>
            <m:e>
              <m:r>
                <m:t> </m:t>
              </m:r>
              <m:sSub>
                <m:e>
                  <m:r>
                    <m:rPr>
                      <m:sty m:val="b"/>
                    </m:rPr>
                    <m:t>I</m:t>
                  </m:r>
                </m:e>
                <m:sub>
                  <m:r>
                    <m:t>d</m:t>
                  </m:r>
                </m:sub>
              </m:sSub>
              <m:r>
                <m:t> </m:t>
              </m:r>
              <m:r>
                <m:rPr>
                  <m:sty m:val="b"/>
                </m:rPr>
                <m:t>0</m:t>
              </m:r>
              <m:r>
                <m:t> </m:t>
              </m:r>
            </m:e>
          </m:d>
          <m:sSub>
            <m:e>
              <m:r>
                <m:rPr>
                  <m:sty m:val="b"/>
                </m:rPr>
                <m:t>P</m:t>
              </m:r>
            </m:e>
            <m:sub>
              <m:r>
                <m:t>i</m:t>
              </m:r>
            </m:sub>
          </m:sSub>
          <m:r>
            <m:rPr>
              <m:sty m:val="p"/>
            </m:rPr>
            <m:t>.</m:t>
          </m:r>
          <m:r>
            <m:t> </m:t>
          </m:r>
          <m:d>
            <m:dPr>
              <m:begChr m:val="("/>
              <m:endChr m:val=")"/>
              <m:sepChr m:val=""/>
              <m:grow/>
            </m:dPr>
            <m:e>
              <m:r>
                <m:t>4</m:t>
              </m:r>
            </m:e>
          </m:d>
        </m:oMath>
      </m:oMathPara>
    </w:p>
    <w:p>
      <w:pPr>
        <w:pStyle w:val="FirstParagraph"/>
      </w:pPr>
      <w:r>
        <w:t xml:space="preserve">The thesis writes the unweighted full-rank map as</w:t>
      </w:r>
      <w:r>
        <w:t xml:space="preserve"> </w:t>
      </w:r>
      <m:oMath>
        <m:sSup>
          <m:e>
            <m:d>
              <m:dPr>
                <m:begChr m:val="("/>
                <m:endChr m:val=")"/>
                <m:sepChr m:val=""/>
                <m:grow/>
              </m:dPr>
              <m:e>
                <m:sSubSup>
                  <m:e>
                    <m:r>
                      <m:rPr>
                        <m:sty m:val="b"/>
                      </m:rPr>
                      <m:t>A</m:t>
                    </m:r>
                  </m:e>
                  <m:sub>
                    <m:r>
                      <m:t>i</m:t>
                    </m:r>
                  </m:sub>
                  <m:sup>
                    <m:r>
                      <m:t>T</m:t>
                    </m:r>
                  </m:sup>
                </m:sSubSup>
                <m:sSub>
                  <m:e>
                    <m:r>
                      <m:rPr>
                        <m:sty m:val="b"/>
                      </m:rPr>
                      <m:t>A</m:t>
                    </m:r>
                  </m:e>
                  <m:sub>
                    <m:r>
                      <m:t>i</m:t>
                    </m:r>
                  </m:sub>
                </m:sSub>
              </m:e>
            </m:d>
          </m:e>
          <m:sup>
            <m:r>
              <m:rPr>
                <m:sty m:val="p"/>
              </m:rPr>
              <m:t>−</m:t>
            </m:r>
            <m:r>
              <m:t>1</m:t>
            </m:r>
          </m:sup>
        </m:sSup>
        <m:sSubSup>
          <m:e>
            <m:r>
              <m:rPr>
                <m:sty m:val="b"/>
              </m:rPr>
              <m:t>A</m:t>
            </m:r>
          </m:e>
          <m:sub>
            <m:r>
              <m:t>i</m:t>
            </m:r>
          </m:sub>
          <m:sup>
            <m:r>
              <m:t>T</m:t>
            </m:r>
          </m:sup>
        </m:sSubSup>
      </m:oMath>
      <w:r>
        <w:t xml:space="preserve">; (4) expresses the same least-squares selection with the weighting and SVD used by the implementation. The quadratic columns participate before the derivative rows are selected. Dropping those columns before inversion would change the least-squares problem.</w:t>
      </w:r>
    </w:p>
    <w:p>
      <w:pPr>
        <w:pStyle w:val="BodyText"/>
      </w:pPr>
      <w:r>
        <w:t xml:space="preserve">The thesis begins with face-neighbour dual cells, equivalent to primal-edge neighbours, and expands through successive neighbour layers when necessary. Its suggested three-dimensional stencil size of 14–18 for nine unknown coefficients is a practical starting point. Stencil cardinality alone does not establish unisolvency: the rank and conditioning tests must also pass, particularly near walls and on anisotropic grids.</w:t>
      </w:r>
      <w:r>
        <w:t xml:space="preserve"> </w:t>
      </w:r>
      <w:r>
        <w:t xml:space="preserve">where</w:t>
      </w:r>
      <w:r>
        <w:t xml:space="preserve"> </w:t>
      </w:r>
      <m:oMath>
        <m:sSub>
          <m:e>
            <m:r>
              <m:rPr>
                <m:sty m:val="b"/>
              </m:rPr>
              <m:t>P</m:t>
            </m:r>
          </m:e>
          <m:sub>
            <m:r>
              <m:t>i</m:t>
            </m:r>
          </m:sub>
        </m:sSub>
      </m:oMath>
      <w:r>
        <w:t xml:space="preserve"> </w:t>
      </w:r>
      <w:r>
        <w:t xml:space="preserve">is accepted only if the complete quadratic system has full numerical rank and its condition number is below the specified threshold. The nonconstant basis has five rows in two dimensions and nine rows in three dimensions; its pure-square entries retain the</w:t>
      </w:r>
      <w:r>
        <w:t xml:space="preserve"> </w:t>
      </w:r>
      <m:oMath>
        <m:sSubSup>
          <m:e>
            <m:r>
              <m:t>ξ</m:t>
            </m:r>
          </m:e>
          <m:sub>
            <m:r>
              <m:t>α</m:t>
            </m:r>
          </m:sub>
          <m:sup>
            <m:r>
              <m:t>2</m:t>
            </m:r>
          </m:sup>
        </m:sSubSup>
        <m:r>
          <m:rPr>
            <m:sty m:val="p"/>
          </m:rPr>
          <m:t>/</m:t>
        </m:r>
        <m:r>
          <m:t>2</m:t>
        </m:r>
      </m:oMath>
      <w:r>
        <w:t xml:space="preserve"> </w:t>
      </w:r>
      <w:r>
        <w:t xml:space="preserve">convention. Thus the least-squares solve is complete-quadratic in both modes. The differential path stores only the first</w:t>
      </w:r>
      <w:r>
        <w:t xml:space="preserve"> </w:t>
      </w:r>
      <m:oMath>
        <m:r>
          <m:t>d</m:t>
        </m:r>
      </m:oMath>
      <w:r>
        <w:t xml:space="preserve"> </w:t>
      </w:r>
      <w:r>
        <w:t xml:space="preserve">rows of</w:t>
      </w:r>
      <w:r>
        <w:t xml:space="preserve"> </w:t>
      </w:r>
      <m:oMath>
        <m:sSub>
          <m:e>
            <m:r>
              <m:rPr>
                <m:sty m:val="b"/>
              </m:rPr>
              <m:t>P</m:t>
            </m:r>
          </m:e>
          <m:sub>
            <m:r>
              <m:t>i</m:t>
            </m:r>
          </m:sub>
        </m:sSub>
      </m:oMath>
      <w:r>
        <w:t xml:space="preserve">, which yield the physical gradient</w:t>
      </w:r>
    </w:p>
    <w:p>
      <w:pPr>
        <w:pStyle w:val="BodyText"/>
      </w:pPr>
      <m:oMathPara>
        <m:oMathParaPr>
          <m:jc m:val="center"/>
        </m:oMathParaPr>
        <m:oMath>
          <m:sSub>
            <m:e>
              <m:r>
                <m:rPr>
                  <m:sty m:val="b"/>
                </m:rPr>
                <m:t>G</m:t>
              </m:r>
            </m:e>
            <m:sub>
              <m:r>
                <m:t>i</m:t>
              </m:r>
            </m:sub>
          </m:sSub>
          <m:r>
            <m:rPr>
              <m:sty m:val="p"/>
            </m:rPr>
            <m:t>=</m:t>
          </m:r>
          <m:r>
            <m:rPr>
              <m:sty m:val="b"/>
            </m:rPr>
            <m:t>∇</m:t>
          </m:r>
          <m:sSub>
            <m:e>
              <m:r>
                <m:rPr>
                  <m:sty m:val="b"/>
                </m:rPr>
                <m:t>U</m:t>
              </m:r>
            </m:e>
            <m:sub>
              <m:r>
                <m:t>i</m:t>
              </m:r>
            </m:sub>
          </m:sSub>
          <m:r>
            <m:rPr>
              <m:sty m:val="p"/>
            </m:rPr>
            <m:t>=</m:t>
          </m:r>
          <m:sSubSup>
            <m:e>
              <m:r>
                <m:rPr>
                  <m:sty m:val="b"/>
                </m:rPr>
                <m:t>H</m:t>
              </m:r>
            </m:e>
            <m:sub>
              <m:r>
                <m:t>i</m:t>
              </m:r>
            </m:sub>
            <m:sup>
              <m:r>
                <m:rPr>
                  <m:sty m:val="p"/>
                </m:rPr>
                <m:t>−</m:t>
              </m:r>
              <m:r>
                <m:t>1</m:t>
              </m:r>
            </m:sup>
          </m:sSubSup>
          <m:sSub>
            <m:e>
              <m:r>
                <m:rPr>
                  <m:sty m:val="b"/>
                </m:rPr>
                <m:t>a</m:t>
              </m:r>
            </m:e>
            <m:sub>
              <m:r>
                <m:t>1</m:t>
              </m:r>
              <m:r>
                <m:rPr>
                  <m:sty m:val="p"/>
                </m:rPr>
                <m:t>,</m:t>
              </m:r>
              <m:r>
                <m:t>i</m:t>
              </m:r>
            </m:sub>
          </m:sSub>
          <m:r>
            <m:rPr>
              <m:sty m:val="p"/>
            </m:rPr>
            <m:t>.</m:t>
          </m:r>
          <m:r>
            <m:t> </m:t>
          </m:r>
          <m:d>
            <m:dPr>
              <m:begChr m:val="("/>
              <m:endChr m:val=")"/>
              <m:sepChr m:val=""/>
              <m:grow/>
            </m:dPr>
            <m:e>
              <m:r>
                <m:t>5</m:t>
              </m:r>
            </m:e>
          </m:d>
        </m:oMath>
      </m:oMathPara>
    </w:p>
    <w:p>
      <w:pPr>
        <w:pStyle w:val="FirstParagraph"/>
      </w:pPr>
      <w:r>
        <w:t xml:space="preserve">Thus, the method does not replace a quadratic reconstruction by a linear one; it removes only the unnecessary runtime representation of its second-derivative block. The reference-length matrix is used consistently when evaluating the target and neighbour mean bases and when restoring physical gradients. The scalar</w:t>
      </w:r>
      <w:r>
        <w:t xml:space="preserve"> </w:t>
      </w:r>
      <m:oMath>
        <m:sSubSup>
          <m:e>
            <m:r>
              <m:t>V</m:t>
            </m:r>
          </m:e>
          <m:sub>
            <m:r>
              <m:t>i</m:t>
            </m:r>
          </m:sub>
          <m:sup>
            <m:r>
              <m:t>1</m:t>
            </m:r>
            <m:r>
              <m:rPr>
                <m:sty m:val="p"/>
              </m:rPr>
              <m:t>/</m:t>
            </m:r>
            <m:r>
              <m:t>d</m:t>
            </m:r>
          </m:sup>
        </m:sSubSup>
      </m:oMath>
      <w:r>
        <w:t xml:space="preserve"> </w:t>
      </w:r>
      <w:r>
        <w:t xml:space="preserve">remains available for distance weights and CFL/wall scales but is not substituted for</w:t>
      </w:r>
      <w:r>
        <w:t xml:space="preserve"> </w:t>
      </w:r>
      <m:oMath>
        <m:sSub>
          <m:e>
            <m:r>
              <m:rPr>
                <m:sty m:val="b"/>
              </m:rPr>
              <m:t>H</m:t>
            </m:r>
          </m:e>
          <m:sub>
            <m:r>
              <m:t>i</m:t>
            </m:r>
          </m:sub>
        </m:sSub>
      </m:oMath>
      <w:r>
        <w:t xml:space="preserve"> </w:t>
      </w:r>
      <w:r>
        <w:t xml:space="preserve">in the polynomial basis.</w:t>
      </w:r>
    </w:p>
    <w:p>
      <w:pPr>
        <w:pStyle w:val="BodyText"/>
      </w:pPr>
      <w:r>
        <w:t xml:space="preserve">The dual-cell average and point value are related by a precomputed stencil,</w:t>
      </w:r>
    </w:p>
    <w:p>
      <w:pPr>
        <w:pStyle w:val="BodyText"/>
      </w:pPr>
      <m:oMathPara>
        <m:oMathParaPr>
          <m:jc m:val="center"/>
        </m:oMathParaPr>
        <m:oMath>
          <m:sSub>
            <m:e>
              <m:bar>
                <m:barPr>
                  <m:pos m:val="top"/>
                </m:barPr>
                <m:e>
                  <m:r>
                    <m:rPr>
                      <m:sty m:val="b"/>
                    </m:rPr>
                    <m:t>U</m:t>
                  </m:r>
                </m:e>
              </m:bar>
            </m:e>
            <m:sub>
              <m:r>
                <m:t>i</m:t>
              </m:r>
            </m:sub>
          </m:sSub>
          <m:r>
            <m:rPr>
              <m:sty m:val="p"/>
            </m:rPr>
            <m:t>=</m:t>
          </m:r>
          <m:sSub>
            <m:e>
              <m:r>
                <m:rPr>
                  <m:sty m:val="b"/>
                </m:rPr>
                <m:t>U</m:t>
              </m:r>
            </m:e>
            <m:sub>
              <m:r>
                <m:t>i</m:t>
              </m:r>
            </m:sub>
          </m:sSub>
          <m:r>
            <m:rPr>
              <m:sty m:val="p"/>
            </m:rPr>
            <m:t>+</m:t>
          </m:r>
          <m:nary>
            <m:naryPr>
              <m:chr m:val="∑"/>
              <m:limLoc m:val="undOvr"/>
              <m:subHide m:val="off"/>
              <m:supHide m:val="on"/>
            </m:naryPr>
            <m:sub>
              <m:r>
                <m:t>m</m:t>
              </m:r>
              <m:r>
                <m:rPr>
                  <m:sty m:val="p"/>
                </m:rPr>
                <m:t>∈</m:t>
              </m:r>
              <m:sSub>
                <m:e>
                  <m:r>
                    <m:rPr>
                      <m:sty m:val="p"/>
                      <m:scr m:val="script"/>
                    </m:rPr>
                    <m:t>S</m:t>
                  </m:r>
                </m:e>
                <m:sub>
                  <m:r>
                    <m:t>i</m:t>
                  </m:r>
                </m:sub>
              </m:sSub>
            </m:sub>
            <m:sup>
              <m:r>
                <m:t>​</m:t>
              </m:r>
            </m:sup>
            <m:e>
              <m:sSub>
                <m:e>
                  <m:r>
                    <m:rPr>
                      <m:sty m:val="b"/>
                    </m:rPr>
                    <m:t>w</m:t>
                  </m:r>
                </m:e>
                <m:sub>
                  <m:r>
                    <m:t>i</m:t>
                  </m:r>
                  <m:r>
                    <m:t>m</m:t>
                  </m:r>
                </m:sub>
              </m:sSub>
            </m:e>
          </m:nary>
          <m:r>
            <m:rPr>
              <m:sty m:val="p"/>
            </m:rPr>
            <m:t>⋅</m:t>
          </m:r>
          <m:sSub>
            <m:e>
              <m:r>
                <m:rPr>
                  <m:sty m:val="b"/>
                </m:rPr>
                <m:t>G</m:t>
              </m:r>
            </m:e>
            <m:sub>
              <m:r>
                <m:t>m</m:t>
              </m:r>
            </m:sub>
          </m:sSub>
          <m:r>
            <m:rPr>
              <m:sty m:val="p"/>
            </m:rPr>
            <m:t>,</m:t>
          </m:r>
          <m:r>
            <m:rPr>
              <m:nor/>
              <m:sty m:val="p"/>
            </m:rPr>
            <m:t> </m:t>
          </m:r>
          <m:sSub>
            <m:e>
              <m:r>
                <m:rPr>
                  <m:sty m:val="b"/>
                </m:rPr>
                <m:t>U</m:t>
              </m:r>
            </m:e>
            <m:sub>
              <m:r>
                <m:t>i</m:t>
              </m:r>
            </m:sub>
          </m:sSub>
          <m:r>
            <m:rPr>
              <m:sty m:val="p"/>
            </m:rPr>
            <m:t>=</m:t>
          </m:r>
          <m:sSub>
            <m:e>
              <m:bar>
                <m:barPr>
                  <m:pos m:val="top"/>
                </m:barPr>
                <m:e>
                  <m:r>
                    <m:rPr>
                      <m:sty m:val="b"/>
                    </m:rPr>
                    <m:t>U</m:t>
                  </m:r>
                </m:e>
              </m:bar>
            </m:e>
            <m:sub>
              <m:r>
                <m:t>i</m:t>
              </m:r>
            </m:sub>
          </m:sSub>
          <m:r>
            <m:rPr>
              <m:sty m:val="p"/>
            </m:rPr>
            <m:t>−</m:t>
          </m:r>
          <m:nary>
            <m:naryPr>
              <m:chr m:val="∑"/>
              <m:limLoc m:val="undOvr"/>
              <m:subHide m:val="off"/>
              <m:supHide m:val="on"/>
            </m:naryPr>
            <m:sub>
              <m:r>
                <m:t>m</m:t>
              </m:r>
              <m:r>
                <m:rPr>
                  <m:sty m:val="p"/>
                </m:rPr>
                <m:t>∈</m:t>
              </m:r>
              <m:sSub>
                <m:e>
                  <m:r>
                    <m:rPr>
                      <m:sty m:val="p"/>
                      <m:scr m:val="script"/>
                    </m:rPr>
                    <m:t>S</m:t>
                  </m:r>
                </m:e>
                <m:sub>
                  <m:r>
                    <m:t>i</m:t>
                  </m:r>
                </m:sub>
              </m:sSub>
            </m:sub>
            <m:sup>
              <m:r>
                <m:t>​</m:t>
              </m:r>
            </m:sup>
            <m:e>
              <m:sSub>
                <m:e>
                  <m:r>
                    <m:rPr>
                      <m:sty m:val="b"/>
                    </m:rPr>
                    <m:t>w</m:t>
                  </m:r>
                </m:e>
                <m:sub>
                  <m:r>
                    <m:t>i</m:t>
                  </m:r>
                  <m:r>
                    <m:t>m</m:t>
                  </m:r>
                </m:sub>
              </m:sSub>
            </m:e>
          </m:nary>
          <m:r>
            <m:rPr>
              <m:sty m:val="p"/>
            </m:rPr>
            <m:t>⋅</m:t>
          </m:r>
          <m:sSub>
            <m:e>
              <m:r>
                <m:rPr>
                  <m:sty m:val="b"/>
                </m:rPr>
                <m:t>G</m:t>
              </m:r>
            </m:e>
            <m:sub>
              <m:r>
                <m:t>m</m:t>
              </m:r>
            </m:sub>
          </m:sSub>
          <m:r>
            <m:rPr>
              <m:sty m:val="p"/>
            </m:rPr>
            <m:t>.</m:t>
          </m:r>
          <m:r>
            <m:t> </m:t>
          </m:r>
          <m:d>
            <m:dPr>
              <m:begChr m:val="("/>
              <m:endChr m:val=")"/>
              <m:sepChr m:val=""/>
              <m:grow/>
            </m:dPr>
            <m:e>
              <m:r>
                <m:t>6</m:t>
              </m:r>
            </m:e>
          </m:d>
        </m:oMath>
      </m:oMathPara>
    </w:p>
    <w:p>
      <w:pPr>
        <w:pStyle w:val="FirstParagraph"/>
      </w:pPr>
      <w:r>
        <w:t xml:space="preserve">Here and below a vector weight acts independently on every conservative component. Equation (6) is also the recovery operation used before constructing interface states.</w:t>
      </w:r>
    </w:p>
    <w:bookmarkEnd w:id="23"/>
    <w:bookmarkStart w:id="24" w:name="sec:differential"/>
    <w:p>
      <w:pPr>
        <w:pStyle w:val="Heading2"/>
      </w:pPr>
      <w:r>
        <w:t xml:space="preserve">2.3 Offline compression of simplex moments</w:t>
      </w:r>
    </w:p>
    <w:p>
      <w:pPr>
        <w:pStyle w:val="FirstParagraph"/>
      </w:pPr>
      <w:r>
        <w:t xml:space="preserve">Consider a line, triangle or tetrahedral micro-simplex</w:t>
      </w:r>
      <w:r>
        <w:t xml:space="preserve"> </w:t>
      </w:r>
      <m:oMath>
        <m:r>
          <m:t>K</m:t>
        </m:r>
      </m:oMath>
      <w:r>
        <w:t xml:space="preserve"> </w:t>
      </w:r>
      <w:r>
        <w:t xml:space="preserve">with</w:t>
      </w:r>
      <w:r>
        <w:t xml:space="preserve"> </w:t>
      </w:r>
      <m:oMath>
        <m:r>
          <m:t>n</m:t>
        </m:r>
      </m:oMath>
      <w:r>
        <w:t xml:space="preserve"> </w:t>
      </w:r>
      <w:r>
        <w:t xml:space="preserve">construction vertices</w:t>
      </w:r>
      <w:r>
        <w:t xml:space="preserve"> </w:t>
      </w:r>
      <m:oMath>
        <m:sSub>
          <m:e>
            <m:r>
              <m:rPr>
                <m:sty m:val="b"/>
              </m:rPr>
              <m:t>r</m:t>
            </m:r>
          </m:e>
          <m:sub>
            <m:r>
              <m:t>r</m:t>
            </m:r>
          </m:sub>
        </m:sSub>
      </m:oMath>
      <w:r>
        <w:t xml:space="preserve">, expanded about anchor node</w:t>
      </w:r>
      <w:r>
        <w:t xml:space="preserve"> </w:t>
      </w:r>
      <m:oMath>
        <m:r>
          <m:t>i</m:t>
        </m:r>
      </m:oMath>
      <w:r>
        <w:t xml:space="preserve">. Define</w:t>
      </w:r>
      <w:r>
        <w:t xml:space="preserve"> </w:t>
      </w:r>
      <m:oMath>
        <m:sSub>
          <m:e>
            <m:r>
              <m:rPr>
                <m:sty m:val="b"/>
              </m:rPr>
              <m:t>d</m:t>
            </m:r>
          </m:e>
          <m:sub>
            <m:r>
              <m:t>r</m:t>
            </m:r>
          </m:sub>
        </m:sSub>
        <m:r>
          <m:rPr>
            <m:sty m:val="p"/>
          </m:rPr>
          <m:t>=</m:t>
        </m:r>
        <m:sSub>
          <m:e>
            <m:r>
              <m:rPr>
                <m:sty m:val="b"/>
              </m:rPr>
              <m:t>r</m:t>
            </m:r>
          </m:e>
          <m:sub>
            <m:r>
              <m:t>r</m:t>
            </m:r>
          </m:sub>
        </m:sSub>
        <m:r>
          <m:rPr>
            <m:sty m:val="p"/>
          </m:rPr>
          <m:t>−</m:t>
        </m:r>
        <m:sSub>
          <m:e>
            <m:r>
              <m:rPr>
                <m:sty m:val="b"/>
              </m:rPr>
              <m:t>x</m:t>
            </m:r>
          </m:e>
          <m:sub>
            <m:r>
              <m:t>i</m:t>
            </m:r>
          </m:sub>
        </m:sSub>
      </m:oMath>
      <w:r>
        <w:t xml:space="preserve"> </w:t>
      </w:r>
      <w:r>
        <w:t xml:space="preserve">and</w:t>
      </w:r>
      <w:r>
        <w:t xml:space="preserve"> </w:t>
      </w:r>
      <m:oMath>
        <m:r>
          <m:rPr>
            <m:sty m:val="b"/>
          </m:rPr>
          <m:t>D</m:t>
        </m:r>
        <m:r>
          <m:rPr>
            <m:sty m:val="p"/>
          </m:rPr>
          <m:t>=</m:t>
        </m:r>
        <m:nary>
          <m:naryPr>
            <m:chr m:val="∑"/>
            <m:limLoc m:val="undOvr"/>
            <m:subHide m:val="off"/>
            <m:supHide m:val="off"/>
          </m:naryPr>
          <m:sub>
            <m:r>
              <m:t>r</m:t>
            </m:r>
            <m:r>
              <m:rPr>
                <m:sty m:val="p"/>
              </m:rPr>
              <m:t>=</m:t>
            </m:r>
            <m:r>
              <m:t>1</m:t>
            </m:r>
          </m:sub>
          <m:sup>
            <m:r>
              <m:t>n</m:t>
            </m:r>
          </m:sup>
          <m:e>
            <m:sSub>
              <m:e>
                <m:r>
                  <m:rPr>
                    <m:sty m:val="b"/>
                  </m:rPr>
                  <m:t>d</m:t>
                </m:r>
              </m:e>
              <m:sub>
                <m:r>
                  <m:t>r</m:t>
                </m:r>
              </m:sub>
            </m:sSub>
          </m:e>
        </m:nary>
      </m:oMath>
      <w:r>
        <w:t xml:space="preserve">. Every construction point is an affine combination of original primal nodes, so its gradient is interpolated by the same coefficients,</w:t>
      </w:r>
    </w:p>
    <w:p>
      <w:pPr>
        <w:pStyle w:val="BodyText"/>
      </w:pPr>
      <m:oMathPara>
        <m:oMathParaPr>
          <m:jc m:val="center"/>
        </m:oMathParaPr>
        <m:oMath>
          <m:r>
            <m:rPr>
              <m:sty m:val="b"/>
            </m:rPr>
            <m:t>g</m:t>
          </m:r>
          <m:d>
            <m:dPr>
              <m:begChr m:val="("/>
              <m:endChr m:val=")"/>
              <m:sepChr m:val=""/>
              <m:grow/>
            </m:dPr>
            <m:e>
              <m:sSub>
                <m:e>
                  <m:r>
                    <m:rPr>
                      <m:sty m:val="b"/>
                    </m:rPr>
                    <m:t>r</m:t>
                  </m:r>
                </m:e>
                <m:sub>
                  <m:r>
                    <m:t>r</m:t>
                  </m:r>
                </m:sub>
              </m:sSub>
            </m:e>
          </m:d>
          <m:r>
            <m:rPr>
              <m:sty m:val="p"/>
            </m:rPr>
            <m:t>=</m:t>
          </m:r>
          <m:nary>
            <m:naryPr>
              <m:chr m:val="∑"/>
              <m:limLoc m:val="undOvr"/>
              <m:subHide m:val="off"/>
              <m:supHide m:val="on"/>
            </m:naryPr>
            <m:sub>
              <m:r>
                <m:t>m</m:t>
              </m:r>
            </m:sub>
            <m:sup>
              <m:r>
                <m:t>​</m:t>
              </m:r>
            </m:sup>
            <m:e>
              <m:sSub>
                <m:e>
                  <m:r>
                    <m:t>C</m:t>
                  </m:r>
                </m:e>
                <m:sub>
                  <m:r>
                    <m:t>r</m:t>
                  </m:r>
                  <m:r>
                    <m:t>m</m:t>
                  </m:r>
                </m:sub>
              </m:sSub>
            </m:e>
          </m:nary>
          <m:sSub>
            <m:e>
              <m:r>
                <m:rPr>
                  <m:sty m:val="b"/>
                </m:rPr>
                <m:t>g</m:t>
              </m:r>
            </m:e>
            <m:sub>
              <m:r>
                <m:t>m</m:t>
              </m:r>
            </m:sub>
          </m:sSub>
          <m:r>
            <m:rPr>
              <m:sty m:val="p"/>
            </m:rPr>
            <m:t>.</m:t>
          </m:r>
          <m:r>
            <m:t> </m:t>
          </m:r>
          <m:d>
            <m:dPr>
              <m:begChr m:val="("/>
              <m:endChr m:val=")"/>
              <m:sepChr m:val=""/>
              <m:grow/>
            </m:dPr>
            <m:e>
              <m:r>
                <m:t>7</m:t>
              </m:r>
            </m:e>
          </m:d>
        </m:oMath>
      </m:oMathPara>
    </w:p>
    <w:p>
      <w:pPr>
        <w:pStyle w:val="FirstParagraph"/>
      </w:pPr>
      <w:r>
        <w:t xml:space="preserve">The exact first and second moments about that anchor are</w:t>
      </w:r>
    </w:p>
    <w:p>
      <w:pPr>
        <w:pStyle w:val="BodyText"/>
      </w:pPr>
      <m:oMathPara>
        <m:oMathParaPr>
          <m:jc m:val="center"/>
        </m:oMathParaPr>
        <m:oMath>
          <m:nary>
            <m:naryPr>
              <m:chr m:val="∫"/>
              <m:limLoc m:val="subSup"/>
              <m:subHide m:val="off"/>
              <m:supHide m:val="on"/>
            </m:naryPr>
            <m:sub>
              <m:r>
                <m:t>K</m:t>
              </m:r>
            </m:sub>
            <m:sup>
              <m:r>
                <m:t>​</m:t>
              </m:r>
            </m:sup>
            <m:e>
              <m:r>
                <m:rPr>
                  <m:sty m:val="b"/>
                </m:rPr>
                <m:t>d</m:t>
              </m:r>
            </m:e>
          </m:nary>
          <m:r>
            <m:t> </m:t>
          </m:r>
          <m:r>
            <m:rPr>
              <m:sty m:val="p"/>
            </m:rPr>
            <m:t>d</m:t>
          </m:r>
          <m:r>
            <m:t>μ</m:t>
          </m:r>
          <m:r>
            <m:rPr>
              <m:sty m:val="p"/>
            </m:rPr>
            <m:t>=</m:t>
          </m:r>
          <m:f>
            <m:fPr>
              <m:type m:val="bar"/>
            </m:fPr>
            <m:num>
              <m:d>
                <m:dPr>
                  <m:begChr m:val="|"/>
                  <m:endChr m:val="|"/>
                  <m:sepChr m:val=""/>
                  <m:grow/>
                </m:dPr>
                <m:e>
                  <m:r>
                    <m:t>K</m:t>
                  </m:r>
                </m:e>
              </m:d>
            </m:num>
            <m:den>
              <m:r>
                <m:t>n</m:t>
              </m:r>
            </m:den>
          </m:f>
          <m:r>
            <m:rPr>
              <m:sty m:val="b"/>
            </m:rPr>
            <m:t>D</m:t>
          </m:r>
          <m:r>
            <m:rPr>
              <m:sty m:val="p"/>
            </m:rPr>
            <m:t>,</m:t>
          </m:r>
          <m:r>
            <m:rPr>
              <m:nor/>
              <m:sty m:val="p"/>
            </m:rPr>
            <m:t> </m:t>
          </m:r>
          <m:nary>
            <m:naryPr>
              <m:chr m:val="∫"/>
              <m:limLoc m:val="subSup"/>
              <m:subHide m:val="off"/>
              <m:supHide m:val="on"/>
            </m:naryPr>
            <m:sub>
              <m:r>
                <m:t>K</m:t>
              </m:r>
            </m:sub>
            <m:sup>
              <m:r>
                <m:t>​</m:t>
              </m:r>
            </m:sup>
            <m:e>
              <m:r>
                <m:rPr>
                  <m:sty m:val="b"/>
                </m:rPr>
                <m:t>d</m:t>
              </m:r>
            </m:e>
          </m:nary>
          <m:sSup>
            <m:e>
              <m:r>
                <m:rPr>
                  <m:sty m:val="b"/>
                </m:rPr>
                <m:t>d</m:t>
              </m:r>
            </m:e>
            <m:sup>
              <m:r>
                <m:t>T</m:t>
              </m:r>
            </m:sup>
          </m:sSup>
          <m:r>
            <m:t> </m:t>
          </m:r>
          <m:r>
            <m:rPr>
              <m:sty m:val="p"/>
            </m:rPr>
            <m:t>d</m:t>
          </m:r>
          <m:r>
            <m:t>μ</m:t>
          </m:r>
          <m:r>
            <m:rPr>
              <m:sty m:val="p"/>
            </m:rPr>
            <m:t>=</m:t>
          </m:r>
          <m:f>
            <m:fPr>
              <m:type m:val="bar"/>
            </m:fPr>
            <m:num>
              <m:d>
                <m:dPr>
                  <m:begChr m:val="|"/>
                  <m:endChr m:val="|"/>
                  <m:sepChr m:val=""/>
                  <m:grow/>
                </m:dPr>
                <m:e>
                  <m:r>
                    <m:t>K</m:t>
                  </m:r>
                </m:e>
              </m:d>
            </m:num>
            <m:den>
              <m:r>
                <m:t>n</m:t>
              </m:r>
              <m:d>
                <m:dPr>
                  <m:begChr m:val="("/>
                  <m:endChr m:val=")"/>
                  <m:sepChr m:val=""/>
                  <m:grow/>
                </m:dPr>
                <m:e>
                  <m:r>
                    <m:t>n</m:t>
                  </m:r>
                  <m:r>
                    <m:rPr>
                      <m:sty m:val="p"/>
                    </m:rPr>
                    <m:t>+</m:t>
                  </m:r>
                  <m:r>
                    <m:t>1</m:t>
                  </m:r>
                </m:e>
              </m:d>
            </m:den>
          </m:f>
          <m:d>
            <m:dPr>
              <m:begChr m:val="("/>
              <m:endChr m:val=")"/>
              <m:sepChr m:val=""/>
              <m:grow/>
            </m:dPr>
            <m:e>
              <m:r>
                <m:rPr>
                  <m:sty m:val="b"/>
                </m:rPr>
                <m:t>D</m:t>
              </m:r>
              <m:sSup>
                <m:e>
                  <m:r>
                    <m:rPr>
                      <m:sty m:val="b"/>
                    </m:rPr>
                    <m:t>D</m:t>
                  </m:r>
                </m:e>
                <m:sup>
                  <m:r>
                    <m:t>T</m:t>
                  </m:r>
                </m:sup>
              </m:sSup>
              <m:r>
                <m:rPr>
                  <m:sty m:val="p"/>
                </m:rPr>
                <m:t>+</m:t>
              </m:r>
              <m:nary>
                <m:naryPr>
                  <m:chr m:val="∑"/>
                  <m:limLoc m:val="undOvr"/>
                  <m:subHide m:val="off"/>
                  <m:supHide m:val="off"/>
                </m:naryPr>
                <m:sub>
                  <m:r>
                    <m:t>r</m:t>
                  </m:r>
                  <m:r>
                    <m:rPr>
                      <m:sty m:val="p"/>
                    </m:rPr>
                    <m:t>=</m:t>
                  </m:r>
                  <m:r>
                    <m:t>1</m:t>
                  </m:r>
                </m:sub>
                <m:sup>
                  <m:r>
                    <m:t>n</m:t>
                  </m:r>
                </m:sup>
                <m:e>
                  <m:sSub>
                    <m:e>
                      <m:r>
                        <m:rPr>
                          <m:sty m:val="b"/>
                        </m:rPr>
                        <m:t>d</m:t>
                      </m:r>
                    </m:e>
                    <m:sub>
                      <m:r>
                        <m:t>r</m:t>
                      </m:r>
                    </m:sub>
                  </m:sSub>
                </m:e>
              </m:nary>
              <m:sSubSup>
                <m:e>
                  <m:r>
                    <m:rPr>
                      <m:sty m:val="b"/>
                    </m:rPr>
                    <m:t>d</m:t>
                  </m:r>
                </m:e>
                <m:sub>
                  <m:r>
                    <m:t>r</m:t>
                  </m:r>
                </m:sub>
                <m:sup>
                  <m:r>
                    <m:t>T</m:t>
                  </m:r>
                </m:sup>
              </m:sSubSup>
            </m:e>
          </m:d>
          <m:r>
            <m:rPr>
              <m:sty m:val="p"/>
            </m:rPr>
            <m:t>.</m:t>
          </m:r>
          <m:r>
            <m:t> </m:t>
          </m:r>
          <m:d>
            <m:dPr>
              <m:begChr m:val="("/>
              <m:endChr m:val=")"/>
              <m:sepChr m:val=""/>
              <m:grow/>
            </m:dPr>
            <m:e>
              <m:r>
                <m:t>8</m:t>
              </m:r>
            </m:e>
          </m:d>
        </m:oMath>
      </m:oMathPara>
    </w:p>
    <w:p>
      <w:pPr>
        <w:pStyle w:val="FirstParagraph"/>
      </w:pPr>
      <w:r>
        <w:t xml:space="preserve">Here</w:t>
      </w:r>
      <w:r>
        <w:t xml:space="preserve"> </w:t>
      </w:r>
      <m:oMath>
        <m:r>
          <m:rPr>
            <m:sty m:val="p"/>
          </m:rPr>
          <m:t>d</m:t>
        </m:r>
        <m:r>
          <m:t>μ</m:t>
        </m:r>
      </m:oMath>
      <w:r>
        <w:t xml:space="preserve"> </w:t>
      </w:r>
      <w:r>
        <w:t xml:space="preserve">is the intrinsic measure of</w:t>
      </w:r>
      <w:r>
        <w:t xml:space="preserve"> </w:t>
      </w:r>
      <m:oMath>
        <m:r>
          <m:t>K</m:t>
        </m:r>
      </m:oMath>
      <w:r>
        <w:t xml:space="preserve">, and</w:t>
      </w:r>
      <w:r>
        <w:t xml:space="preserve"> </w:t>
      </w:r>
      <m:oMath>
        <m:r>
          <m:t>n</m:t>
        </m:r>
        <m:r>
          <m:rPr>
            <m:sty m:val="p"/>
          </m:rPr>
          <m:t>=</m:t>
        </m:r>
        <m:r>
          <m:t>2</m:t>
        </m:r>
        <m:r>
          <m:rPr>
            <m:sty m:val="p"/>
          </m:rPr>
          <m:t>,</m:t>
        </m:r>
        <m:r>
          <m:t>3</m:t>
        </m:r>
        <m:r>
          <m:rPr>
            <m:sty m:val="p"/>
          </m:rPr>
          <m:t>,</m:t>
        </m:r>
        <m:r>
          <m:t>4</m:t>
        </m:r>
      </m:oMath>
      <w:r>
        <w:t xml:space="preserve"> </w:t>
      </w:r>
      <w:r>
        <w:t xml:space="preserve">for a segment, triangle and tetrahedron. These are the moment identities used in thesis Eqs. (3-12)–(3-15)</w:t>
      </w:r>
      <w:r>
        <w:t xml:space="preserve"> </w:t>
      </w:r>
      <w:r>
        <w:t xml:space="preserve">[11,12]</w:t>
      </w:r>
      <w:r>
        <w:t xml:space="preserve">. They retain</w:t>
      </w:r>
      <w:r>
        <w:t xml:space="preserve"> </w:t>
      </w:r>
      <m:oMath>
        <m:r>
          <m:rPr>
            <m:sty m:val="b"/>
          </m:rPr>
          <m:t>D</m:t>
        </m:r>
        <m:sSup>
          <m:e>
            <m:r>
              <m:rPr>
                <m:sty m:val="b"/>
              </m:rPr>
              <m:t>D</m:t>
            </m:r>
          </m:e>
          <m:sup>
            <m:r>
              <m:t>T</m:t>
            </m:r>
          </m:sup>
        </m:sSup>
      </m:oMath>
      <w:r>
        <w:t xml:space="preserve"> </w:t>
      </w:r>
      <w:r>
        <w:t xml:space="preserve">even when the anchor is outside a surface simplex. Only a centroid-based expansion has</w:t>
      </w:r>
      <w:r>
        <w:t xml:space="preserve"> </w:t>
      </w:r>
      <m:oMath>
        <m:r>
          <m:rPr>
            <m:sty m:val="b"/>
          </m:rPr>
          <m:t>D</m:t>
        </m:r>
        <m:r>
          <m:rPr>
            <m:sty m:val="p"/>
          </m:rPr>
          <m:t>=</m:t>
        </m:r>
        <m:r>
          <m:rPr>
            <m:sty m:val="b"/>
          </m:rPr>
          <m:t>0</m:t>
        </m:r>
      </m:oMath>
      <w:r>
        <w:t xml:space="preserve">.</w:t>
      </w:r>
      <w:r>
        <w:t xml:space="preserve"> </w:t>
      </w:r>
      <w:r>
        <w:t xml:space="preserve">For a quadratic component</w:t>
      </w:r>
      <w:r>
        <w:t xml:space="preserve"> </w:t>
      </w:r>
      <m:oMath>
        <m:r>
          <m:t>u</m:t>
        </m:r>
      </m:oMath>
      <w:r>
        <w:t xml:space="preserve">, the total differential gives</w:t>
      </w:r>
    </w:p>
    <w:p>
      <w:pPr>
        <w:pStyle w:val="BodyText"/>
      </w:pPr>
      <m:oMathPara>
        <m:oMathParaPr>
          <m:jc m:val="center"/>
        </m:oMathParaPr>
        <m:oMath>
          <m:sSubSup>
            <m:e>
              <m:r>
                <m:rPr>
                  <m:sty m:val="p"/>
                  <m:scr m:val="script"/>
                </m:rPr>
                <m:t>H</m:t>
              </m:r>
            </m:e>
            <m:sub>
              <m:r>
                <m:t>i</m:t>
              </m:r>
            </m:sub>
            <m:sup>
              <m:d>
                <m:dPr>
                  <m:begChr m:val="("/>
                  <m:endChr m:val=")"/>
                  <m:sepChr m:val=""/>
                  <m:grow/>
                </m:dPr>
                <m:e>
                  <m:r>
                    <m:t>u</m:t>
                  </m:r>
                </m:e>
              </m:d>
            </m:sup>
          </m:sSubSup>
          <m:sSub>
            <m:e>
              <m:r>
                <m:rPr>
                  <m:sty m:val="b"/>
                </m:rPr>
                <m:t>d</m:t>
              </m:r>
            </m:e>
            <m:sub>
              <m:r>
                <m:t>r</m:t>
              </m:r>
            </m:sub>
          </m:sSub>
          <m:r>
            <m:rPr>
              <m:sty m:val="p"/>
            </m:rPr>
            <m:t>=</m:t>
          </m:r>
          <m:r>
            <m:rPr>
              <m:sty m:val="b"/>
            </m:rPr>
            <m:t>g</m:t>
          </m:r>
          <m:d>
            <m:dPr>
              <m:begChr m:val="("/>
              <m:endChr m:val=")"/>
              <m:sepChr m:val=""/>
              <m:grow/>
            </m:dPr>
            <m:e>
              <m:sSub>
                <m:e>
                  <m:r>
                    <m:rPr>
                      <m:sty m:val="b"/>
                    </m:rPr>
                    <m:t>r</m:t>
                  </m:r>
                </m:e>
                <m:sub>
                  <m:r>
                    <m:t>r</m:t>
                  </m:r>
                </m:sub>
              </m:sSub>
            </m:e>
          </m:d>
          <m:r>
            <m:rPr>
              <m:sty m:val="p"/>
            </m:rPr>
            <m:t>−</m:t>
          </m:r>
          <m:sSub>
            <m:e>
              <m:r>
                <m:rPr>
                  <m:sty m:val="b"/>
                </m:rPr>
                <m:t>g</m:t>
              </m:r>
            </m:e>
            <m:sub>
              <m:r>
                <m:t>i</m:t>
              </m:r>
            </m:sub>
          </m:sSub>
          <m:r>
            <m:rPr>
              <m:sty m:val="p"/>
            </m:rPr>
            <m:t>+</m:t>
          </m:r>
          <m:r>
            <m:rPr>
              <m:sty m:val="p"/>
              <m:scr m:val="script"/>
            </m:rPr>
            <m:t>O</m:t>
          </m:r>
          <m:d>
            <m:dPr>
              <m:begChr m:val="("/>
              <m:endChr m:val=")"/>
              <m:sepChr m:val=""/>
              <m:grow/>
            </m:dPr>
            <m:e>
              <m:sSup>
                <m:e>
                  <m:r>
                    <m:t>h</m:t>
                  </m:r>
                </m:e>
                <m:sup>
                  <m:r>
                    <m:t>2</m:t>
                  </m:r>
                </m:sup>
              </m:sSup>
            </m:e>
          </m:d>
          <m:r>
            <m:rPr>
              <m:sty m:val="p"/>
            </m:rPr>
            <m:t>,</m:t>
          </m:r>
          <m:r>
            <m:t> </m:t>
          </m:r>
          <m:d>
            <m:dPr>
              <m:begChr m:val="("/>
              <m:endChr m:val=")"/>
              <m:sepChr m:val=""/>
              <m:grow/>
            </m:dPr>
            <m:e>
              <m:r>
                <m:t>9</m:t>
              </m:r>
            </m:e>
          </m:d>
        </m:oMath>
      </m:oMathPara>
    </w:p>
    <w:p>
      <w:pPr>
        <w:pStyle w:val="FirstParagraph"/>
      </w:pPr>
      <w:r>
        <w:t xml:space="preserve">where</w:t>
      </w:r>
      <w:r>
        <w:t xml:space="preserve"> </w:t>
      </w:r>
      <m:oMath>
        <m:sSubSup>
          <m:e>
            <m:r>
              <m:rPr>
                <m:sty m:val="p"/>
                <m:scr m:val="script"/>
              </m:rPr>
              <m:t>H</m:t>
            </m:r>
          </m:e>
          <m:sub>
            <m:r>
              <m:t>i</m:t>
            </m:r>
          </m:sub>
          <m:sup>
            <m:d>
              <m:dPr>
                <m:begChr m:val="("/>
                <m:endChr m:val=")"/>
                <m:sepChr m:val=""/>
                <m:grow/>
              </m:dPr>
              <m:e>
                <m:r>
                  <m:t>u</m:t>
                </m:r>
              </m:e>
            </m:d>
          </m:sup>
        </m:sSubSup>
      </m:oMath>
      <w:r>
        <w:t xml:space="preserve"> </w:t>
      </w:r>
      <w:r>
        <w:t xml:space="preserve">is the Hessian and</w:t>
      </w:r>
      <w:r>
        <w:t xml:space="preserve"> </w:t>
      </w:r>
      <m:oMath>
        <m:r>
          <m:rPr>
            <m:sty m:val="b"/>
          </m:rPr>
          <m:t>g</m:t>
        </m:r>
        <m:r>
          <m:rPr>
            <m:sty m:val="p"/>
          </m:rPr>
          <m:t>=</m:t>
        </m:r>
        <m:r>
          <m:rPr>
            <m:sty m:val="b"/>
          </m:rPr>
          <m:t>∇</m:t>
        </m:r>
        <m:r>
          <m:t>u</m:t>
        </m:r>
      </m:oMath>
      <w:r>
        <w:t xml:space="preserve">. Substitution into the exact moments of a quadratic polynomial produces</w:t>
      </w:r>
    </w:p>
    <w:p>
      <w:pPr>
        <w:pStyle w:val="BodyText"/>
      </w:pPr>
      <m:oMathPara>
        <m:oMathParaPr>
          <m:jc m:val="center"/>
        </m:oMathParaPr>
        <m:oMath>
          <m:nary>
            <m:naryPr>
              <m:chr m:val="∫"/>
              <m:limLoc m:val="subSup"/>
              <m:subHide m:val="off"/>
              <m:supHide m:val="on"/>
            </m:naryPr>
            <m:sub>
              <m:r>
                <m:t>K</m:t>
              </m:r>
            </m:sub>
            <m:sup>
              <m:r>
                <m:t>​</m:t>
              </m:r>
            </m:sup>
            <m:e>
              <m:r>
                <m:t>u</m:t>
              </m:r>
            </m:e>
          </m:nary>
          <m:r>
            <m:t> </m:t>
          </m:r>
          <m:r>
            <m:rPr>
              <m:sty m:val="p"/>
            </m:rPr>
            <m:t>d</m:t>
          </m:r>
          <m:r>
            <m:t>V</m:t>
          </m:r>
          <m:r>
            <m:rPr>
              <m:sty m:val="p"/>
            </m:rPr>
            <m:t>=</m:t>
          </m:r>
          <m:d>
            <m:dPr>
              <m:begChr m:val="|"/>
              <m:endChr m:val="|"/>
              <m:sepChr m:val=""/>
              <m:grow/>
            </m:dPr>
            <m:e>
              <m:r>
                <m:t>K</m:t>
              </m:r>
            </m:e>
          </m:d>
          <m:sSub>
            <m:e>
              <m:r>
                <m:t>u</m:t>
              </m:r>
            </m:e>
            <m:sub>
              <m:r>
                <m:t>i</m:t>
              </m:r>
            </m:sub>
          </m:sSub>
          <m:r>
            <m:rPr>
              <m:sty m:val="p"/>
            </m:rPr>
            <m:t>+</m:t>
          </m:r>
          <m:nary>
            <m:naryPr>
              <m:chr m:val="∑"/>
              <m:limLoc m:val="undOvr"/>
              <m:subHide m:val="off"/>
              <m:supHide m:val="on"/>
            </m:naryPr>
            <m:sub>
              <m:r>
                <m:t>m</m:t>
              </m:r>
            </m:sub>
            <m:sup>
              <m:r>
                <m:t>​</m:t>
              </m:r>
            </m:sup>
            <m:e>
              <m:sSubSup>
                <m:e>
                  <m:r>
                    <m:rPr>
                      <m:sty m:val="b"/>
                    </m:rPr>
                    <m:t>ℓ</m:t>
                  </m:r>
                </m:e>
                <m:sub>
                  <m:r>
                    <m:t>i</m:t>
                  </m:r>
                  <m:r>
                    <m:t>m</m:t>
                  </m:r>
                </m:sub>
                <m:sup>
                  <m:r>
                    <m:t>K</m:t>
                  </m:r>
                </m:sup>
              </m:sSubSup>
            </m:e>
          </m:nary>
          <m:r>
            <m:rPr>
              <m:sty m:val="p"/>
            </m:rPr>
            <m:t>⋅</m:t>
          </m:r>
          <m:sSub>
            <m:e>
              <m:r>
                <m:rPr>
                  <m:sty m:val="b"/>
                </m:rPr>
                <m:t>g</m:t>
              </m:r>
            </m:e>
            <m:sub>
              <m:r>
                <m:t>m</m:t>
              </m:r>
            </m:sub>
          </m:sSub>
          <m:r>
            <m:rPr>
              <m:sty m:val="p"/>
            </m:rPr>
            <m:t>.</m:t>
          </m:r>
          <m:r>
            <m:t> </m:t>
          </m:r>
          <m:d>
            <m:dPr>
              <m:begChr m:val="("/>
              <m:endChr m:val=")"/>
              <m:sepChr m:val=""/>
              <m:grow/>
            </m:dPr>
            <m:e>
              <m:r>
                <m:t>10</m:t>
              </m:r>
            </m:e>
          </m:d>
        </m:oMath>
      </m:oMathPara>
    </w:p>
    <w:p>
      <w:pPr>
        <w:pStyle w:val="FirstParagraph"/>
      </w:pPr>
      <w:r>
        <w:t xml:space="preserve">In the implemented affine representation, the weight is explicitly</w:t>
      </w:r>
    </w:p>
    <w:p>
      <w:pPr>
        <w:pStyle w:val="BodyText"/>
      </w:pPr>
      <m:oMathPara>
        <m:oMathParaPr>
          <m:jc m:val="center"/>
        </m:oMathParaPr>
        <m:oMath>
          <m:m>
            <m:mPr>
              <m:baseJc m:val="center"/>
              <m:plcHide m:val="on"/>
              <m:mcs>
                <m:mc>
                  <m:mcPr>
                    <m:mcJc m:val="center"/>
                    <m:count m:val="1"/>
                  </m:mcPr>
                </m:mc>
              </m:mcs>
            </m:mPr>
            <m:mr>
              <m:e>
                <m:sSubSup>
                  <m:e>
                    <m:r>
                      <m:rPr>
                        <m:sty m:val="b"/>
                      </m:rPr>
                      <m:t>ℓ</m:t>
                    </m:r>
                  </m:e>
                  <m:sub>
                    <m:r>
                      <m:t>i</m:t>
                    </m:r>
                    <m:r>
                      <m:t>m</m:t>
                    </m:r>
                  </m:sub>
                  <m:sup>
                    <m:r>
                      <m:t>K</m:t>
                    </m:r>
                  </m:sup>
                </m:sSubSup>
                <m:r>
                  <m:rPr>
                    <m:sty m:val="p"/>
                  </m:rPr>
                  <m:t>=</m:t>
                </m:r>
                <m:r>
                  <m:t>​</m:t>
                </m:r>
                <m:f>
                  <m:fPr>
                    <m:type m:val="bar"/>
                  </m:fPr>
                  <m:num>
                    <m:d>
                      <m:dPr>
                        <m:begChr m:val="|"/>
                        <m:endChr m:val="|"/>
                        <m:sepChr m:val=""/>
                        <m:grow/>
                      </m:dPr>
                      <m:e>
                        <m:r>
                          <m:t>K</m:t>
                        </m:r>
                      </m:e>
                    </m:d>
                  </m:num>
                  <m:den>
                    <m:r>
                      <m:t>n</m:t>
                    </m:r>
                  </m:den>
                </m:f>
                <m:r>
                  <m:rPr>
                    <m:sty m:val="b"/>
                  </m:rPr>
                  <m:t>D</m:t>
                </m:r>
                <m:r>
                  <m:t> </m:t>
                </m:r>
                <m:sSub>
                  <m:e>
                    <m:r>
                      <m:t>δ</m:t>
                    </m:r>
                  </m:e>
                  <m:sub>
                    <m:r>
                      <m:t>i</m:t>
                    </m:r>
                    <m:r>
                      <m:t>m</m:t>
                    </m:r>
                  </m:sub>
                </m:sSub>
              </m:e>
            </m:mr>
            <m:mr>
              <m:e>
                <m:r>
                  <m:rPr>
                    <m:sty m:val="p"/>
                  </m:rPr>
                  <m:t>+</m:t>
                </m:r>
                <m:f>
                  <m:fPr>
                    <m:type m:val="bar"/>
                  </m:fPr>
                  <m:num>
                    <m:d>
                      <m:dPr>
                        <m:begChr m:val="|"/>
                        <m:endChr m:val="|"/>
                        <m:sepChr m:val=""/>
                        <m:grow/>
                      </m:dPr>
                      <m:e>
                        <m:r>
                          <m:t>K</m:t>
                        </m:r>
                      </m:e>
                    </m:d>
                  </m:num>
                  <m:den>
                    <m:r>
                      <m:t>2</m:t>
                    </m:r>
                    <m:r>
                      <m:t>n</m:t>
                    </m:r>
                    <m:d>
                      <m:dPr>
                        <m:begChr m:val="("/>
                        <m:endChr m:val=")"/>
                        <m:sepChr m:val=""/>
                        <m:grow/>
                      </m:dPr>
                      <m:e>
                        <m:r>
                          <m:t>n</m:t>
                        </m:r>
                        <m:r>
                          <m:rPr>
                            <m:sty m:val="p"/>
                          </m:rPr>
                          <m:t>+</m:t>
                        </m:r>
                        <m:r>
                          <m:t>1</m:t>
                        </m:r>
                      </m:e>
                    </m:d>
                  </m:den>
                </m:f>
                <m:d>
                  <m:dPr>
                    <m:begChr m:val="["/>
                    <m:endChr m:val="]"/>
                    <m:sepChr m:val=""/>
                    <m:grow/>
                  </m:dPr>
                  <m:e>
                    <m:r>
                      <m:rPr>
                        <m:sty m:val="b"/>
                      </m:rPr>
                      <m:t>D</m:t>
                    </m:r>
                    <m:nary>
                      <m:naryPr>
                        <m:chr m:val="∑"/>
                        <m:limLoc m:val="undOvr"/>
                        <m:subHide m:val="off"/>
                        <m:supHide m:val="off"/>
                      </m:naryPr>
                      <m:sub>
                        <m:r>
                          <m:t>r</m:t>
                        </m:r>
                        <m:r>
                          <m:rPr>
                            <m:sty m:val="p"/>
                          </m:rPr>
                          <m:t>=</m:t>
                        </m:r>
                        <m:r>
                          <m:t>1</m:t>
                        </m:r>
                      </m:sub>
                      <m:sup>
                        <m:r>
                          <m:t>n</m:t>
                        </m:r>
                      </m:sup>
                      <m:e>
                        <m:d>
                          <m:dPr>
                            <m:begChr m:val="("/>
                            <m:endChr m:val=")"/>
                            <m:sepChr m:val=""/>
                            <m:grow/>
                          </m:dPr>
                          <m:e>
                            <m:sSub>
                              <m:e>
                                <m:r>
                                  <m:t>C</m:t>
                                </m:r>
                              </m:e>
                              <m:sub>
                                <m:r>
                                  <m:t>r</m:t>
                                </m:r>
                                <m:r>
                                  <m:t>m</m:t>
                                </m:r>
                              </m:sub>
                            </m:sSub>
                            <m:r>
                              <m:rPr>
                                <m:sty m:val="p"/>
                              </m:rPr>
                              <m:t>−</m:t>
                            </m:r>
                            <m:sSub>
                              <m:e>
                                <m:r>
                                  <m:t>δ</m:t>
                                </m:r>
                              </m:e>
                              <m:sub>
                                <m:r>
                                  <m:t>i</m:t>
                                </m:r>
                                <m:r>
                                  <m:t>m</m:t>
                                </m:r>
                              </m:sub>
                            </m:sSub>
                          </m:e>
                        </m:d>
                      </m:e>
                    </m:nary>
                    <m:r>
                      <m:rPr>
                        <m:sty m:val="p"/>
                      </m:rPr>
                      <m:t>+</m:t>
                    </m:r>
                    <m:nary>
                      <m:naryPr>
                        <m:chr m:val="∑"/>
                        <m:limLoc m:val="undOvr"/>
                        <m:subHide m:val="off"/>
                        <m:supHide m:val="off"/>
                      </m:naryPr>
                      <m:sub>
                        <m:r>
                          <m:t>r</m:t>
                        </m:r>
                        <m:r>
                          <m:rPr>
                            <m:sty m:val="p"/>
                          </m:rPr>
                          <m:t>=</m:t>
                        </m:r>
                        <m:r>
                          <m:t>1</m:t>
                        </m:r>
                      </m:sub>
                      <m:sup>
                        <m:r>
                          <m:t>n</m:t>
                        </m:r>
                      </m:sup>
                      <m:e>
                        <m:sSub>
                          <m:e>
                            <m:r>
                              <m:rPr>
                                <m:sty m:val="b"/>
                              </m:rPr>
                              <m:t>d</m:t>
                            </m:r>
                          </m:e>
                          <m:sub>
                            <m:r>
                              <m:t>r</m:t>
                            </m:r>
                          </m:sub>
                        </m:sSub>
                      </m:e>
                    </m:nary>
                    <m:d>
                      <m:dPr>
                        <m:begChr m:val="("/>
                        <m:endChr m:val=")"/>
                        <m:sepChr m:val=""/>
                        <m:grow/>
                      </m:dPr>
                      <m:e>
                        <m:sSub>
                          <m:e>
                            <m:r>
                              <m:t>C</m:t>
                            </m:r>
                          </m:e>
                          <m:sub>
                            <m:r>
                              <m:t>r</m:t>
                            </m:r>
                            <m:r>
                              <m:t>m</m:t>
                            </m:r>
                          </m:sub>
                        </m:sSub>
                        <m:r>
                          <m:rPr>
                            <m:sty m:val="p"/>
                          </m:rPr>
                          <m:t>−</m:t>
                        </m:r>
                        <m:sSub>
                          <m:e>
                            <m:r>
                              <m:t>δ</m:t>
                            </m:r>
                          </m:e>
                          <m:sub>
                            <m:r>
                              <m:t>i</m:t>
                            </m:r>
                            <m:r>
                              <m:t>m</m:t>
                            </m:r>
                          </m:sub>
                        </m:sSub>
                      </m:e>
                    </m:d>
                  </m:e>
                </m:d>
                <m:r>
                  <m:rPr>
                    <m:sty m:val="p"/>
                  </m:rPr>
                  <m:t>.</m:t>
                </m:r>
              </m:e>
            </m:mr>
          </m:m>
          <m:r>
            <m:t> </m:t>
          </m:r>
          <m:d>
            <m:dPr>
              <m:begChr m:val="("/>
              <m:endChr m:val=")"/>
              <m:sepChr m:val=""/>
              <m:grow/>
            </m:dPr>
            <m:e>
              <m:r>
                <m:t>11</m:t>
              </m:r>
            </m:e>
          </m:d>
        </m:oMath>
      </m:oMathPara>
    </w:p>
    <w:p>
      <w:pPr>
        <w:pStyle w:val="FirstParagraph"/>
      </w:pPr>
      <w:r>
        <w:t xml:space="preserve">Equation (11) is evaluated once during geometry initialization and its nonzero contributions are merged by support-node index. It has the same form for a volume micro-simplex and a surface micro-simplex, with</w:t>
      </w:r>
      <w:r>
        <w:t xml:space="preserve"> </w:t>
      </w:r>
      <m:oMath>
        <m:d>
          <m:dPr>
            <m:begChr m:val="|"/>
            <m:endChr m:val="|"/>
            <m:sepChr m:val=""/>
            <m:grow/>
          </m:dPr>
          <m:e>
            <m:r>
              <m:t>K</m:t>
            </m:r>
          </m:e>
        </m:d>
      </m:oMath>
      <w:r>
        <w:t xml:space="preserve"> </w:t>
      </w:r>
      <w:r>
        <w:t xml:space="preserve">interpreted as the appropriate line, area or volume measure. The control-volume weights, divided by</w:t>
      </w:r>
      <w:r>
        <w:t xml:space="preserve"> </w:t>
      </w:r>
      <m:oMath>
        <m:sSub>
          <m:e>
            <m:r>
              <m:t>V</m:t>
            </m:r>
          </m:e>
          <m:sub>
            <m:r>
              <m:t>i</m:t>
            </m:r>
          </m:sub>
        </m:sSub>
      </m:oMath>
      <w:r>
        <w:t xml:space="preserve">, give the</w:t>
      </w:r>
      <w:r>
        <w:t xml:space="preserve"> </w:t>
      </w:r>
      <m:oMath>
        <m:sSub>
          <m:e>
            <m:r>
              <m:rPr>
                <m:sty m:val="b"/>
              </m:rPr>
              <m:t>w</m:t>
            </m:r>
          </m:e>
          <m:sub>
            <m:r>
              <m:t>i</m:t>
            </m:r>
            <m:r>
              <m:t>m</m:t>
            </m:r>
          </m:sub>
        </m:sSub>
      </m:oMath>
      <w:r>
        <w:t xml:space="preserve"> </w:t>
      </w:r>
      <w:r>
        <w:t xml:space="preserve">in (6); therefore point recovery is a direct compressed integral, not an extrapolation from sampled Gauss values.</w:t>
      </w:r>
    </w:p>
    <w:p>
      <w:pPr>
        <w:pStyle w:val="BodyText"/>
      </w:pPr>
      <w:r>
        <w:t xml:space="preserve">No volume, internal-face or boundary-face Gauss point is created after this compression. The conventional path, in contrast, retains all quadratic coefficients and evaluates them at fourth-order quadrature locations. The distinction is material: the efficient method removes both the location arrays and the repeated polynomial/flux evaluations that a point loop would require.</w:t>
      </w:r>
    </w:p>
    <w:bookmarkEnd w:id="24"/>
    <w:bookmarkStart w:id="25" w:name="sec:local-accuracy"/>
    <w:p>
      <w:pPr>
        <w:pStyle w:val="Heading2"/>
      </w:pPr>
      <w:r>
        <w:t xml:space="preserve">2.4 Polynomial exactness and local accuracy of point recovery</w:t>
      </w:r>
    </w:p>
    <w:p>
      <w:pPr>
        <w:pStyle w:val="FirstParagraph"/>
      </w:pPr>
      <w:r>
        <w:t xml:space="preserve">The mechanism of thesis Section 3.2.4</w:t>
      </w:r>
      <w:r>
        <w:t xml:space="preserve"> </w:t>
      </w:r>
      <w:r>
        <w:t xml:space="preserve">[11]</w:t>
      </w:r>
      <w:r>
        <w:t xml:space="preserve"> </w:t>
      </w:r>
      <w:r>
        <w:t xml:space="preserve">can be stated with explicit error bounds. Suppose a shape-regular family of micro-simplices has diameter</w:t>
      </w:r>
      <w:r>
        <w:t xml:space="preserve"> </w:t>
      </w:r>
      <m:oMath>
        <m:r>
          <m:t>O</m:t>
        </m:r>
        <m:d>
          <m:dPr>
            <m:begChr m:val="("/>
            <m:endChr m:val=")"/>
            <m:sepChr m:val=""/>
            <m:grow/>
          </m:dPr>
          <m:e>
            <m:r>
              <m:t>h</m:t>
            </m:r>
          </m:e>
        </m:d>
      </m:oMath>
      <w:r>
        <w:t xml:space="preserve">, the interpolation reproduces affine functions, and the stencil coefficients remain uniformly bounded. For a quadratic</w:t>
      </w:r>
      <w:r>
        <w:t xml:space="preserve"> </w:t>
      </w:r>
      <m:oMath>
        <m:r>
          <m:t>u</m:t>
        </m:r>
      </m:oMath>
      <w:r>
        <w:t xml:space="preserve">, its gradient is affine, so exact nodal gradients give</w:t>
      </w:r>
      <w:r>
        <w:t xml:space="preserve"> </w:t>
      </w:r>
      <m:oMath>
        <m:r>
          <m:rPr>
            <m:sty m:val="b"/>
          </m:rPr>
          <m:t>g</m:t>
        </m:r>
        <m:d>
          <m:dPr>
            <m:begChr m:val="("/>
            <m:endChr m:val=")"/>
            <m:sepChr m:val=""/>
            <m:grow/>
          </m:dPr>
          <m:e>
            <m:sSub>
              <m:e>
                <m:r>
                  <m:rPr>
                    <m:sty m:val="b"/>
                  </m:rPr>
                  <m:t>r</m:t>
                </m:r>
              </m:e>
              <m:sub>
                <m:r>
                  <m:t>r</m:t>
                </m:r>
              </m:sub>
            </m:sSub>
          </m:e>
        </m:d>
        <m:r>
          <m:rPr>
            <m:sty m:val="p"/>
          </m:rPr>
          <m:t>−</m:t>
        </m:r>
        <m:sSub>
          <m:e>
            <m:r>
              <m:rPr>
                <m:sty m:val="b"/>
              </m:rPr>
              <m:t>g</m:t>
            </m:r>
          </m:e>
          <m:sub>
            <m:r>
              <m:t>i</m:t>
            </m:r>
          </m:sub>
        </m:sSub>
        <m:r>
          <m:rPr>
            <m:sty m:val="p"/>
          </m:rPr>
          <m:t>=</m:t>
        </m:r>
        <m:sSup>
          <m:e>
            <m:r>
              <m:rPr>
                <m:sty m:val="p"/>
                <m:scr m:val="script"/>
              </m:rPr>
              <m:t>H</m:t>
            </m:r>
          </m:e>
          <m:sup>
            <m:d>
              <m:dPr>
                <m:begChr m:val="("/>
                <m:endChr m:val=")"/>
                <m:sepChr m:val=""/>
                <m:grow/>
              </m:dPr>
              <m:e>
                <m:r>
                  <m:t>u</m:t>
                </m:r>
              </m:e>
            </m:d>
          </m:sup>
        </m:sSup>
        <m:sSub>
          <m:e>
            <m:r>
              <m:rPr>
                <m:sty m:val="b"/>
              </m:rPr>
              <m:t>d</m:t>
            </m:r>
          </m:e>
          <m:sub>
            <m:r>
              <m:t>r</m:t>
            </m:r>
          </m:sub>
        </m:sSub>
      </m:oMath>
      <w:r>
        <w:t xml:space="preserve"> </w:t>
      </w:r>
      <w:r>
        <w:t xml:space="preserve">exactly. Substitution into (8) proves quadratic exactness of (10). This argument includes off-centre anchors.</w:t>
      </w:r>
    </w:p>
    <w:p>
      <w:pPr>
        <w:pStyle w:val="BodyText"/>
      </w:pPr>
      <w:r>
        <w:t xml:space="preserve">For a smooth</w:t>
      </w:r>
      <w:r>
        <w:t xml:space="preserve"> </w:t>
      </w:r>
      <m:oMath>
        <m:r>
          <m:t>u</m:t>
        </m:r>
        <m:r>
          <m:rPr>
            <m:sty m:val="p"/>
          </m:rPr>
          <m:t>∈</m:t>
        </m:r>
        <m:sSup>
          <m:e>
            <m:r>
              <m:t>C</m:t>
            </m:r>
          </m:e>
          <m:sup>
            <m:r>
              <m:t>3</m:t>
            </m:r>
          </m:sup>
        </m:sSup>
      </m:oMath>
      <w:r>
        <w:t xml:space="preserve">, define the differential functional</w:t>
      </w:r>
      <w:r>
        <w:t xml:space="preserve"> </w:t>
      </w:r>
      <m:oMath>
        <m:sSub>
          <m:e>
            <m:r>
              <m:t>Q</m:t>
            </m:r>
          </m:e>
          <m:sub>
            <m:r>
              <m:t>K</m:t>
            </m:r>
            <m:r>
              <m:rPr>
                <m:sty m:val="p"/>
              </m:rPr>
              <m:t>,</m:t>
            </m:r>
            <m:r>
              <m:t>i</m:t>
            </m:r>
          </m:sub>
        </m:sSub>
        <m:d>
          <m:dPr>
            <m:begChr m:val="("/>
            <m:endChr m:val=")"/>
            <m:sepChr m:val=""/>
            <m:grow/>
          </m:dPr>
          <m:e>
            <m:sSub>
              <m:e>
                <m:r>
                  <m:t>u</m:t>
                </m:r>
              </m:e>
              <m:sub>
                <m:r>
                  <m:t>i</m:t>
                </m:r>
              </m:sub>
            </m:sSub>
            <m:r>
              <m:rPr>
                <m:sty m:val="p"/>
              </m:rPr>
              <m:t>,</m:t>
            </m:r>
            <m:r>
              <m:rPr>
                <m:sty m:val="p"/>
              </m:rPr>
              <m:t>{</m:t>
            </m:r>
            <m:sSub>
              <m:e>
                <m:r>
                  <m:rPr>
                    <m:sty m:val="b"/>
                  </m:rPr>
                  <m:t>g</m:t>
                </m:r>
              </m:e>
              <m:sub>
                <m:r>
                  <m:t>m</m:t>
                </m:r>
              </m:sub>
            </m:sSub>
            <m:r>
              <m:rPr>
                <m:sty m:val="p"/>
              </m:rPr>
              <m:t>}</m:t>
            </m:r>
          </m:e>
        </m:d>
        <m:r>
          <m:rPr>
            <m:sty m:val="p"/>
          </m:rPr>
          <m:t>=</m:t>
        </m:r>
        <m:d>
          <m:dPr>
            <m:begChr m:val="|"/>
            <m:endChr m:val="|"/>
            <m:sepChr m:val=""/>
            <m:grow/>
          </m:dPr>
          <m:e>
            <m:r>
              <m:t>K</m:t>
            </m:r>
          </m:e>
        </m:d>
        <m:sSub>
          <m:e>
            <m:r>
              <m:t>u</m:t>
            </m:r>
          </m:e>
          <m:sub>
            <m:r>
              <m:t>i</m:t>
            </m:r>
          </m:sub>
        </m:sSub>
        <m:r>
          <m:rPr>
            <m:sty m:val="p"/>
          </m:rPr>
          <m:t>+</m:t>
        </m:r>
        <m:nary>
          <m:naryPr>
            <m:chr m:val="∑"/>
            <m:limLoc m:val="undOvr"/>
            <m:subHide m:val="off"/>
            <m:supHide m:val="on"/>
          </m:naryPr>
          <m:sub>
            <m:r>
              <m:t>m</m:t>
            </m:r>
          </m:sub>
          <m:sup>
            <m:r>
              <m:t>​</m:t>
            </m:r>
          </m:sup>
          <m:e>
            <m:sSubSup>
              <m:e>
                <m:r>
                  <m:rPr>
                    <m:sty m:val="b"/>
                  </m:rPr>
                  <m:t>ℓ</m:t>
                </m:r>
              </m:e>
              <m:sub>
                <m:r>
                  <m:t>i</m:t>
                </m:r>
                <m:r>
                  <m:t>m</m:t>
                </m:r>
              </m:sub>
              <m:sup>
                <m:r>
                  <m:t>K</m:t>
                </m:r>
              </m:sup>
            </m:sSubSup>
          </m:e>
        </m:nary>
        <m:r>
          <m:rPr>
            <m:sty m:val="p"/>
          </m:rPr>
          <m:t>⋅</m:t>
        </m:r>
        <m:sSub>
          <m:e>
            <m:r>
              <m:rPr>
                <m:sty m:val="b"/>
              </m:rPr>
              <m:t>g</m:t>
            </m:r>
          </m:e>
          <m:sub>
            <m:r>
              <m:t>m</m:t>
            </m:r>
          </m:sub>
        </m:sSub>
      </m:oMath>
      <w:r>
        <w:t xml:space="preserve">.</w:t>
      </w:r>
      <w:r>
        <w:t xml:space="preserve"> </w:t>
      </w:r>
      <w:r>
        <w:t xml:space="preserve">The Taylor remainder and the moment-weight scaling give</w:t>
      </w:r>
    </w:p>
    <w:p>
      <w:pPr>
        <w:pStyle w:val="BodyText"/>
      </w:pPr>
      <m:oMathPara>
        <m:oMathParaPr>
          <m:jc m:val="center"/>
        </m:oMathParaPr>
        <m:oMath>
          <m:d>
            <m:dPr>
              <m:begChr m:val="|"/>
              <m:endChr m:val="|"/>
              <m:sepChr m:val=""/>
              <m:grow/>
            </m:dPr>
            <m:e>
              <m:sSub>
                <m:e>
                  <m:r>
                    <m:t>Q</m:t>
                  </m:r>
                </m:e>
                <m:sub>
                  <m:r>
                    <m:t>K</m:t>
                  </m:r>
                  <m:r>
                    <m:rPr>
                      <m:sty m:val="p"/>
                    </m:rPr>
                    <m:t>,</m:t>
                  </m:r>
                  <m:r>
                    <m:t>i</m:t>
                  </m:r>
                </m:sub>
              </m:sSub>
              <m:d>
                <m:dPr>
                  <m:begChr m:val="("/>
                  <m:endChr m:val=")"/>
                  <m:sepChr m:val=""/>
                  <m:grow/>
                </m:dPr>
                <m:e>
                  <m:sSub>
                    <m:e>
                      <m:r>
                        <m:t>u</m:t>
                      </m:r>
                    </m:e>
                    <m:sub>
                      <m:r>
                        <m:t>i</m:t>
                      </m:r>
                    </m:sub>
                  </m:sSub>
                  <m:r>
                    <m:rPr>
                      <m:sty m:val="p"/>
                    </m:rPr>
                    <m:t>,</m:t>
                  </m:r>
                  <m:r>
                    <m:rPr>
                      <m:sty m:val="p"/>
                    </m:rPr>
                    <m:t>{</m:t>
                  </m:r>
                  <m:sSub>
                    <m:e>
                      <m:r>
                        <m:rPr>
                          <m:sty m:val="b"/>
                        </m:rPr>
                        <m:t>g</m:t>
                      </m:r>
                    </m:e>
                    <m:sub>
                      <m:r>
                        <m:t>m</m:t>
                      </m:r>
                    </m:sub>
                  </m:sSub>
                  <m:r>
                    <m:rPr>
                      <m:sty m:val="p"/>
                    </m:rPr>
                    <m:t>}</m:t>
                  </m:r>
                </m:e>
              </m:d>
              <m:r>
                <m:rPr>
                  <m:sty m:val="p"/>
                </m:rPr>
                <m:t>−</m:t>
              </m:r>
              <m:nary>
                <m:naryPr>
                  <m:chr m:val="∫"/>
                  <m:limLoc m:val="subSup"/>
                  <m:subHide m:val="off"/>
                  <m:supHide m:val="on"/>
                </m:naryPr>
                <m:sub>
                  <m:r>
                    <m:t>K</m:t>
                  </m:r>
                </m:sub>
                <m:sup>
                  <m:r>
                    <m:t>​</m:t>
                  </m:r>
                </m:sup>
                <m:e>
                  <m:r>
                    <m:t>u</m:t>
                  </m:r>
                </m:e>
              </m:nary>
              <m:r>
                <m:t> </m:t>
              </m:r>
              <m:r>
                <m:rPr>
                  <m:sty m:val="p"/>
                </m:rPr>
                <m:t>d</m:t>
              </m:r>
              <m:r>
                <m:t>μ</m:t>
              </m:r>
            </m:e>
          </m:d>
          <m:r>
            <m:rPr>
              <m:sty m:val="p"/>
            </m:rPr>
            <m:t>≤</m:t>
          </m:r>
          <m:r>
            <m:t>C</m:t>
          </m:r>
          <m:d>
            <m:dPr>
              <m:begChr m:val="|"/>
              <m:endChr m:val="|"/>
              <m:sepChr m:val=""/>
              <m:grow/>
            </m:dPr>
            <m:e>
              <m:r>
                <m:t>K</m:t>
              </m:r>
            </m:e>
          </m:d>
          <m:sSup>
            <m:e>
              <m:r>
                <m:t>h</m:t>
              </m:r>
            </m:e>
            <m:sup>
              <m:r>
                <m:t>3</m:t>
              </m:r>
            </m:sup>
          </m:sSup>
          <m:r>
            <m:rPr>
              <m:sty m:val="p"/>
            </m:rPr>
            <m:t>,</m:t>
          </m:r>
          <m:r>
            <m:rPr>
              <m:nor/>
              <m:sty m:val="p"/>
            </m:rPr>
            <m:t> </m:t>
          </m:r>
          <m:nary>
            <m:naryPr>
              <m:chr m:val="∑"/>
              <m:limLoc m:val="undOvr"/>
              <m:subHide m:val="off"/>
              <m:supHide m:val="on"/>
            </m:naryPr>
            <m:sub>
              <m:r>
                <m:t>m</m:t>
              </m:r>
            </m:sub>
            <m:sup>
              <m:r>
                <m:t>​</m:t>
              </m:r>
            </m:sup>
            <m:e>
              <m:r>
                <m:rPr>
                  <m:sty m:val="p"/>
                </m:rPr>
                <m:t>∥</m:t>
              </m:r>
            </m:e>
          </m:nary>
          <m:sSubSup>
            <m:e>
              <m:r>
                <m:rPr>
                  <m:sty m:val="b"/>
                </m:rPr>
                <m:t>ℓ</m:t>
              </m:r>
            </m:e>
            <m:sub>
              <m:r>
                <m:t>i</m:t>
              </m:r>
              <m:r>
                <m:t>m</m:t>
              </m:r>
            </m:sub>
            <m:sup>
              <m:r>
                <m:t>K</m:t>
              </m:r>
            </m:sup>
          </m:sSubSup>
          <m:r>
            <m:rPr>
              <m:sty m:val="p"/>
            </m:rPr>
            <m:t>∥</m:t>
          </m:r>
          <m:r>
            <m:rPr>
              <m:sty m:val="p"/>
            </m:rPr>
            <m:t>≤</m:t>
          </m:r>
          <m:r>
            <m:t>C</m:t>
          </m:r>
          <m:d>
            <m:dPr>
              <m:begChr m:val="|"/>
              <m:endChr m:val="|"/>
              <m:sepChr m:val=""/>
              <m:grow/>
            </m:dPr>
            <m:e>
              <m:r>
                <m:t>K</m:t>
              </m:r>
            </m:e>
          </m:d>
          <m:r>
            <m:t>h</m:t>
          </m:r>
          <m:r>
            <m:rPr>
              <m:sty m:val="p"/>
            </m:rPr>
            <m:t>.</m:t>
          </m:r>
          <m:r>
            <m:t> </m:t>
          </m:r>
          <m:d>
            <m:dPr>
              <m:begChr m:val="("/>
              <m:endChr m:val=")"/>
              <m:sepChr m:val=""/>
              <m:grow/>
            </m:dPr>
            <m:e>
              <m:r>
                <m:t>12</m:t>
              </m:r>
            </m:e>
          </m:d>
        </m:oMath>
      </m:oMathPara>
    </w:p>
    <w:p>
      <w:pPr>
        <w:pStyle w:val="FirstParagraph"/>
      </w:pPr>
      <w:r>
        <w:t xml:space="preserve">Consequently, using numerical gradients</w:t>
      </w:r>
      <w:r>
        <w:t xml:space="preserve"> </w:t>
      </w:r>
      <m:oMath>
        <m:sSub>
          <m:e>
            <m:r>
              <m:rPr>
                <m:sty m:val="b"/>
              </m:rPr>
              <m:t>g</m:t>
            </m:r>
          </m:e>
          <m:sub>
            <m:r>
              <m:t>m</m:t>
            </m:r>
            <m:r>
              <m:rPr>
                <m:sty m:val="p"/>
              </m:rPr>
              <m:t>,</m:t>
            </m:r>
            <m:r>
              <m:t>h</m:t>
            </m:r>
          </m:sub>
        </m:sSub>
        <m:r>
          <m:rPr>
            <m:sty m:val="p"/>
          </m:rPr>
          <m:t>=</m:t>
        </m:r>
        <m:sSub>
          <m:e>
            <m:r>
              <m:rPr>
                <m:sty m:val="b"/>
              </m:rPr>
              <m:t>g</m:t>
            </m:r>
          </m:e>
          <m:sub>
            <m:r>
              <m:t>m</m:t>
            </m:r>
          </m:sub>
        </m:sSub>
        <m:r>
          <m:rPr>
            <m:sty m:val="p"/>
          </m:rPr>
          <m:t>+</m:t>
        </m:r>
        <m:r>
          <m:t>O</m:t>
        </m:r>
        <m:d>
          <m:dPr>
            <m:begChr m:val="("/>
            <m:endChr m:val=")"/>
            <m:sepChr m:val=""/>
            <m:grow/>
          </m:dPr>
          <m:e>
            <m:sSup>
              <m:e>
                <m:r>
                  <m:t>h</m:t>
                </m:r>
              </m:e>
              <m:sup>
                <m:r>
                  <m:t>2</m:t>
                </m:r>
              </m:sup>
            </m:sSup>
          </m:e>
        </m:d>
      </m:oMath>
      <w:r>
        <w:t xml:space="preserve"> </w:t>
      </w:r>
      <w:r>
        <w:t xml:space="preserve">adds at most</w:t>
      </w:r>
      <w:r>
        <w:t xml:space="preserve"> </w:t>
      </w:r>
      <m:oMath>
        <m:r>
          <m:t>O</m:t>
        </m:r>
        <m:d>
          <m:dPr>
            <m:begChr m:val="("/>
            <m:endChr m:val=")"/>
            <m:sepChr m:val=""/>
            <m:grow/>
          </m:dPr>
          <m:e>
            <m:d>
              <m:dPr>
                <m:begChr m:val="|"/>
                <m:endChr m:val="|"/>
                <m:sepChr m:val=""/>
                <m:grow/>
              </m:dPr>
              <m:e>
                <m:r>
                  <m:t>K</m:t>
                </m:r>
              </m:e>
            </m:d>
            <m:sSup>
              <m:e>
                <m:r>
                  <m:t>h</m:t>
                </m:r>
              </m:e>
              <m:sup>
                <m:r>
                  <m:t>3</m:t>
                </m:r>
              </m:sup>
            </m:sSup>
          </m:e>
        </m:d>
      </m:oMath>
      <w:r>
        <w:t xml:space="preserve"> </w:t>
      </w:r>
      <w:r>
        <w:t xml:space="preserve">to the integral. Affine interpolation at an edge midpoint, arithmetic face point or arithmetic cell point retains this</w:t>
      </w:r>
      <w:r>
        <w:t xml:space="preserve"> </w:t>
      </w:r>
      <m:oMath>
        <m:r>
          <m:t>O</m:t>
        </m:r>
        <m:d>
          <m:dPr>
            <m:begChr m:val="("/>
            <m:endChr m:val=")"/>
            <m:sepChr m:val=""/>
            <m:grow/>
          </m:dPr>
          <m:e>
            <m:sSup>
              <m:e>
                <m:r>
                  <m:t>h</m:t>
                </m:r>
              </m:e>
              <m:sup>
                <m:r>
                  <m:t>2</m:t>
                </m:r>
              </m:sup>
            </m:sSup>
          </m:e>
        </m:d>
      </m:oMath>
      <w:r>
        <w:t xml:space="preserve"> </w:t>
      </w:r>
      <w:r>
        <w:t xml:space="preserve">gradient accuracy, provided all participating distances are</w:t>
      </w:r>
      <w:r>
        <w:t xml:space="preserve"> </w:t>
      </w:r>
      <m:oMath>
        <m:r>
          <m:t>O</m:t>
        </m:r>
        <m:d>
          <m:dPr>
            <m:begChr m:val="("/>
            <m:endChr m:val=")"/>
            <m:sepChr m:val=""/>
            <m:grow/>
          </m:dPr>
          <m:e>
            <m:r>
              <m:t>h</m:t>
            </m:r>
          </m:e>
        </m:d>
      </m:oMath>
      <w:r>
        <w:t xml:space="preserve">.</w:t>
      </w:r>
    </w:p>
    <w:p>
      <w:pPr>
        <w:pStyle w:val="BodyText"/>
      </w:pPr>
      <w:r>
        <w:t xml:space="preserve">After summing micro-volumes and dividing by</w:t>
      </w:r>
      <w:r>
        <w:t xml:space="preserve"> </w:t>
      </w:r>
      <m:oMath>
        <m:sSub>
          <m:e>
            <m:r>
              <m:t>V</m:t>
            </m:r>
          </m:e>
          <m:sub>
            <m:r>
              <m:t>i</m:t>
            </m:r>
          </m:sub>
        </m:sSub>
      </m:oMath>
      <w:r>
        <w:t xml:space="preserve">, point recovery satisfies</w:t>
      </w:r>
    </w:p>
    <w:p>
      <w:pPr>
        <w:pStyle w:val="BodyText"/>
      </w:pPr>
      <m:oMathPara>
        <m:oMathParaPr>
          <m:jc m:val="center"/>
        </m:oMathParaPr>
        <m:oMath>
          <m:d>
            <m:dPr>
              <m:begChr m:val="|"/>
              <m:endChr m:val="|"/>
              <m:sepChr m:val=""/>
              <m:grow/>
            </m:dPr>
            <m:e>
              <m:sSub>
                <m:e>
                  <m:r>
                    <m:t>u</m:t>
                  </m:r>
                </m:e>
                <m:sub>
                  <m:r>
                    <m:t>i</m:t>
                  </m:r>
                  <m:r>
                    <m:rPr>
                      <m:sty m:val="p"/>
                    </m:rPr>
                    <m:t>,</m:t>
                  </m:r>
                  <m:r>
                    <m:t>h</m:t>
                  </m:r>
                </m:sub>
              </m:sSub>
              <m:r>
                <m:rPr>
                  <m:sty m:val="p"/>
                </m:rPr>
                <m:t>−</m:t>
              </m:r>
              <m:r>
                <m:t>u</m:t>
              </m:r>
              <m:d>
                <m:dPr>
                  <m:begChr m:val="("/>
                  <m:endChr m:val=")"/>
                  <m:sepChr m:val=""/>
                  <m:grow/>
                </m:dPr>
                <m:e>
                  <m:sSub>
                    <m:e>
                      <m:r>
                        <m:rPr>
                          <m:sty m:val="b"/>
                        </m:rPr>
                        <m:t>x</m:t>
                      </m:r>
                    </m:e>
                    <m:sub>
                      <m:r>
                        <m:t>i</m:t>
                      </m:r>
                    </m:sub>
                  </m:sSub>
                </m:e>
              </m:d>
            </m:e>
          </m:d>
          <m:r>
            <m:rPr>
              <m:sty m:val="p"/>
            </m:rPr>
            <m:t>≤</m:t>
          </m:r>
          <m:d>
            <m:dPr>
              <m:begChr m:val="|"/>
              <m:endChr m:val="|"/>
              <m:sepChr m:val=""/>
              <m:grow/>
            </m:dPr>
            <m:e>
              <m:sSub>
                <m:e>
                  <m:acc>
                    <m:accPr>
                      <m:chr m:val="‾"/>
                    </m:accPr>
                    <m:e>
                      <m:r>
                        <m:t>u</m:t>
                      </m:r>
                    </m:e>
                  </m:acc>
                </m:e>
                <m:sub>
                  <m:r>
                    <m:t>i</m:t>
                  </m:r>
                  <m:r>
                    <m:rPr>
                      <m:sty m:val="p"/>
                    </m:rPr>
                    <m:t>,</m:t>
                  </m:r>
                  <m:r>
                    <m:t>h</m:t>
                  </m:r>
                </m:sub>
              </m:sSub>
              <m:r>
                <m:rPr>
                  <m:sty m:val="p"/>
                </m:rPr>
                <m:t>−</m:t>
              </m:r>
              <m:sSub>
                <m:e>
                  <m:acc>
                    <m:accPr>
                      <m:chr m:val="‾"/>
                    </m:accPr>
                    <m:e>
                      <m:r>
                        <m:t>u</m:t>
                      </m:r>
                    </m:e>
                  </m:acc>
                </m:e>
                <m:sub>
                  <m:r>
                    <m:t>i</m:t>
                  </m:r>
                </m:sub>
              </m:sSub>
            </m:e>
          </m:d>
          <m:r>
            <m:rPr>
              <m:sty m:val="p"/>
            </m:rPr>
            <m:t>+</m:t>
          </m:r>
          <m:r>
            <m:t>C</m:t>
          </m:r>
          <m:sSup>
            <m:e>
              <m:r>
                <m:t>h</m:t>
              </m:r>
            </m:e>
            <m:sup>
              <m:r>
                <m:t>3</m:t>
              </m:r>
            </m:sup>
          </m:sSup>
          <m:r>
            <m:rPr>
              <m:sty m:val="p"/>
            </m:rPr>
            <m:t>.</m:t>
          </m:r>
          <m:r>
            <m:t> </m:t>
          </m:r>
          <m:d>
            <m:dPr>
              <m:begChr m:val="("/>
              <m:endChr m:val=")"/>
              <m:sepChr m:val=""/>
              <m:grow/>
            </m:dPr>
            <m:e>
              <m:r>
                <m:t>13</m:t>
              </m:r>
            </m:e>
          </m:d>
        </m:oMath>
      </m:oMathPara>
    </w:p>
    <w:p>
      <w:pPr>
        <w:pStyle w:val="FirstParagraph"/>
      </w:pPr>
      <w:r>
        <w:t xml:space="preserve">Thus second-order gradients suffice for third-order point recovery from sufficiently accurate averages. This is a local reconstruction statement: evolved cell averages carry their own spatial and temporal errors. A face-integral error</w:t>
      </w:r>
      <w:r>
        <w:t xml:space="preserve"> </w:t>
      </w:r>
      <m:oMath>
        <m:r>
          <m:t>O</m:t>
        </m:r>
        <m:d>
          <m:dPr>
            <m:begChr m:val="("/>
            <m:endChr m:val=")"/>
            <m:sepChr m:val=""/>
            <m:grow/>
          </m:dPr>
          <m:e>
            <m:sSup>
              <m:e>
                <m:r>
                  <m:t>h</m:t>
                </m:r>
              </m:e>
              <m:sup>
                <m:r>
                  <m:t>d</m:t>
                </m:r>
                <m:r>
                  <m:rPr>
                    <m:sty m:val="p"/>
                  </m:rPr>
                  <m:t>+</m:t>
                </m:r>
                <m:r>
                  <m:t>2</m:t>
                </m:r>
              </m:sup>
            </m:sSup>
          </m:e>
        </m:d>
      </m:oMath>
      <w:r>
        <w:t xml:space="preserve">, divided by a cell volume</w:t>
      </w:r>
      <w:r>
        <w:t xml:space="preserve"> </w:t>
      </w:r>
      <m:oMath>
        <m:r>
          <m:t>O</m:t>
        </m:r>
        <m:d>
          <m:dPr>
            <m:begChr m:val="("/>
            <m:endChr m:val=")"/>
            <m:sepChr m:val=""/>
            <m:grow/>
          </m:dPr>
          <m:e>
            <m:sSup>
              <m:e>
                <m:r>
                  <m:t>h</m:t>
                </m:r>
              </m:e>
              <m:sup>
                <m:r>
                  <m:t>d</m:t>
                </m:r>
              </m:sup>
            </m:sSup>
          </m:e>
        </m:d>
      </m:oMath>
      <w:r>
        <w:t xml:space="preserve">, only supplies an</w:t>
      </w:r>
      <w:r>
        <w:t xml:space="preserve"> </w:t>
      </w:r>
      <m:oMath>
        <m:r>
          <m:t>O</m:t>
        </m:r>
        <m:d>
          <m:dPr>
            <m:begChr m:val="("/>
            <m:endChr m:val=")"/>
            <m:sepChr m:val=""/>
            <m:grow/>
          </m:dPr>
          <m:e>
            <m:sSup>
              <m:e>
                <m:r>
                  <m:t>h</m:t>
                </m:r>
              </m:e>
              <m:sup>
                <m:r>
                  <m:t>2</m:t>
                </m:r>
              </m:sup>
            </m:sSup>
          </m:e>
        </m:d>
      </m:oMath>
      <w:r>
        <w:t xml:space="preserve"> </w:t>
      </w:r>
      <w:r>
        <w:t xml:space="preserve">residual bound without further cancellation. Stability and inter-face error structure must therefore be addressed before inferring third-order solution convergence from polynomial exactness alone.</w:t>
      </w:r>
    </w:p>
    <w:bookmarkEnd w:id="25"/>
    <w:bookmarkStart w:id="26" w:name="sec:chain-rule"/>
    <w:p>
      <w:pPr>
        <w:pStyle w:val="Heading2"/>
      </w:pPr>
      <w:r>
        <w:t xml:space="preserve">2.5 Nonlinear flux mapping and chain-rule accuracy</w:t>
      </w:r>
    </w:p>
    <w:p>
      <w:pPr>
        <w:pStyle w:val="FirstParagraph"/>
      </w:pPr>
      <w:r>
        <w:t xml:space="preserve">Thesis Section 4.1</w:t>
      </w:r>
      <w:r>
        <w:t xml:space="preserve"> </w:t>
      </w:r>
      <w:r>
        <w:t xml:space="preserve">[11]</w:t>
      </w:r>
      <w:r>
        <w:t xml:space="preserve"> </w:t>
      </w:r>
      <w:r>
        <w:t xml:space="preserve">provides the step linking reconstruction to physical-flux integration. Let</w:t>
      </w:r>
      <w:r>
        <w:t xml:space="preserve"> </w:t>
      </w:r>
      <m:oMath>
        <m:sSub>
          <m:e>
            <m:r>
              <m:rPr>
                <m:sty m:val="b"/>
              </m:rPr>
              <m:t>U</m:t>
            </m:r>
          </m:e>
          <m:sub>
            <m:r>
              <m:t>h</m:t>
            </m:r>
          </m:sub>
        </m:sSub>
        <m:r>
          <m:rPr>
            <m:sty m:val="p"/>
          </m:rPr>
          <m:t>−</m:t>
        </m:r>
        <m:r>
          <m:rPr>
            <m:sty m:val="b"/>
          </m:rPr>
          <m:t>U</m:t>
        </m:r>
        <m:r>
          <m:rPr>
            <m:sty m:val="p"/>
          </m:rPr>
          <m:t>=</m:t>
        </m:r>
        <m:r>
          <m:t>O</m:t>
        </m:r>
        <m:d>
          <m:dPr>
            <m:begChr m:val="("/>
            <m:endChr m:val=")"/>
            <m:sepChr m:val=""/>
            <m:grow/>
          </m:dPr>
          <m:e>
            <m:sSup>
              <m:e>
                <m:r>
                  <m:t>h</m:t>
                </m:r>
              </m:e>
              <m:sup>
                <m:r>
                  <m:t>p</m:t>
                </m:r>
              </m:sup>
            </m:sSup>
          </m:e>
        </m:d>
      </m:oMath>
      <w:r>
        <w:t xml:space="preserve"> </w:t>
      </w:r>
      <w:r>
        <w:t xml:space="preserve">and</w:t>
      </w:r>
      <w:r>
        <w:t xml:space="preserve"> </w:t>
      </w:r>
      <m:oMath>
        <m:sSub>
          <m:e>
            <m:r>
              <m:rPr>
                <m:sty m:val="b"/>
              </m:rPr>
              <m:t>G</m:t>
            </m:r>
          </m:e>
          <m:sub>
            <m:r>
              <m:t>α</m:t>
            </m:r>
            <m:r>
              <m:rPr>
                <m:sty m:val="p"/>
              </m:rPr>
              <m:t>,</m:t>
            </m:r>
            <m:r>
              <m:t>h</m:t>
            </m:r>
          </m:sub>
        </m:sSub>
        <m:r>
          <m:rPr>
            <m:sty m:val="p"/>
          </m:rPr>
          <m:t>−</m:t>
        </m:r>
        <m:sSub>
          <m:e>
            <m:r>
              <m:rPr>
                <m:sty m:val="p"/>
              </m:rPr>
              <m:t>∂</m:t>
            </m:r>
          </m:e>
          <m:sub>
            <m:r>
              <m:t>α</m:t>
            </m:r>
          </m:sub>
        </m:sSub>
        <m:r>
          <m:rPr>
            <m:sty m:val="b"/>
          </m:rPr>
          <m:t>U</m:t>
        </m:r>
        <m:r>
          <m:rPr>
            <m:sty m:val="p"/>
          </m:rPr>
          <m:t>=</m:t>
        </m:r>
        <m:r>
          <m:t>O</m:t>
        </m:r>
        <m:d>
          <m:dPr>
            <m:begChr m:val="("/>
            <m:endChr m:val=")"/>
            <m:sepChr m:val=""/>
            <m:grow/>
          </m:dPr>
          <m:e>
            <m:sSup>
              <m:e>
                <m:r>
                  <m:t>h</m:t>
                </m:r>
              </m:e>
              <m:sup>
                <m:r>
                  <m:t>q</m:t>
                </m:r>
              </m:sup>
            </m:sSup>
          </m:e>
        </m:d>
      </m:oMath>
      <w:r>
        <w:t xml:space="preserve">, where</w:t>
      </w:r>
      <w:r>
        <w:t xml:space="preserve"> </w:t>
      </w:r>
      <m:oMath>
        <m:sSub>
          <m:e>
            <m:r>
              <m:rPr>
                <m:sty m:val="b"/>
              </m:rPr>
              <m:t>G</m:t>
            </m:r>
          </m:e>
          <m:sub>
            <m:r>
              <m:t>α</m:t>
            </m:r>
            <m:r>
              <m:rPr>
                <m:sty m:val="p"/>
              </m:rPr>
              <m:t>,</m:t>
            </m:r>
            <m:r>
              <m:t>h</m:t>
            </m:r>
          </m:sub>
        </m:sSub>
      </m:oMath>
      <w:r>
        <w:t xml:space="preserve"> </w:t>
      </w:r>
      <w:r>
        <w:t xml:space="preserve">denotes the component vector for derivative direction</w:t>
      </w:r>
      <w:r>
        <w:t xml:space="preserve"> </w:t>
      </w:r>
      <m:oMath>
        <m:r>
          <m:t>α</m:t>
        </m:r>
      </m:oMath>
      <w:r>
        <w:t xml:space="preserve">. Let</w:t>
      </w:r>
      <w:r>
        <w:t xml:space="preserve"> </w:t>
      </w:r>
      <m:oMath>
        <m:sSub>
          <m:e>
            <m:r>
              <m:rPr>
                <m:sty m:val="b"/>
              </m:rPr>
              <m:t>A</m:t>
            </m:r>
          </m:e>
          <m:sub>
            <m:r>
              <m:t>β</m:t>
            </m:r>
          </m:sub>
        </m:sSub>
        <m:d>
          <m:dPr>
            <m:begChr m:val="("/>
            <m:endChr m:val=")"/>
            <m:sepChr m:val=""/>
            <m:grow/>
          </m:dPr>
          <m:e>
            <m:r>
              <m:rPr>
                <m:sty m:val="b"/>
              </m:rPr>
              <m:t>U</m:t>
            </m:r>
          </m:e>
        </m:d>
        <m:r>
          <m:rPr>
            <m:sty m:val="p"/>
          </m:rPr>
          <m:t>=</m:t>
        </m:r>
        <m:r>
          <m:rPr>
            <m:sty m:val="p"/>
          </m:rPr>
          <m:t>∂</m:t>
        </m:r>
        <m:sSub>
          <m:e>
            <m:r>
              <m:t>F</m:t>
            </m:r>
          </m:e>
          <m:sub>
            <m:r>
              <m:t>β</m:t>
            </m:r>
          </m:sub>
        </m:sSub>
        <m:r>
          <m:rPr>
            <m:sty m:val="p"/>
          </m:rPr>
          <m:t>/</m:t>
        </m:r>
        <m:r>
          <m:rPr>
            <m:sty m:val="p"/>
          </m:rPr>
          <m:t>∂</m:t>
        </m:r>
        <m:r>
          <m:rPr>
            <m:sty m:val="b"/>
          </m:rPr>
          <m:t>U</m:t>
        </m:r>
      </m:oMath>
      <w:r>
        <w:t xml:space="preserve"> </w:t>
      </w:r>
      <w:r>
        <w:t xml:space="preserve">be bounded and Lipschitz on the range of states. Then</w:t>
      </w:r>
    </w:p>
    <w:p>
      <w:pPr>
        <w:pStyle w:val="BodyText"/>
      </w:pPr>
      <m:oMathPara>
        <m:oMathParaPr>
          <m:jc m:val="center"/>
        </m:oMathParaPr>
        <m:oMath>
          <m:m>
            <m:mPr>
              <m:baseJc m:val="center"/>
              <m:plcHide m:val="on"/>
              <m:mcs>
                <m:mc>
                  <m:mcPr>
                    <m:mcJc m:val="center"/>
                    <m:count m:val="1"/>
                  </m:mcPr>
                </m:mc>
              </m:mcs>
            </m:mPr>
            <m:mr>
              <m:e>
                <m:sSub>
                  <m:e>
                    <m:r>
                      <m:rPr>
                        <m:sty m:val="b"/>
                      </m:rPr>
                      <m:t>E</m:t>
                    </m:r>
                  </m:e>
                  <m:sub>
                    <m:r>
                      <m:t>α</m:t>
                    </m:r>
                    <m:r>
                      <m:t>β</m:t>
                    </m:r>
                  </m:sub>
                </m:sSub>
                <m:r>
                  <m:rPr>
                    <m:sty m:val="p"/>
                  </m:rPr>
                  <m:t>=</m:t>
                </m:r>
                <m:r>
                  <m:t>​</m:t>
                </m:r>
                <m:sSub>
                  <m:e>
                    <m:r>
                      <m:rPr>
                        <m:sty m:val="b"/>
                      </m:rPr>
                      <m:t>A</m:t>
                    </m:r>
                  </m:e>
                  <m:sub>
                    <m:r>
                      <m:t>β</m:t>
                    </m:r>
                  </m:sub>
                </m:sSub>
                <m:d>
                  <m:dPr>
                    <m:begChr m:val="("/>
                    <m:endChr m:val=")"/>
                    <m:sepChr m:val=""/>
                    <m:grow/>
                  </m:dPr>
                  <m:e>
                    <m:sSub>
                      <m:e>
                        <m:r>
                          <m:rPr>
                            <m:sty m:val="b"/>
                          </m:rPr>
                          <m:t>U</m:t>
                        </m:r>
                      </m:e>
                      <m:sub>
                        <m:r>
                          <m:t>h</m:t>
                        </m:r>
                      </m:sub>
                    </m:sSub>
                  </m:e>
                </m:d>
                <m:sSub>
                  <m:e>
                    <m:r>
                      <m:rPr>
                        <m:sty m:val="b"/>
                      </m:rPr>
                      <m:t>G</m:t>
                    </m:r>
                  </m:e>
                  <m:sub>
                    <m:r>
                      <m:t>α</m:t>
                    </m:r>
                    <m:r>
                      <m:rPr>
                        <m:sty m:val="p"/>
                      </m:rPr>
                      <m:t>,</m:t>
                    </m:r>
                    <m:r>
                      <m:t>h</m:t>
                    </m:r>
                  </m:sub>
                </m:sSub>
                <m:r>
                  <m:rPr>
                    <m:sty m:val="p"/>
                  </m:rPr>
                  <m:t>−</m:t>
                </m:r>
                <m:sSub>
                  <m:e>
                    <m:r>
                      <m:rPr>
                        <m:sty m:val="p"/>
                      </m:rPr>
                      <m:t>∂</m:t>
                    </m:r>
                  </m:e>
                  <m:sub>
                    <m:r>
                      <m:t>α</m:t>
                    </m:r>
                  </m:sub>
                </m:sSub>
                <m:sSub>
                  <m:e>
                    <m:r>
                      <m:t>F</m:t>
                    </m:r>
                  </m:e>
                  <m:sub>
                    <m:r>
                      <m:t>β</m:t>
                    </m:r>
                  </m:sub>
                </m:sSub>
                <m:d>
                  <m:dPr>
                    <m:begChr m:val="("/>
                    <m:endChr m:val=")"/>
                    <m:sepChr m:val=""/>
                    <m:grow/>
                  </m:dPr>
                  <m:e>
                    <m:r>
                      <m:rPr>
                        <m:sty m:val="b"/>
                      </m:rPr>
                      <m:t>U</m:t>
                    </m:r>
                  </m:e>
                </m:d>
                <m:r>
                  <m:rPr>
                    <m:sty m:val="p"/>
                  </m:rPr>
                  <m:t>,</m:t>
                </m:r>
              </m:e>
            </m:mr>
            <m:mr>
              <m:e>
                <m:sSub>
                  <m:e>
                    <m:r>
                      <m:rPr>
                        <m:sty m:val="b"/>
                      </m:rPr>
                      <m:t>E</m:t>
                    </m:r>
                  </m:e>
                  <m:sub>
                    <m:r>
                      <m:t>α</m:t>
                    </m:r>
                    <m:r>
                      <m:t>β</m:t>
                    </m:r>
                  </m:sub>
                </m:sSub>
                <m:r>
                  <m:rPr>
                    <m:sty m:val="p"/>
                  </m:rPr>
                  <m:t>=</m:t>
                </m:r>
                <m:r>
                  <m:t>​</m:t>
                </m:r>
                <m:d>
                  <m:dPr>
                    <m:begChr m:val="["/>
                    <m:endChr m:val="]"/>
                    <m:sepChr m:val=""/>
                    <m:grow/>
                  </m:dPr>
                  <m:e>
                    <m:sSub>
                      <m:e>
                        <m:r>
                          <m:rPr>
                            <m:sty m:val="b"/>
                          </m:rPr>
                          <m:t>A</m:t>
                        </m:r>
                      </m:e>
                      <m:sub>
                        <m:r>
                          <m:t>β</m:t>
                        </m:r>
                      </m:sub>
                    </m:sSub>
                    <m:d>
                      <m:dPr>
                        <m:begChr m:val="("/>
                        <m:endChr m:val=")"/>
                        <m:sepChr m:val=""/>
                        <m:grow/>
                      </m:dPr>
                      <m:e>
                        <m:sSub>
                          <m:e>
                            <m:r>
                              <m:rPr>
                                <m:sty m:val="b"/>
                              </m:rPr>
                              <m:t>U</m:t>
                            </m:r>
                          </m:e>
                          <m:sub>
                            <m:r>
                              <m:t>h</m:t>
                            </m:r>
                          </m:sub>
                        </m:sSub>
                      </m:e>
                    </m:d>
                    <m:r>
                      <m:rPr>
                        <m:sty m:val="p"/>
                      </m:rPr>
                      <m:t>−</m:t>
                    </m:r>
                    <m:sSub>
                      <m:e>
                        <m:r>
                          <m:rPr>
                            <m:sty m:val="b"/>
                          </m:rPr>
                          <m:t>A</m:t>
                        </m:r>
                      </m:e>
                      <m:sub>
                        <m:r>
                          <m:t>β</m:t>
                        </m:r>
                      </m:sub>
                    </m:sSub>
                    <m:d>
                      <m:dPr>
                        <m:begChr m:val="("/>
                        <m:endChr m:val=")"/>
                        <m:sepChr m:val=""/>
                        <m:grow/>
                      </m:dPr>
                      <m:e>
                        <m:r>
                          <m:rPr>
                            <m:sty m:val="b"/>
                          </m:rPr>
                          <m:t>U</m:t>
                        </m:r>
                      </m:e>
                    </m:d>
                  </m:e>
                </m:d>
                <m:sSub>
                  <m:e>
                    <m:r>
                      <m:rPr>
                        <m:sty m:val="b"/>
                      </m:rPr>
                      <m:t>G</m:t>
                    </m:r>
                  </m:e>
                  <m:sub>
                    <m:r>
                      <m:t>α</m:t>
                    </m:r>
                    <m:r>
                      <m:rPr>
                        <m:sty m:val="p"/>
                      </m:rPr>
                      <m:t>,</m:t>
                    </m:r>
                    <m:r>
                      <m:t>h</m:t>
                    </m:r>
                  </m:sub>
                </m:sSub>
                <m:r>
                  <m:rPr>
                    <m:sty m:val="p"/>
                  </m:rPr>
                  <m:t>+</m:t>
                </m:r>
                <m:sSub>
                  <m:e>
                    <m:r>
                      <m:rPr>
                        <m:sty m:val="b"/>
                      </m:rPr>
                      <m:t>A</m:t>
                    </m:r>
                  </m:e>
                  <m:sub>
                    <m:r>
                      <m:t>β</m:t>
                    </m:r>
                  </m:sub>
                </m:sSub>
                <m:d>
                  <m:dPr>
                    <m:begChr m:val="("/>
                    <m:endChr m:val=")"/>
                    <m:sepChr m:val=""/>
                    <m:grow/>
                  </m:dPr>
                  <m:e>
                    <m:r>
                      <m:rPr>
                        <m:sty m:val="b"/>
                      </m:rPr>
                      <m:t>U</m:t>
                    </m:r>
                  </m:e>
                </m:d>
                <m:d>
                  <m:dPr>
                    <m:begChr m:val="("/>
                    <m:endChr m:val=")"/>
                    <m:sepChr m:val=""/>
                    <m:grow/>
                  </m:dPr>
                  <m:e>
                    <m:sSub>
                      <m:e>
                        <m:r>
                          <m:rPr>
                            <m:sty m:val="b"/>
                          </m:rPr>
                          <m:t>G</m:t>
                        </m:r>
                      </m:e>
                      <m:sub>
                        <m:r>
                          <m:t>α</m:t>
                        </m:r>
                        <m:r>
                          <m:rPr>
                            <m:sty m:val="p"/>
                          </m:rPr>
                          <m:t>,</m:t>
                        </m:r>
                        <m:r>
                          <m:t>h</m:t>
                        </m:r>
                      </m:sub>
                    </m:sSub>
                    <m:r>
                      <m:rPr>
                        <m:sty m:val="p"/>
                      </m:rPr>
                      <m:t>−</m:t>
                    </m:r>
                    <m:sSub>
                      <m:e>
                        <m:r>
                          <m:rPr>
                            <m:sty m:val="p"/>
                          </m:rPr>
                          <m:t>∂</m:t>
                        </m:r>
                      </m:e>
                      <m:sub>
                        <m:r>
                          <m:t>α</m:t>
                        </m:r>
                      </m:sub>
                    </m:sSub>
                    <m:r>
                      <m:rPr>
                        <m:sty m:val="b"/>
                      </m:rPr>
                      <m:t>U</m:t>
                    </m:r>
                  </m:e>
                </m:d>
                <m:r>
                  <m:rPr>
                    <m:sty m:val="p"/>
                  </m:rPr>
                  <m:t>=</m:t>
                </m:r>
                <m:r>
                  <m:t>O</m:t>
                </m:r>
                <m:d>
                  <m:dPr>
                    <m:begChr m:val="("/>
                    <m:endChr m:val=")"/>
                    <m:sepChr m:val=""/>
                    <m:grow/>
                  </m:dPr>
                  <m:e>
                    <m:sSup>
                      <m:e>
                        <m:r>
                          <m:t>h</m:t>
                        </m:r>
                      </m:e>
                      <m:sup>
                        <m:r>
                          <m:rPr>
                            <m:sty m:val="p"/>
                          </m:rPr>
                          <m:t>min</m:t>
                        </m:r>
                        <m:d>
                          <m:dPr>
                            <m:begChr m:val="("/>
                            <m:endChr m:val=")"/>
                            <m:sepChr m:val=""/>
                            <m:grow/>
                          </m:dPr>
                          <m:e>
                            <m:r>
                              <m:t>p</m:t>
                            </m:r>
                            <m:r>
                              <m:rPr>
                                <m:sty m:val="p"/>
                              </m:rPr>
                              <m:t>,</m:t>
                            </m:r>
                            <m:r>
                              <m:t>q</m:t>
                            </m:r>
                          </m:e>
                        </m:d>
                      </m:sup>
                    </m:sSup>
                  </m:e>
                </m:d>
                <m:r>
                  <m:rPr>
                    <m:sty m:val="p"/>
                  </m:rPr>
                  <m:t>.</m:t>
                </m:r>
              </m:e>
            </m:mr>
          </m:m>
          <m:r>
            <m:t> </m:t>
          </m:r>
          <m:d>
            <m:dPr>
              <m:begChr m:val="("/>
              <m:endChr m:val=")"/>
              <m:sepChr m:val=""/>
              <m:grow/>
            </m:dPr>
            <m:e>
              <m:r>
                <m:t>14</m:t>
              </m:r>
            </m:e>
          </m:d>
        </m:oMath>
      </m:oMathPara>
    </w:p>
    <w:p>
      <w:pPr>
        <w:pStyle w:val="FirstParagraph"/>
      </w:pPr>
      <w:r>
        <w:t xml:space="preserve">Also</w:t>
      </w:r>
      <w:r>
        <w:t xml:space="preserve"> </w:t>
      </w:r>
      <m:oMath>
        <m:sSub>
          <m:e>
            <m:r>
              <m:t>F</m:t>
            </m:r>
          </m:e>
          <m:sub>
            <m:r>
              <m:t>β</m:t>
            </m:r>
          </m:sub>
        </m:sSub>
        <m:d>
          <m:dPr>
            <m:begChr m:val="("/>
            <m:endChr m:val=")"/>
            <m:sepChr m:val=""/>
            <m:grow/>
          </m:dPr>
          <m:e>
            <m:sSub>
              <m:e>
                <m:r>
                  <m:rPr>
                    <m:sty m:val="b"/>
                  </m:rPr>
                  <m:t>U</m:t>
                </m:r>
              </m:e>
              <m:sub>
                <m:r>
                  <m:t>h</m:t>
                </m:r>
              </m:sub>
            </m:sSub>
          </m:e>
        </m:d>
        <m:r>
          <m:rPr>
            <m:sty m:val="p"/>
          </m:rPr>
          <m:t>−</m:t>
        </m:r>
        <m:sSub>
          <m:e>
            <m:r>
              <m:t>F</m:t>
            </m:r>
          </m:e>
          <m:sub>
            <m:r>
              <m:t>β</m:t>
            </m:r>
          </m:sub>
        </m:sSub>
        <m:d>
          <m:dPr>
            <m:begChr m:val="("/>
            <m:endChr m:val=")"/>
            <m:sepChr m:val=""/>
            <m:grow/>
          </m:dPr>
          <m:e>
            <m:r>
              <m:rPr>
                <m:sty m:val="b"/>
              </m:rPr>
              <m:t>U</m:t>
            </m:r>
          </m:e>
        </m:d>
        <m:r>
          <m:rPr>
            <m:sty m:val="p"/>
          </m:rPr>
          <m:t>=</m:t>
        </m:r>
        <m:r>
          <m:t>O</m:t>
        </m:r>
        <m:d>
          <m:dPr>
            <m:begChr m:val="("/>
            <m:endChr m:val=")"/>
            <m:sepChr m:val=""/>
            <m:grow/>
          </m:dPr>
          <m:e>
            <m:sSup>
              <m:e>
                <m:r>
                  <m:t>h</m:t>
                </m:r>
              </m:e>
              <m:sup>
                <m:r>
                  <m:t>p</m:t>
                </m:r>
              </m:sup>
            </m:sSup>
          </m:e>
        </m:d>
      </m:oMath>
      <w:r>
        <w:t xml:space="preserve">. With</w:t>
      </w:r>
      <w:r>
        <w:t xml:space="preserve"> </w:t>
      </w:r>
      <m:oMath>
        <m:d>
          <m:dPr>
            <m:begChr m:val="("/>
            <m:endChr m:val=")"/>
            <m:sepChr m:val=""/>
            <m:grow/>
          </m:dPr>
          <m:e>
            <m:r>
              <m:t>p</m:t>
            </m:r>
            <m:r>
              <m:rPr>
                <m:sty m:val="p"/>
              </m:rPr>
              <m:t>,</m:t>
            </m:r>
            <m:r>
              <m:t>q</m:t>
            </m:r>
          </m:e>
        </m:d>
        <m:r>
          <m:rPr>
            <m:sty m:val="p"/>
          </m:rPr>
          <m:t>=</m:t>
        </m:r>
        <m:d>
          <m:dPr>
            <m:begChr m:val="("/>
            <m:endChr m:val=")"/>
            <m:sepChr m:val=""/>
            <m:grow/>
          </m:dPr>
          <m:e>
            <m:r>
              <m:t>3</m:t>
            </m:r>
            <m:r>
              <m:rPr>
                <m:sty m:val="p"/>
              </m:rPr>
              <m:t>,</m:t>
            </m:r>
            <m:r>
              <m:t>2</m:t>
            </m:r>
          </m:e>
        </m:d>
      </m:oMath>
      <w:r>
        <w:t xml:space="preserve">, the physical-flux value is third-order accurate and its chain-rule gradient is second-order accurate, precisely the inputs required by (12). For compressible Euler flow these statements apply to smooth states with density and pressure bounded away from zero. They do not apply across a shock or after a limiter activates. No nonzero derivative assumption is required for this upper bound; a vanishing Jacobian component may improve the local error.</w:t>
      </w:r>
    </w:p>
    <w:bookmarkEnd w:id="26"/>
    <w:bookmarkStart w:id="27" w:name="sec:macroface"/>
    <w:p>
      <w:pPr>
        <w:pStyle w:val="Heading2"/>
      </w:pPr>
      <w:r>
        <w:t xml:space="preserve">2.6 Macroface state, physical-flux and dissipation assembly</w:t>
      </w:r>
    </w:p>
    <w:p>
      <w:pPr>
        <w:pStyle w:val="FirstParagraph"/>
      </w:pPr>
      <w:r>
        <w:t xml:space="preserve">Let</w:t>
      </w:r>
      <w:r>
        <w:t xml:space="preserve"> </w:t>
      </w:r>
      <m:oMath>
        <m:sSub>
          <m:e>
            <m:r>
              <m:t>S</m:t>
            </m:r>
          </m:e>
          <m:sub>
            <m:r>
              <m:t>e</m:t>
            </m:r>
          </m:sub>
        </m:sSub>
      </m:oMath>
      <w:r>
        <w:t xml:space="preserve"> </w:t>
      </w:r>
      <w:r>
        <w:t xml:space="preserve">be the scalar sum of micro-surface measures and</w:t>
      </w:r>
      <w:r>
        <w:t xml:space="preserve"> </w:t>
      </w:r>
      <m:oMath>
        <m:sSub>
          <m:e>
            <m:r>
              <m:rPr>
                <m:sty m:val="b"/>
              </m:rPr>
              <m:t>A</m:t>
            </m:r>
          </m:e>
          <m:sub>
            <m:r>
              <m:t>e</m:t>
            </m:r>
          </m:sub>
        </m:sSub>
      </m:oMath>
      <w:r>
        <w:t xml:space="preserve"> </w:t>
      </w:r>
      <w:r>
        <w:t xml:space="preserve">the oriented vector sum. On a nonplanar macroface,</w:t>
      </w:r>
      <w:r>
        <w:t xml:space="preserve"> </w:t>
      </w:r>
      <m:oMath>
        <m:sSub>
          <m:e>
            <m:r>
              <m:t>S</m:t>
            </m:r>
          </m:e>
          <m:sub>
            <m:r>
              <m:t>e</m:t>
            </m:r>
          </m:sub>
        </m:sSub>
      </m:oMath>
      <w:r>
        <w:t xml:space="preserve"> </w:t>
      </w:r>
      <w:r>
        <w:t xml:space="preserve">and</w:t>
      </w:r>
      <w:r>
        <w:t xml:space="preserve"> </w:t>
      </w:r>
      <m:oMath>
        <m:r>
          <m:rPr>
            <m:sty m:val="p"/>
          </m:rPr>
          <m:t>∥</m:t>
        </m:r>
        <m:sSub>
          <m:e>
            <m:r>
              <m:rPr>
                <m:sty m:val="b"/>
              </m:rPr>
              <m:t>A</m:t>
            </m:r>
          </m:e>
          <m:sub>
            <m:r>
              <m:t>e</m:t>
            </m:r>
          </m:sub>
        </m:sSub>
        <m:r>
          <m:rPr>
            <m:sty m:val="p"/>
          </m:rPr>
          <m:t>∥</m:t>
        </m:r>
      </m:oMath>
      <w:r>
        <w:t xml:space="preserve"> </w:t>
      </w:r>
      <w:r>
        <w:t xml:space="preserve">are deliberately kept distinct. For an interior macroface, the side-averaged states are</w:t>
      </w:r>
    </w:p>
    <w:p>
      <w:pPr>
        <w:pStyle w:val="BodyText"/>
      </w:pPr>
      <m:oMathPara>
        <m:oMathParaPr>
          <m:jc m:val="center"/>
        </m:oMathParaPr>
        <m:oMath>
          <m:sSub>
            <m:e>
              <m:bar>
                <m:barPr>
                  <m:pos m:val="top"/>
                </m:barPr>
                <m:e>
                  <m:r>
                    <m:rPr>
                      <m:sty m:val="b"/>
                    </m:rPr>
                    <m:t>U</m:t>
                  </m:r>
                </m:e>
              </m:bar>
            </m:e>
            <m:sub>
              <m:r>
                <m:t>e</m:t>
              </m:r>
              <m:r>
                <m:rPr>
                  <m:sty m:val="p"/>
                </m:rPr>
                <m:t>,</m:t>
              </m:r>
              <m:r>
                <m:t>L</m:t>
              </m:r>
            </m:sub>
          </m:sSub>
          <m:r>
            <m:rPr>
              <m:sty m:val="p"/>
            </m:rPr>
            <m:t>=</m:t>
          </m:r>
          <m:sSub>
            <m:e>
              <m:r>
                <m:rPr>
                  <m:sty m:val="b"/>
                </m:rPr>
                <m:t>U</m:t>
              </m:r>
            </m:e>
            <m:sub>
              <m:r>
                <m:t>i</m:t>
              </m:r>
            </m:sub>
          </m:sSub>
          <m:r>
            <m:rPr>
              <m:sty m:val="p"/>
            </m:rPr>
            <m:t>+</m:t>
          </m:r>
          <m:f>
            <m:fPr>
              <m:type m:val="bar"/>
            </m:fPr>
            <m:num>
              <m:r>
                <m:t>1</m:t>
              </m:r>
            </m:num>
            <m:den>
              <m:sSub>
                <m:e>
                  <m:r>
                    <m:t>S</m:t>
                  </m:r>
                </m:e>
                <m:sub>
                  <m:r>
                    <m:t>e</m:t>
                  </m:r>
                </m:sub>
              </m:sSub>
            </m:den>
          </m:f>
          <m:nary>
            <m:naryPr>
              <m:chr m:val="∑"/>
              <m:limLoc m:val="undOvr"/>
              <m:subHide m:val="off"/>
              <m:supHide m:val="on"/>
            </m:naryPr>
            <m:sub>
              <m:r>
                <m:t>m</m:t>
              </m:r>
            </m:sub>
            <m:sup>
              <m:r>
                <m:t>​</m:t>
              </m:r>
            </m:sup>
            <m:e>
              <m:sSubSup>
                <m:e>
                  <m:r>
                    <m:rPr>
                      <m:sty m:val="b"/>
                    </m:rPr>
                    <m:t>ω</m:t>
                  </m:r>
                </m:e>
                <m:sub>
                  <m:r>
                    <m:t>e</m:t>
                  </m:r>
                  <m:r>
                    <m:t>m</m:t>
                  </m:r>
                </m:sub>
                <m:sup>
                  <m:r>
                    <m:t>L</m:t>
                  </m:r>
                </m:sup>
              </m:sSubSup>
            </m:e>
          </m:nary>
          <m:r>
            <m:rPr>
              <m:sty m:val="p"/>
            </m:rPr>
            <m:t>⋅</m:t>
          </m:r>
          <m:sSub>
            <m:e>
              <m:r>
                <m:rPr>
                  <m:sty m:val="b"/>
                </m:rPr>
                <m:t>G</m:t>
              </m:r>
            </m:e>
            <m:sub>
              <m:r>
                <m:t>m</m:t>
              </m:r>
            </m:sub>
          </m:sSub>
          <m:r>
            <m:rPr>
              <m:sty m:val="p"/>
            </m:rPr>
            <m:t>,</m:t>
          </m:r>
          <m:r>
            <m:rPr>
              <m:nor/>
              <m:sty m:val="p"/>
            </m:rPr>
            <m:t> </m:t>
          </m:r>
          <m:sSub>
            <m:e>
              <m:bar>
                <m:barPr>
                  <m:pos m:val="top"/>
                </m:barPr>
                <m:e>
                  <m:r>
                    <m:rPr>
                      <m:sty m:val="b"/>
                    </m:rPr>
                    <m:t>U</m:t>
                  </m:r>
                </m:e>
              </m:bar>
            </m:e>
            <m:sub>
              <m:r>
                <m:t>e</m:t>
              </m:r>
              <m:r>
                <m:rPr>
                  <m:sty m:val="p"/>
                </m:rPr>
                <m:t>,</m:t>
              </m:r>
              <m:r>
                <m:t>R</m:t>
              </m:r>
            </m:sub>
          </m:sSub>
          <m:r>
            <m:rPr>
              <m:sty m:val="p"/>
            </m:rPr>
            <m:t>=</m:t>
          </m:r>
          <m:sSub>
            <m:e>
              <m:r>
                <m:rPr>
                  <m:sty m:val="b"/>
                </m:rPr>
                <m:t>U</m:t>
              </m:r>
            </m:e>
            <m:sub>
              <m:r>
                <m:t>j</m:t>
              </m:r>
            </m:sub>
          </m:sSub>
          <m:r>
            <m:rPr>
              <m:sty m:val="p"/>
            </m:rPr>
            <m:t>+</m:t>
          </m:r>
          <m:f>
            <m:fPr>
              <m:type m:val="bar"/>
            </m:fPr>
            <m:num>
              <m:r>
                <m:t>1</m:t>
              </m:r>
            </m:num>
            <m:den>
              <m:sSub>
                <m:e>
                  <m:r>
                    <m:t>S</m:t>
                  </m:r>
                </m:e>
                <m:sub>
                  <m:r>
                    <m:t>e</m:t>
                  </m:r>
                </m:sub>
              </m:sSub>
            </m:den>
          </m:f>
          <m:nary>
            <m:naryPr>
              <m:chr m:val="∑"/>
              <m:limLoc m:val="undOvr"/>
              <m:subHide m:val="off"/>
              <m:supHide m:val="on"/>
            </m:naryPr>
            <m:sub>
              <m:r>
                <m:t>m</m:t>
              </m:r>
            </m:sub>
            <m:sup>
              <m:r>
                <m:t>​</m:t>
              </m:r>
            </m:sup>
            <m:e>
              <m:sSubSup>
                <m:e>
                  <m:r>
                    <m:rPr>
                      <m:sty m:val="b"/>
                    </m:rPr>
                    <m:t>ω</m:t>
                  </m:r>
                </m:e>
                <m:sub>
                  <m:r>
                    <m:t>e</m:t>
                  </m:r>
                  <m:r>
                    <m:t>m</m:t>
                  </m:r>
                </m:sub>
                <m:sup>
                  <m:r>
                    <m:t>R</m:t>
                  </m:r>
                </m:sup>
              </m:sSubSup>
            </m:e>
          </m:nary>
          <m:r>
            <m:rPr>
              <m:sty m:val="p"/>
            </m:rPr>
            <m:t>⋅</m:t>
          </m:r>
          <m:sSub>
            <m:e>
              <m:r>
                <m:rPr>
                  <m:sty m:val="b"/>
                </m:rPr>
                <m:t>G</m:t>
              </m:r>
            </m:e>
            <m:sub>
              <m:r>
                <m:t>m</m:t>
              </m:r>
            </m:sub>
          </m:sSub>
          <m:r>
            <m:rPr>
              <m:sty m:val="p"/>
            </m:rPr>
            <m:t>,</m:t>
          </m:r>
          <m:r>
            <m:t> </m:t>
          </m:r>
          <m:d>
            <m:dPr>
              <m:begChr m:val="("/>
              <m:endChr m:val=")"/>
              <m:sepChr m:val=""/>
              <m:grow/>
            </m:dPr>
            <m:e>
              <m:r>
                <m:t>15</m:t>
              </m:r>
            </m:e>
          </m:d>
        </m:oMath>
      </m:oMathPara>
    </w:p>
    <w:p>
      <w:pPr>
        <w:pStyle w:val="FirstParagraph"/>
      </w:pPr>
      <w:r>
        <w:t xml:space="preserve">where</w:t>
      </w:r>
      <w:r>
        <w:t xml:space="preserve"> </w:t>
      </w:r>
      <m:oMath>
        <m:sSubSup>
          <m:e>
            <m:r>
              <m:rPr>
                <m:sty m:val="b"/>
              </m:rPr>
              <m:t>ω</m:t>
            </m:r>
          </m:e>
          <m:sub>
            <m:r>
              <m:t>e</m:t>
            </m:r>
            <m:r>
              <m:t>m</m:t>
            </m:r>
          </m:sub>
          <m:sup>
            <m:r>
              <m:t>L</m:t>
            </m:r>
            <m:r>
              <m:rPr>
                <m:sty m:val="p"/>
              </m:rPr>
              <m:t>/</m:t>
            </m:r>
            <m:r>
              <m:t>R</m:t>
            </m:r>
          </m:sup>
        </m:sSubSup>
      </m:oMath>
      <w:r>
        <w:t xml:space="preserve"> </w:t>
      </w:r>
      <w:r>
        <w:t xml:space="preserve">are accumulated versions of (11). The corresponding physical-flux integral for side</w:t>
      </w:r>
      <w:r>
        <w:t xml:space="preserve"> </w:t>
      </w:r>
      <m:oMath>
        <m:r>
          <m:t>s</m:t>
        </m:r>
        <m:r>
          <m:rPr>
            <m:sty m:val="p"/>
          </m:rPr>
          <m:t>∈</m:t>
        </m:r>
        <m:r>
          <m:rPr>
            <m:sty m:val="p"/>
          </m:rPr>
          <m:t>{</m:t>
        </m:r>
        <m:r>
          <m:t>L</m:t>
        </m:r>
        <m:r>
          <m:rPr>
            <m:sty m:val="p"/>
          </m:rPr>
          <m:t>,</m:t>
        </m:r>
        <m:r>
          <m:t>R</m:t>
        </m:r>
        <m:r>
          <m:rPr>
            <m:sty m:val="p"/>
          </m:rPr>
          <m:t>}</m:t>
        </m:r>
      </m:oMath>
      <w:r>
        <w:t xml:space="preserve"> </w:t>
      </w:r>
      <w:r>
        <w:t xml:space="preserve">is</w:t>
      </w:r>
    </w:p>
    <w:p>
      <w:pPr>
        <w:pStyle w:val="BodyText"/>
      </w:pPr>
      <m:oMathPara>
        <m:oMathParaPr>
          <m:jc m:val="center"/>
        </m:oMathParaPr>
        <m:oMath>
          <m:sSubSup>
            <m:e>
              <m:r>
                <m:rPr>
                  <m:sty m:val="b"/>
                </m:rPr>
                <m:t>Φ</m:t>
              </m:r>
            </m:e>
            <m:sub>
              <m:r>
                <m:t>e</m:t>
              </m:r>
              <m:r>
                <m:rPr>
                  <m:sty m:val="p"/>
                </m:rPr>
                <m:t>,</m:t>
              </m:r>
              <m:r>
                <m:t>s</m:t>
              </m:r>
            </m:sub>
            <m:sup>
              <m:r>
                <m:t>c</m:t>
              </m:r>
            </m:sup>
          </m:sSubSup>
          <m:r>
            <m:rPr>
              <m:sty m:val="p"/>
            </m:rPr>
            <m:t>=</m:t>
          </m:r>
          <m:r>
            <m:rPr>
              <m:sty m:val="b"/>
            </m:rPr>
            <m:t>F</m:t>
          </m:r>
          <m:d>
            <m:dPr>
              <m:begChr m:val="("/>
              <m:endChr m:val=")"/>
              <m:sepChr m:val=""/>
              <m:grow/>
            </m:dPr>
            <m:e>
              <m:sSub>
                <m:e>
                  <m:r>
                    <m:rPr>
                      <m:sty m:val="b"/>
                    </m:rPr>
                    <m:t>U</m:t>
                  </m:r>
                </m:e>
                <m:sub>
                  <m:sSub>
                    <m:e>
                      <m:r>
                        <m:t>i</m:t>
                      </m:r>
                    </m:e>
                    <m:sub>
                      <m:r>
                        <m:t>s</m:t>
                      </m:r>
                    </m:sub>
                  </m:sSub>
                </m:sub>
              </m:sSub>
            </m:e>
          </m:d>
          <m:r>
            <m:rPr>
              <m:sty m:val="p"/>
            </m:rPr>
            <m:t>⋅</m:t>
          </m:r>
          <m:sSub>
            <m:e>
              <m:r>
                <m:rPr>
                  <m:sty m:val="b"/>
                </m:rPr>
                <m:t>A</m:t>
              </m:r>
            </m:e>
            <m:sub>
              <m:r>
                <m:t>e</m:t>
              </m:r>
            </m:sub>
          </m:sSub>
          <m:r>
            <m:rPr>
              <m:sty m:val="p"/>
            </m:rPr>
            <m:t>+</m:t>
          </m:r>
          <m:sSub>
            <m:e>
              <m:r>
                <m:t>ϕ</m:t>
              </m:r>
            </m:e>
            <m:sub>
              <m:sSub>
                <m:e>
                  <m:r>
                    <m:t>i</m:t>
                  </m:r>
                </m:e>
                <m:sub>
                  <m:r>
                    <m:t>s</m:t>
                  </m:r>
                </m:sub>
              </m:sSub>
            </m:sub>
          </m:sSub>
          <m:nary>
            <m:naryPr>
              <m:chr m:val="∑"/>
              <m:limLoc m:val="undOvr"/>
              <m:subHide m:val="off"/>
              <m:supHide m:val="on"/>
            </m:naryPr>
            <m:sub>
              <m:r>
                <m:t>m</m:t>
              </m:r>
            </m:sub>
            <m:sup>
              <m:r>
                <m:t>​</m:t>
              </m:r>
            </m:sup>
            <m:e>
              <m:nary>
                <m:naryPr>
                  <m:chr m:val="∑"/>
                  <m:limLoc m:val="undOvr"/>
                  <m:subHide m:val="off"/>
                  <m:supHide m:val="on"/>
                </m:naryPr>
                <m:sub>
                  <m:r>
                    <m:t>α</m:t>
                  </m:r>
                  <m:r>
                    <m:rPr>
                      <m:sty m:val="p"/>
                    </m:rPr>
                    <m:t>,</m:t>
                  </m:r>
                  <m:r>
                    <m:t>β</m:t>
                  </m:r>
                </m:sub>
                <m:sup>
                  <m:r>
                    <m:t>​</m:t>
                  </m:r>
                </m:sup>
                <m:e>
                  <m:sSubSup>
                    <m:e>
                      <m:r>
                        <m:t>W</m:t>
                      </m:r>
                    </m:e>
                    <m:sub>
                      <m:r>
                        <m:t>e</m:t>
                      </m:r>
                      <m:r>
                        <m:t>m</m:t>
                      </m:r>
                      <m:r>
                        <m:rPr>
                          <m:sty m:val="p"/>
                        </m:rPr>
                        <m:t>,</m:t>
                      </m:r>
                      <m:r>
                        <m:t>α</m:t>
                      </m:r>
                      <m:r>
                        <m:t>β</m:t>
                      </m:r>
                    </m:sub>
                    <m:sup>
                      <m:r>
                        <m:t>s</m:t>
                      </m:r>
                    </m:sup>
                  </m:sSubSup>
                </m:e>
              </m:nary>
            </m:e>
          </m:nary>
          <m:r>
            <m:t> </m:t>
          </m:r>
          <m:sSub>
            <m:e>
              <m:r>
                <m:rPr>
                  <m:sty m:val="p"/>
                </m:rPr>
                <m:t>∂</m:t>
              </m:r>
            </m:e>
            <m:sub>
              <m:r>
                <m:t>α</m:t>
              </m:r>
            </m:sub>
          </m:sSub>
          <m:sSub>
            <m:e>
              <m:r>
                <m:t>F</m:t>
              </m:r>
            </m:e>
            <m:sub>
              <m:r>
                <m:t>β</m:t>
              </m:r>
            </m:sub>
          </m:sSub>
          <m:d>
            <m:dPr>
              <m:begChr m:val="("/>
              <m:endChr m:val=")"/>
              <m:sepChr m:val=""/>
              <m:grow/>
            </m:dPr>
            <m:e>
              <m:sSub>
                <m:e>
                  <m:r>
                    <m:rPr>
                      <m:sty m:val="b"/>
                    </m:rPr>
                    <m:t>U</m:t>
                  </m:r>
                </m:e>
                <m:sub>
                  <m:r>
                    <m:t>m</m:t>
                  </m:r>
                </m:sub>
              </m:sSub>
            </m:e>
          </m:d>
          <m:r>
            <m:rPr>
              <m:sty m:val="p"/>
            </m:rPr>
            <m:t>,</m:t>
          </m:r>
          <m:r>
            <m:t> </m:t>
          </m:r>
          <m:d>
            <m:dPr>
              <m:begChr m:val="("/>
              <m:endChr m:val=")"/>
              <m:sepChr m:val=""/>
              <m:grow/>
            </m:dPr>
            <m:e>
              <m:r>
                <m:t>16</m:t>
              </m:r>
            </m:e>
          </m:d>
        </m:oMath>
      </m:oMathPara>
    </w:p>
    <w:p>
      <w:pPr>
        <w:pStyle w:val="FirstParagraph"/>
      </w:pPr>
      <w:r>
        <w:t xml:space="preserve">where</w:t>
      </w:r>
      <w:r>
        <w:t xml:space="preserve"> </w:t>
      </w:r>
      <m:oMath>
        <m:sSubSup>
          <m:e>
            <m:r>
              <m:t>W</m:t>
            </m:r>
          </m:e>
          <m:sub>
            <m:r>
              <m:t>e</m:t>
            </m:r>
            <m:r>
              <m:t>m</m:t>
            </m:r>
            <m:r>
              <m:rPr>
                <m:sty m:val="p"/>
              </m:rPr>
              <m:t>,</m:t>
            </m:r>
            <m:r>
              <m:t>α</m:t>
            </m:r>
            <m:r>
              <m:t>β</m:t>
            </m:r>
          </m:sub>
          <m:sup>
            <m:r>
              <m:t>s</m:t>
            </m:r>
          </m:sup>
        </m:sSubSup>
      </m:oMath>
      <w:r>
        <w:t xml:space="preserve"> </w:t>
      </w:r>
      <w:r>
        <w:t xml:space="preserve">is the precomputed flux-gradient weight,</w:t>
      </w:r>
      <w:r>
        <w:t xml:space="preserve"> </w:t>
      </w:r>
      <m:oMath>
        <m:sSub>
          <m:e>
            <m:r>
              <m:t>ϕ</m:t>
            </m:r>
          </m:e>
          <m:sub>
            <m:sSub>
              <m:e>
                <m:r>
                  <m:t>i</m:t>
                </m:r>
              </m:e>
              <m:sub>
                <m:r>
                  <m:t>s</m:t>
                </m:r>
              </m:sub>
            </m:sSub>
          </m:sub>
        </m:sSub>
      </m:oMath>
      <w:r>
        <w:t xml:space="preserve"> </w:t>
      </w:r>
      <w:r>
        <w:t xml:space="preserve">is the side limiter factor and</w:t>
      </w:r>
      <w:r>
        <w:t xml:space="preserve"> </w:t>
      </w:r>
      <m:oMath>
        <m:sSub>
          <m:e>
            <m:r>
              <m:rPr>
                <m:sty m:val="p"/>
              </m:rPr>
              <m:t>∂</m:t>
            </m:r>
          </m:e>
          <m:sub>
            <m:r>
              <m:t>α</m:t>
            </m:r>
          </m:sub>
        </m:sSub>
        <m:sSub>
          <m:e>
            <m:r>
              <m:t>F</m:t>
            </m:r>
          </m:e>
          <m:sub>
            <m:r>
              <m:t>β</m:t>
            </m:r>
          </m:sub>
        </m:sSub>
        <m:d>
          <m:dPr>
            <m:begChr m:val="("/>
            <m:endChr m:val=")"/>
            <m:sepChr m:val=""/>
            <m:grow/>
          </m:dPr>
          <m:e>
            <m:sSub>
              <m:e>
                <m:r>
                  <m:rPr>
                    <m:sty m:val="b"/>
                  </m:rPr>
                  <m:t>U</m:t>
                </m:r>
              </m:e>
              <m:sub>
                <m:r>
                  <m:t>m</m:t>
                </m:r>
              </m:sub>
            </m:sSub>
          </m:e>
        </m:d>
      </m:oMath>
      <w:r>
        <w:t xml:space="preserve"> </w:t>
      </w:r>
      <w:r>
        <w:t xml:space="preserve">is calculated from the already available state gradient. The implementation caches these physical-flux gradients for owned and ghost support nodes once per residual evaluation; this replaces repeated chain-rule work in every edge loop.</w:t>
      </w:r>
    </w:p>
    <w:p>
      <w:pPr>
        <w:pStyle w:val="BodyText"/>
      </w:pPr>
      <w:r>
        <w:t xml:space="preserve">The single Riemann call per macroface is used only for the nonlinear dissipative correction:</w:t>
      </w:r>
    </w:p>
    <w:p>
      <w:pPr>
        <w:pStyle w:val="BodyText"/>
      </w:pPr>
      <m:oMathPara>
        <m:oMathParaPr>
          <m:jc m:val="center"/>
        </m:oMathParaPr>
        <m:oMath>
          <m:sSub>
            <m:e>
              <m:acc>
                <m:accPr>
                  <m:chr m:val="̂"/>
                </m:accPr>
                <m:e>
                  <m:r>
                    <m:rPr>
                      <m:sty m:val="b"/>
                    </m:rPr>
                    <m:t>Φ</m:t>
                  </m:r>
                </m:e>
              </m:acc>
            </m:e>
            <m:sub>
              <m:r>
                <m:t>e</m:t>
              </m:r>
            </m:sub>
          </m:sSub>
          <m:r>
            <m:rPr>
              <m:sty m:val="p"/>
            </m:rPr>
            <m:t>=</m:t>
          </m:r>
          <m:f>
            <m:fPr>
              <m:type m:val="bar"/>
            </m:fPr>
            <m:num>
              <m:r>
                <m:t>1</m:t>
              </m:r>
            </m:num>
            <m:den>
              <m:r>
                <m:t>2</m:t>
              </m:r>
            </m:den>
          </m:f>
          <m:d>
            <m:dPr>
              <m:begChr m:val="("/>
              <m:endChr m:val=")"/>
              <m:sepChr m:val=""/>
              <m:grow/>
            </m:dPr>
            <m:e>
              <m:sSubSup>
                <m:e>
                  <m:r>
                    <m:rPr>
                      <m:sty m:val="b"/>
                    </m:rPr>
                    <m:t>Φ</m:t>
                  </m:r>
                </m:e>
                <m:sub>
                  <m:r>
                    <m:t>e</m:t>
                  </m:r>
                  <m:r>
                    <m:rPr>
                      <m:sty m:val="p"/>
                    </m:rPr>
                    <m:t>,</m:t>
                  </m:r>
                  <m:r>
                    <m:t>L</m:t>
                  </m:r>
                </m:sub>
                <m:sup>
                  <m:r>
                    <m:t>c</m:t>
                  </m:r>
                </m:sup>
              </m:sSubSup>
              <m:r>
                <m:rPr>
                  <m:sty m:val="p"/>
                </m:rPr>
                <m:t>+</m:t>
              </m:r>
              <m:sSubSup>
                <m:e>
                  <m:r>
                    <m:rPr>
                      <m:sty m:val="b"/>
                    </m:rPr>
                    <m:t>Φ</m:t>
                  </m:r>
                </m:e>
                <m:sub>
                  <m:r>
                    <m:t>e</m:t>
                  </m:r>
                  <m:r>
                    <m:rPr>
                      <m:sty m:val="p"/>
                    </m:rPr>
                    <m:t>,</m:t>
                  </m:r>
                  <m:r>
                    <m:t>R</m:t>
                  </m:r>
                </m:sub>
                <m:sup>
                  <m:r>
                    <m:t>c</m:t>
                  </m:r>
                </m:sup>
              </m:sSubSup>
            </m:e>
          </m:d>
          <m:r>
            <m:rPr>
              <m:sty m:val="p"/>
            </m:rPr>
            <m:t>+</m:t>
          </m:r>
          <m:sSub>
            <m:e>
              <m:r>
                <m:t>S</m:t>
              </m:r>
            </m:e>
            <m:sub>
              <m:r>
                <m:t>e</m:t>
              </m:r>
            </m:sub>
          </m:sSub>
          <m:d>
            <m:dPr>
              <m:begChr m:val="["/>
              <m:endChr m:val="]"/>
              <m:sepChr m:val=""/>
              <m:grow/>
            </m:dPr>
            <m:e>
              <m:sSup>
                <m:e>
                  <m:r>
                    <m:rPr>
                      <m:sty m:val="b"/>
                    </m:rPr>
                    <m:t>F</m:t>
                  </m:r>
                </m:e>
                <m:sup>
                  <m:r>
                    <m:rPr>
                      <m:sty m:val="p"/>
                    </m:rPr>
                    <m:t>n</m:t>
                  </m:r>
                  <m:r>
                    <m:rPr>
                      <m:sty m:val="p"/>
                    </m:rPr>
                    <m:t>u</m:t>
                  </m:r>
                  <m:r>
                    <m:rPr>
                      <m:sty m:val="p"/>
                    </m:rPr>
                    <m:t>m</m:t>
                  </m:r>
                </m:sup>
              </m:sSup>
              <m:d>
                <m:dPr>
                  <m:begChr m:val="("/>
                  <m:endChr m:val=")"/>
                  <m:sepChr m:val=""/>
                  <m:grow/>
                </m:dPr>
                <m:e>
                  <m:sSub>
                    <m:e>
                      <m:bar>
                        <m:barPr>
                          <m:pos m:val="top"/>
                        </m:barPr>
                        <m:e>
                          <m:r>
                            <m:rPr>
                              <m:sty m:val="b"/>
                            </m:rPr>
                            <m:t>U</m:t>
                          </m:r>
                        </m:e>
                      </m:bar>
                    </m:e>
                    <m:sub>
                      <m:r>
                        <m:t>e</m:t>
                      </m:r>
                      <m:r>
                        <m:rPr>
                          <m:sty m:val="p"/>
                        </m:rPr>
                        <m:t>,</m:t>
                      </m:r>
                      <m:r>
                        <m:t>L</m:t>
                      </m:r>
                    </m:sub>
                  </m:sSub>
                  <m:r>
                    <m:rPr>
                      <m:sty m:val="p"/>
                    </m:rPr>
                    <m:t>,</m:t>
                  </m:r>
                  <m:sSub>
                    <m:e>
                      <m:bar>
                        <m:barPr>
                          <m:pos m:val="top"/>
                        </m:barPr>
                        <m:e>
                          <m:r>
                            <m:rPr>
                              <m:sty m:val="b"/>
                            </m:rPr>
                            <m:t>U</m:t>
                          </m:r>
                        </m:e>
                      </m:bar>
                    </m:e>
                    <m:sub>
                      <m:r>
                        <m:t>e</m:t>
                      </m:r>
                      <m:r>
                        <m:rPr>
                          <m:sty m:val="p"/>
                        </m:rPr>
                        <m:t>,</m:t>
                      </m:r>
                      <m:r>
                        <m:t>R</m:t>
                      </m:r>
                    </m:sub>
                  </m:sSub>
                  <m:r>
                    <m:rPr>
                      <m:sty m:val="p"/>
                    </m:rPr>
                    <m:t>;</m:t>
                  </m:r>
                  <m:sSub>
                    <m:e>
                      <m:r>
                        <m:rPr>
                          <m:sty m:val="b"/>
                        </m:rPr>
                        <m:t>n</m:t>
                      </m:r>
                    </m:e>
                    <m:sub>
                      <m:r>
                        <m:t>e</m:t>
                      </m:r>
                    </m:sub>
                  </m:sSub>
                </m:e>
              </m:d>
              <m:r>
                <m:rPr>
                  <m:sty m:val="p"/>
                </m:rPr>
                <m:t>−</m:t>
              </m:r>
              <m:f>
                <m:fPr>
                  <m:type m:val="bar"/>
                </m:fPr>
                <m:num>
                  <m:r>
                    <m:t>1</m:t>
                  </m:r>
                </m:num>
                <m:den>
                  <m:r>
                    <m:t>2</m:t>
                  </m:r>
                </m:den>
              </m:f>
              <m:d>
                <m:dPr>
                  <m:begChr m:val="("/>
                  <m:endChr m:val=")"/>
                  <m:sepChr m:val=""/>
                  <m:grow/>
                </m:dPr>
                <m:e>
                  <m:r>
                    <m:rPr>
                      <m:sty m:val="b"/>
                    </m:rPr>
                    <m:t>F</m:t>
                  </m:r>
                  <m:d>
                    <m:dPr>
                      <m:begChr m:val="("/>
                      <m:endChr m:val=")"/>
                      <m:sepChr m:val=""/>
                      <m:grow/>
                    </m:dPr>
                    <m:e>
                      <m:sSub>
                        <m:e>
                          <m:bar>
                            <m:barPr>
                              <m:pos m:val="top"/>
                            </m:barPr>
                            <m:e>
                              <m:r>
                                <m:rPr>
                                  <m:sty m:val="b"/>
                                </m:rPr>
                                <m:t>U</m:t>
                              </m:r>
                            </m:e>
                          </m:bar>
                        </m:e>
                        <m:sub>
                          <m:r>
                            <m:t>e</m:t>
                          </m:r>
                          <m:r>
                            <m:rPr>
                              <m:sty m:val="p"/>
                            </m:rPr>
                            <m:t>,</m:t>
                          </m:r>
                          <m:r>
                            <m:t>L</m:t>
                          </m:r>
                        </m:sub>
                      </m:sSub>
                    </m:e>
                  </m:d>
                  <m:r>
                    <m:rPr>
                      <m:sty m:val="p"/>
                    </m:rPr>
                    <m:t>⋅</m:t>
                  </m:r>
                  <m:sSub>
                    <m:e>
                      <m:r>
                        <m:rPr>
                          <m:sty m:val="b"/>
                        </m:rPr>
                        <m:t>n</m:t>
                      </m:r>
                    </m:e>
                    <m:sub>
                      <m:r>
                        <m:t>e</m:t>
                      </m:r>
                    </m:sub>
                  </m:sSub>
                  <m:r>
                    <m:rPr>
                      <m:sty m:val="p"/>
                    </m:rPr>
                    <m:t>+</m:t>
                  </m:r>
                  <m:r>
                    <m:rPr>
                      <m:sty m:val="b"/>
                    </m:rPr>
                    <m:t>F</m:t>
                  </m:r>
                  <m:d>
                    <m:dPr>
                      <m:begChr m:val="("/>
                      <m:endChr m:val=")"/>
                      <m:sepChr m:val=""/>
                      <m:grow/>
                    </m:dPr>
                    <m:e>
                      <m:sSub>
                        <m:e>
                          <m:bar>
                            <m:barPr>
                              <m:pos m:val="top"/>
                            </m:barPr>
                            <m:e>
                              <m:r>
                                <m:rPr>
                                  <m:sty m:val="b"/>
                                </m:rPr>
                                <m:t>U</m:t>
                              </m:r>
                            </m:e>
                          </m:bar>
                        </m:e>
                        <m:sub>
                          <m:r>
                            <m:t>e</m:t>
                          </m:r>
                          <m:r>
                            <m:rPr>
                              <m:sty m:val="p"/>
                            </m:rPr>
                            <m:t>,</m:t>
                          </m:r>
                          <m:r>
                            <m:t>R</m:t>
                          </m:r>
                        </m:sub>
                      </m:sSub>
                    </m:e>
                  </m:d>
                  <m:r>
                    <m:rPr>
                      <m:sty m:val="p"/>
                    </m:rPr>
                    <m:t>⋅</m:t>
                  </m:r>
                  <m:sSub>
                    <m:e>
                      <m:r>
                        <m:rPr>
                          <m:sty m:val="b"/>
                        </m:rPr>
                        <m:t>n</m:t>
                      </m:r>
                    </m:e>
                    <m:sub>
                      <m:r>
                        <m:t>e</m:t>
                      </m:r>
                    </m:sub>
                  </m:sSub>
                </m:e>
              </m:d>
            </m:e>
          </m:d>
          <m:r>
            <m:rPr>
              <m:sty m:val="p"/>
            </m:rPr>
            <m:t>,</m:t>
          </m:r>
          <m:r>
            <m:t> </m:t>
          </m:r>
          <m:d>
            <m:dPr>
              <m:begChr m:val="("/>
              <m:endChr m:val=")"/>
              <m:sepChr m:val=""/>
              <m:grow/>
            </m:dPr>
            <m:e>
              <m:r>
                <m:t>17</m:t>
              </m:r>
            </m:e>
          </m:d>
        </m:oMath>
      </m:oMathPara>
    </w:p>
    <w:p>
      <w:pPr>
        <w:pStyle w:val="FirstParagraph"/>
      </w:pPr>
      <w:r>
        <w:t xml:space="preserve">with</w:t>
      </w:r>
      <w:r>
        <w:t xml:space="preserve"> </w:t>
      </w:r>
      <m:oMath>
        <m:sSub>
          <m:e>
            <m:r>
              <m:rPr>
                <m:sty m:val="b"/>
              </m:rPr>
              <m:t>n</m:t>
            </m:r>
          </m:e>
          <m:sub>
            <m:r>
              <m:t>e</m:t>
            </m:r>
          </m:sub>
        </m:sSub>
        <m:r>
          <m:rPr>
            <m:sty m:val="p"/>
          </m:rPr>
          <m:t>=</m:t>
        </m:r>
        <m:sSub>
          <m:e>
            <m:r>
              <m:rPr>
                <m:sty m:val="b"/>
              </m:rPr>
              <m:t>A</m:t>
            </m:r>
          </m:e>
          <m:sub>
            <m:r>
              <m:t>e</m:t>
            </m:r>
          </m:sub>
        </m:sSub>
        <m:r>
          <m:rPr>
            <m:sty m:val="p"/>
          </m:rPr>
          <m:t>/</m:t>
        </m:r>
        <m:r>
          <m:rPr>
            <m:sty m:val="p"/>
          </m:rPr>
          <m:t>∥</m:t>
        </m:r>
        <m:sSub>
          <m:e>
            <m:r>
              <m:rPr>
                <m:sty m:val="b"/>
              </m:rPr>
              <m:t>A</m:t>
            </m:r>
          </m:e>
          <m:sub>
            <m:r>
              <m:t>e</m:t>
            </m:r>
          </m:sub>
        </m:sSub>
        <m:r>
          <m:rPr>
            <m:sty m:val="p"/>
          </m:rPr>
          <m:t>∥</m:t>
        </m:r>
      </m:oMath>
      <w:r>
        <w:t xml:space="preserve">. Equation (17) prevents the central physical flux from being approximated by a single state evaluation while avoiding a Riemann solve at every micro-surface point. Roe’s approximate solver</w:t>
      </w:r>
      <w:r>
        <w:t xml:space="preserve"> </w:t>
      </w:r>
      <w:r>
        <w:t xml:space="preserve">[14]</w:t>
      </w:r>
      <w:r>
        <w:t xml:space="preserve"> </w:t>
      </w:r>
      <w:r>
        <w:t xml:space="preserve">is one available flux option; the actual flux selected in a verification case must always be reported.</w:t>
      </w:r>
    </w:p>
    <w:p>
      <w:pPr>
        <w:pStyle w:val="BodyText"/>
      </w:pPr>
      <w:r>
        <w:t xml:space="preserve">For the Roe–Pike form used in thesis Section 4.2.1</w:t>
      </w:r>
      <w:r>
        <w:t xml:space="preserve"> </w:t>
      </w:r>
      <w:r>
        <w:t xml:space="preserve">[11]</w:t>
      </w:r>
      <w:r>
        <w:t xml:space="preserve">, define</w:t>
      </w:r>
      <w:r>
        <w:t xml:space="preserve"> </w:t>
      </w:r>
      <m:oMath>
        <m:sSub>
          <m:e>
            <m:r>
              <m:rPr>
                <m:sty m:val="b"/>
              </m:rPr>
              <m:t>B</m:t>
            </m:r>
          </m:e>
          <m:sub>
            <m:r>
              <m:t>e</m:t>
            </m:r>
          </m:sub>
        </m:sSub>
        <m:r>
          <m:rPr>
            <m:sty m:val="p"/>
          </m:rPr>
          <m:t>=</m:t>
        </m:r>
        <m:d>
          <m:dPr>
            <m:begChr m:val="|"/>
            <m:endChr m:val="|"/>
            <m:sepChr m:val=""/>
            <m:grow/>
          </m:dPr>
          <m:e>
            <m:sSub>
              <m:e>
                <m:acc>
                  <m:accPr>
                    <m:chr m:val="̃"/>
                  </m:accPr>
                  <m:e>
                    <m:r>
                      <m:rPr>
                        <m:sty m:val="b"/>
                      </m:rPr>
                      <m:t>A</m:t>
                    </m:r>
                  </m:e>
                </m:acc>
              </m:e>
              <m:sub>
                <m:r>
                  <m:t>e</m:t>
                </m:r>
              </m:sub>
            </m:sSub>
          </m:e>
        </m:d>
        <m:r>
          <m:rPr>
            <m:sty m:val="p"/>
          </m:rPr>
          <m:t>=</m:t>
        </m:r>
        <m:sSub>
          <m:e>
            <m:r>
              <m:rPr>
                <m:sty m:val="b"/>
              </m:rPr>
              <m:t>R</m:t>
            </m:r>
          </m:e>
          <m:sub>
            <m:r>
              <m:t>e</m:t>
            </m:r>
          </m:sub>
        </m:sSub>
        <m:d>
          <m:dPr>
            <m:begChr m:val="|"/>
            <m:endChr m:val="|"/>
            <m:sepChr m:val=""/>
            <m:grow/>
          </m:dPr>
          <m:e>
            <m:sSub>
              <m:e>
                <m:r>
                  <m:rPr>
                    <m:sty m:val="b"/>
                  </m:rPr>
                  <m:t>Λ</m:t>
                </m:r>
              </m:e>
              <m:sub>
                <m:r>
                  <m:t>e</m:t>
                </m:r>
              </m:sub>
            </m:sSub>
          </m:e>
        </m:d>
        <m:sSubSup>
          <m:e>
            <m:r>
              <m:rPr>
                <m:sty m:val="b"/>
              </m:rPr>
              <m:t>R</m:t>
            </m:r>
          </m:e>
          <m:sub>
            <m:r>
              <m:t>e</m:t>
            </m:r>
          </m:sub>
          <m:sup>
            <m:r>
              <m:rPr>
                <m:sty m:val="p"/>
              </m:rPr>
              <m:t>−</m:t>
            </m:r>
            <m:r>
              <m:t>1</m:t>
            </m:r>
          </m:sup>
        </m:sSubSup>
      </m:oMath>
      <w:r>
        <w:t xml:space="preserve">, with any entropy correction included in</w:t>
      </w:r>
      <w:r>
        <w:t xml:space="preserve"> </w:t>
      </w:r>
      <m:oMath>
        <m:d>
          <m:dPr>
            <m:begChr m:val="|"/>
            <m:endChr m:val="|"/>
            <m:sepChr m:val=""/>
            <m:grow/>
          </m:dPr>
          <m:e>
            <m:sSub>
              <m:e>
                <m:r>
                  <m:rPr>
                    <m:sty m:val="b"/>
                  </m:rPr>
                  <m:t>Λ</m:t>
                </m:r>
              </m:e>
              <m:sub>
                <m:r>
                  <m:t>e</m:t>
                </m:r>
              </m:sub>
            </m:sSub>
          </m:e>
        </m:d>
      </m:oMath>
      <w:r>
        <w:t xml:space="preserve">. The correction in (17) becomes</w:t>
      </w:r>
    </w:p>
    <w:p>
      <w:pPr>
        <w:pStyle w:val="BodyText"/>
      </w:pPr>
      <m:oMathPara>
        <m:oMathParaPr>
          <m:jc m:val="center"/>
        </m:oMathParaPr>
        <m:oMath>
          <m:sSubSup>
            <m:e>
              <m:r>
                <m:rPr>
                  <m:sty m:val="b"/>
                </m:rPr>
                <m:t>Φ</m:t>
              </m:r>
            </m:e>
            <m:sub>
              <m:r>
                <m:t>e</m:t>
              </m:r>
            </m:sub>
            <m:sup>
              <m:r>
                <m:t>d</m:t>
              </m:r>
            </m:sup>
          </m:sSubSup>
          <m:r>
            <m:rPr>
              <m:sty m:val="p"/>
            </m:rPr>
            <m:t>=</m:t>
          </m:r>
          <m:r>
            <m:rPr>
              <m:sty m:val="p"/>
            </m:rPr>
            <m:t>−</m:t>
          </m:r>
          <m:f>
            <m:fPr>
              <m:type m:val="bar"/>
            </m:fPr>
            <m:num>
              <m:sSub>
                <m:e>
                  <m:r>
                    <m:t>S</m:t>
                  </m:r>
                </m:e>
                <m:sub>
                  <m:r>
                    <m:t>e</m:t>
                  </m:r>
                </m:sub>
              </m:sSub>
            </m:num>
            <m:den>
              <m:r>
                <m:t>2</m:t>
              </m:r>
            </m:den>
          </m:f>
          <m:sSub>
            <m:e>
              <m:r>
                <m:rPr>
                  <m:sty m:val="b"/>
                </m:rPr>
                <m:t>B</m:t>
              </m:r>
            </m:e>
            <m:sub>
              <m:r>
                <m:t>e</m:t>
              </m:r>
            </m:sub>
          </m:sSub>
          <m:d>
            <m:dPr>
              <m:begChr m:val="("/>
              <m:endChr m:val=")"/>
              <m:sepChr m:val=""/>
              <m:grow/>
            </m:dPr>
            <m:e>
              <m:sSub>
                <m:e>
                  <m:bar>
                    <m:barPr>
                      <m:pos m:val="top"/>
                    </m:barPr>
                    <m:e>
                      <m:r>
                        <m:rPr>
                          <m:sty m:val="b"/>
                        </m:rPr>
                        <m:t>U</m:t>
                      </m:r>
                    </m:e>
                  </m:bar>
                </m:e>
                <m:sub>
                  <m:r>
                    <m:t>e</m:t>
                  </m:r>
                  <m:r>
                    <m:rPr>
                      <m:sty m:val="p"/>
                    </m:rPr>
                    <m:t>,</m:t>
                  </m:r>
                  <m:r>
                    <m:t>R</m:t>
                  </m:r>
                </m:sub>
              </m:sSub>
              <m:r>
                <m:rPr>
                  <m:sty m:val="p"/>
                </m:rPr>
                <m:t>−</m:t>
              </m:r>
              <m:sSub>
                <m:e>
                  <m:bar>
                    <m:barPr>
                      <m:pos m:val="top"/>
                    </m:barPr>
                    <m:e>
                      <m:r>
                        <m:rPr>
                          <m:sty m:val="b"/>
                        </m:rPr>
                        <m:t>U</m:t>
                      </m:r>
                    </m:e>
                  </m:bar>
                </m:e>
                <m:sub>
                  <m:r>
                    <m:t>e</m:t>
                  </m:r>
                  <m:r>
                    <m:rPr>
                      <m:sty m:val="p"/>
                    </m:rPr>
                    <m:t>,</m:t>
                  </m:r>
                  <m:r>
                    <m:t>L</m:t>
                  </m:r>
                </m:sub>
              </m:sSub>
            </m:e>
          </m:d>
          <m:r>
            <m:rPr>
              <m:sty m:val="p"/>
            </m:rPr>
            <m:t>.</m:t>
          </m:r>
          <m:r>
            <m:t> </m:t>
          </m:r>
          <m:d>
            <m:dPr>
              <m:begChr m:val="("/>
              <m:endChr m:val=")"/>
              <m:sepChr m:val=""/>
              <m:grow/>
            </m:dPr>
            <m:e>
              <m:r>
                <m:t>18</m:t>
              </m:r>
            </m:e>
          </m:d>
        </m:oMath>
      </m:oMathPara>
    </w:p>
    <w:p>
      <w:pPr>
        <w:pStyle w:val="FirstParagraph"/>
      </w:pPr>
      <w:r>
        <w:t xml:space="preserve">The Roe velocity and enthalpy are formed from the two macroface means, e.g.</w:t>
      </w:r>
      <w:r>
        <w:t xml:space="preserve"> </w:t>
      </w:r>
      <m:oMath>
        <m:acc>
          <m:accPr>
            <m:chr m:val="̃"/>
          </m:accPr>
          <m:e>
            <m:r>
              <m:rPr>
                <m:sty m:val="b"/>
              </m:rPr>
              <m:t>v</m:t>
            </m:r>
          </m:e>
        </m:acc>
        <m:r>
          <m:rPr>
            <m:sty m:val="p"/>
          </m:rPr>
          <m:t>=</m:t>
        </m:r>
        <m:d>
          <m:dPr>
            <m:begChr m:val="("/>
            <m:endChr m:val=")"/>
            <m:sepChr m:val=""/>
            <m:grow/>
          </m:dPr>
          <m:e>
            <m:rad>
              <m:radPr>
                <m:degHide m:val="on"/>
              </m:radPr>
              <m:deg/>
              <m:e>
                <m:sSub>
                  <m:e>
                    <m:r>
                      <m:t>ρ</m:t>
                    </m:r>
                  </m:e>
                  <m:sub>
                    <m:r>
                      <m:t>L</m:t>
                    </m:r>
                  </m:sub>
                </m:sSub>
              </m:e>
            </m:rad>
            <m:sSub>
              <m:e>
                <m:r>
                  <m:rPr>
                    <m:sty m:val="b"/>
                  </m:rPr>
                  <m:t>v</m:t>
                </m:r>
              </m:e>
              <m:sub>
                <m:r>
                  <m:t>L</m:t>
                </m:r>
              </m:sub>
            </m:sSub>
            <m:r>
              <m:rPr>
                <m:sty m:val="p"/>
              </m:rPr>
              <m:t>+</m:t>
            </m:r>
            <m:rad>
              <m:radPr>
                <m:degHide m:val="on"/>
              </m:radPr>
              <m:deg/>
              <m:e>
                <m:sSub>
                  <m:e>
                    <m:r>
                      <m:t>ρ</m:t>
                    </m:r>
                  </m:e>
                  <m:sub>
                    <m:r>
                      <m:t>R</m:t>
                    </m:r>
                  </m:sub>
                </m:sSub>
              </m:e>
            </m:rad>
            <m:sSub>
              <m:e>
                <m:r>
                  <m:rPr>
                    <m:sty m:val="b"/>
                  </m:rPr>
                  <m:t>v</m:t>
                </m:r>
              </m:e>
              <m:sub>
                <m:r>
                  <m:t>R</m:t>
                </m:r>
              </m:sub>
            </m:sSub>
          </m:e>
        </m:d>
        <m:r>
          <m:rPr>
            <m:sty m:val="p"/>
          </m:rPr>
          <m:t>/</m:t>
        </m:r>
        <m:d>
          <m:dPr>
            <m:begChr m:val="("/>
            <m:endChr m:val=")"/>
            <m:sepChr m:val=""/>
            <m:grow/>
          </m:dPr>
          <m:e>
            <m:rad>
              <m:radPr>
                <m:degHide m:val="on"/>
              </m:radPr>
              <m:deg/>
              <m:e>
                <m:sSub>
                  <m:e>
                    <m:r>
                      <m:t>ρ</m:t>
                    </m:r>
                  </m:e>
                  <m:sub>
                    <m:r>
                      <m:t>L</m:t>
                    </m:r>
                  </m:sub>
                </m:sSub>
              </m:e>
            </m:rad>
            <m:r>
              <m:rPr>
                <m:sty m:val="p"/>
              </m:rPr>
              <m:t>+</m:t>
            </m:r>
            <m:rad>
              <m:radPr>
                <m:degHide m:val="on"/>
              </m:radPr>
              <m:deg/>
              <m:e>
                <m:sSub>
                  <m:e>
                    <m:r>
                      <m:t>ρ</m:t>
                    </m:r>
                  </m:e>
                  <m:sub>
                    <m:r>
                      <m:t>R</m:t>
                    </m:r>
                  </m:sub>
                </m:sSub>
              </m:e>
            </m:rad>
          </m:e>
        </m:d>
      </m:oMath>
      <w:r>
        <w:t xml:space="preserve">, with the analogous formula for</w:t>
      </w:r>
      <w:r>
        <w:t xml:space="preserve"> </w:t>
      </w:r>
      <m:oMath>
        <m:acc>
          <m:accPr>
            <m:chr m:val="̃"/>
          </m:accPr>
          <m:e>
            <m:r>
              <m:t>H</m:t>
            </m:r>
          </m:e>
        </m:acc>
      </m:oMath>
      <w:r>
        <w:t xml:space="preserve">.</w:t>
      </w:r>
      <w:r>
        <w:t xml:space="preserve"> </w:t>
      </w:r>
      <w:r>
        <w:t xml:space="preserve">Freezing this matrix over the macroface permits it to be taken outside the jump integral. This is the algebraic reason that one characteristic decomposition replaces the repeated decompositions at quadrature points.</w:t>
      </w:r>
    </w:p>
    <w:p>
      <w:pPr>
        <w:pStyle w:val="BodyText"/>
      </w:pPr>
      <w:r>
        <w:t xml:space="preserve">The approximation deserves a geometry qualification. On a planar smooth face, if</w:t>
      </w:r>
      <w:r>
        <w:t xml:space="preserve"> </w:t>
      </w:r>
      <m:oMath>
        <m:sSub>
          <m:e>
            <m:r>
              <m:rPr>
                <m:sty m:val="b"/>
              </m:rPr>
              <m:t>U</m:t>
            </m:r>
          </m:e>
          <m:sub>
            <m:r>
              <m:t>R</m:t>
            </m:r>
          </m:sub>
        </m:sSub>
        <m:r>
          <m:rPr>
            <m:sty m:val="p"/>
          </m:rPr>
          <m:t>−</m:t>
        </m:r>
        <m:sSub>
          <m:e>
            <m:r>
              <m:rPr>
                <m:sty m:val="b"/>
              </m:rPr>
              <m:t>U</m:t>
            </m:r>
          </m:e>
          <m:sub>
            <m:r>
              <m:t>L</m:t>
            </m:r>
          </m:sub>
        </m:sSub>
        <m:r>
          <m:rPr>
            <m:sty m:val="p"/>
          </m:rPr>
          <m:t>=</m:t>
        </m:r>
        <m:r>
          <m:t>O</m:t>
        </m:r>
        <m:d>
          <m:dPr>
            <m:begChr m:val="("/>
            <m:endChr m:val=")"/>
            <m:sepChr m:val=""/>
            <m:grow/>
          </m:dPr>
          <m:e>
            <m:sSup>
              <m:e>
                <m:r>
                  <m:t>h</m:t>
                </m:r>
              </m:e>
              <m:sup>
                <m:r>
                  <m:t>3</m:t>
                </m:r>
              </m:sup>
            </m:sSup>
          </m:e>
        </m:d>
      </m:oMath>
      <w:r>
        <w:t xml:space="preserve"> </w:t>
      </w:r>
      <w:r>
        <w:t xml:space="preserve">and</w:t>
      </w:r>
      <w:r>
        <w:t xml:space="preserve"> </w:t>
      </w:r>
      <m:oMath>
        <m:r>
          <m:rPr>
            <m:sty m:val="p"/>
          </m:rPr>
          <m:t>∥</m:t>
        </m:r>
        <m:r>
          <m:rPr>
            <m:sty m:val="b"/>
          </m:rPr>
          <m:t>B</m:t>
        </m:r>
        <m:d>
          <m:dPr>
            <m:begChr m:val="("/>
            <m:endChr m:val=")"/>
            <m:sepChr m:val=""/>
            <m:grow/>
          </m:dPr>
          <m:e>
            <m:r>
              <m:rPr>
                <m:sty m:val="b"/>
              </m:rPr>
              <m:t>x</m:t>
            </m:r>
          </m:e>
        </m:d>
        <m:r>
          <m:rPr>
            <m:sty m:val="p"/>
          </m:rPr>
          <m:t>−</m:t>
        </m:r>
        <m:sSub>
          <m:e>
            <m:r>
              <m:rPr>
                <m:sty m:val="b"/>
              </m:rPr>
              <m:t>B</m:t>
            </m:r>
          </m:e>
          <m:sub>
            <m:r>
              <m:t>e</m:t>
            </m:r>
          </m:sub>
        </m:sSub>
        <m:r>
          <m:rPr>
            <m:sty m:val="p"/>
          </m:rPr>
          <m:t>∥</m:t>
        </m:r>
        <m:r>
          <m:rPr>
            <m:sty m:val="p"/>
          </m:rPr>
          <m:t>=</m:t>
        </m:r>
        <m:r>
          <m:t>O</m:t>
        </m:r>
        <m:d>
          <m:dPr>
            <m:begChr m:val="("/>
            <m:endChr m:val=")"/>
            <m:sepChr m:val=""/>
            <m:grow/>
          </m:dPr>
          <m:e>
            <m:r>
              <m:t>h</m:t>
            </m:r>
          </m:e>
        </m:d>
      </m:oMath>
      <w:r>
        <w:t xml:space="preserve">, the change in the integrated dissipative term is</w:t>
      </w:r>
      <w:r>
        <w:t xml:space="preserve"> </w:t>
      </w:r>
      <m:oMath>
        <m:r>
          <m:t>O</m:t>
        </m:r>
        <m:d>
          <m:dPr>
            <m:begChr m:val="("/>
            <m:endChr m:val=")"/>
            <m:sepChr m:val=""/>
            <m:grow/>
          </m:dPr>
          <m:e>
            <m:sSub>
              <m:e>
                <m:r>
                  <m:t>S</m:t>
                </m:r>
              </m:e>
              <m:sub>
                <m:r>
                  <m:t>e</m:t>
                </m:r>
              </m:sub>
            </m:sSub>
            <m:sSup>
              <m:e>
                <m:r>
                  <m:t>h</m:t>
                </m:r>
              </m:e>
              <m:sup>
                <m:r>
                  <m:t>4</m:t>
                </m:r>
              </m:sup>
            </m:sSup>
          </m:e>
        </m:d>
      </m:oMath>
      <w:r>
        <w:t xml:space="preserve">. On a nonplanar macroface, microface normals may differ by</w:t>
      </w:r>
      <w:r>
        <w:t xml:space="preserve"> </w:t>
      </w:r>
      <m:oMath>
        <m:r>
          <m:t>O</m:t>
        </m:r>
        <m:d>
          <m:dPr>
            <m:begChr m:val="("/>
            <m:endChr m:val=")"/>
            <m:sepChr m:val=""/>
            <m:grow/>
          </m:dPr>
          <m:e>
            <m:r>
              <m:t>1</m:t>
            </m:r>
          </m:e>
        </m:d>
      </m:oMath>
      <w:r>
        <w:t xml:space="preserve"> </w:t>
      </w:r>
      <w:r>
        <w:t xml:space="preserve">under refinement, so the second assumption does not follow from state smoothness. The thesis’s single effective normal is retained as the discrete model, while its order on general mixed grids is assessed by full-scheme tests. This prevents the small-jump argument from being used as an unconditional global-order proof.</w:t>
      </w:r>
    </w:p>
    <w:p>
      <w:pPr>
        <w:pStyle w:val="BodyText"/>
      </w:pPr>
      <w:r>
        <w:t xml:space="preserve">Each macroface owns one sorted, de-duplicated</w:t>
      </w:r>
      <w:r>
        <w:t xml:space="preserve"> </w:t>
      </w:r>
      <w:r>
        <w:rPr>
          <w:rStyle w:val="VerbatimChar"/>
        </w:rPr>
        <w:t xml:space="preserve">efficientStencil</w:t>
      </w:r>
      <w:r>
        <w:t xml:space="preserve">. A stencil entry contains left/right state-gradient weights, left/right flux-gradient matrices and the scalar weight used for surface-gradient recovery. Zero-order state and flux contributions are not copied into every entry: they are represented once through the two anchor nodes,</w:t>
      </w:r>
      <w:r>
        <w:t xml:space="preserve"> </w:t>
      </w:r>
      <m:oMath>
        <m:sSub>
          <m:e>
            <m:r>
              <m:t>S</m:t>
            </m:r>
          </m:e>
          <m:sub>
            <m:r>
              <m:t>e</m:t>
            </m:r>
          </m:sub>
        </m:sSub>
      </m:oMath>
      <w:r>
        <w:t xml:space="preserve"> </w:t>
      </w:r>
      <w:r>
        <w:t xml:space="preserve">and</w:t>
      </w:r>
      <w:r>
        <w:t xml:space="preserve"> </w:t>
      </w:r>
      <m:oMath>
        <m:sSub>
          <m:e>
            <m:r>
              <m:rPr>
                <m:sty m:val="b"/>
              </m:rPr>
              <m:t>A</m:t>
            </m:r>
          </m:e>
          <m:sub>
            <m:r>
              <m:t>e</m:t>
            </m:r>
          </m:sub>
        </m:sSub>
      </m:oMath>
      <w:r>
        <w:t xml:space="preserve">. This structure makes the inner loop a contiguous traversal of synchronized point values, state gradients and cached physical-flux gradients rather than a search through several sparse arrays.</w:t>
      </w:r>
    </w:p>
    <w:bookmarkEnd w:id="27"/>
    <w:bookmarkStart w:id="28" w:name="sec:runtime"/>
    <w:p>
      <w:pPr>
        <w:pStyle w:val="Heading2"/>
      </w:pPr>
      <w:r>
        <w:t xml:space="preserve">2.7 Limiter, boundary treatment and residual dataflow</w:t>
      </w:r>
    </w:p>
    <w:p>
      <w:pPr>
        <w:pStyle w:val="FirstParagraph"/>
      </w:pPr>
      <w:r>
        <w:t xml:space="preserve">For shock control, the efficient limiter constrains the macroface averages in (15), not a primal-edge midpoint value. Bounds are constructed from endpoint point values</w:t>
      </w:r>
      <w:r>
        <w:t xml:space="preserve"> </w:t>
      </w:r>
      <m:oMath>
        <m:sSub>
          <m:e>
            <m:r>
              <m:rPr>
                <m:sty m:val="b"/>
              </m:rPr>
              <m:t>U</m:t>
            </m:r>
          </m:e>
          <m:sub>
            <m:r>
              <m:t>i</m:t>
            </m:r>
          </m:sub>
        </m:sSub>
      </m:oMath>
      <w:r>
        <w:t xml:space="preserve"> </w:t>
      </w:r>
      <w:r>
        <w:t xml:space="preserve">and</w:t>
      </w:r>
      <w:r>
        <w:t xml:space="preserve"> </w:t>
      </w:r>
      <m:oMath>
        <m:sSub>
          <m:e>
            <m:r>
              <m:rPr>
                <m:sty m:val="b"/>
              </m:rPr>
              <m:t>U</m:t>
            </m:r>
          </m:e>
          <m:sub>
            <m:r>
              <m:t>j</m:t>
            </m:r>
          </m:sub>
        </m:sSub>
      </m:oMath>
      <w:r>
        <w:t xml:space="preserve">, and a single factor</w:t>
      </w:r>
      <w:r>
        <w:t xml:space="preserve"> </w:t>
      </w:r>
      <m:oMath>
        <m:sSub>
          <m:e>
            <m:r>
              <m:t>ϕ</m:t>
            </m:r>
          </m:e>
          <m:sub>
            <m:r>
              <m:t>i</m:t>
            </m:r>
          </m:sub>
        </m:sSub>
      </m:oMath>
      <w:r>
        <w:t xml:space="preserve"> </w:t>
      </w:r>
      <w:r>
        <w:t xml:space="preserve">multiplies the</w:t>
      </w:r>
      <w:r>
        <w:t xml:space="preserve"> </w:t>
      </w:r>
      <w:r>
        <w:rPr>
          <w:iCs/>
          <w:i/>
        </w:rPr>
        <w:t xml:space="preserve">whole</w:t>
      </w:r>
      <w:r>
        <w:t xml:space="preserve"> </w:t>
      </w:r>
      <w:r>
        <w:t xml:space="preserve">gradient correction of side</w:t>
      </w:r>
      <w:r>
        <w:t xml:space="preserve"> </w:t>
      </w:r>
      <m:oMath>
        <m:r>
          <m:t>i</m:t>
        </m:r>
      </m:oMath>
      <w:r>
        <w:t xml:space="preserve">. Scaling every contributing support-node gradient by that node’s factor would define a different interface mean and is not used. Point recovery itself remains unlimited; the factor is applied to interface averages, physical-flux-gradient integrals and viscous surface gradients.</w:t>
      </w:r>
    </w:p>
    <w:p>
      <w:pPr>
        <w:pStyle w:val="BodyText"/>
      </w:pPr>
      <w:r>
        <w:t xml:space="preserve">For a scalar component, write the unlimited mean correction as</w:t>
      </w:r>
      <w:r>
        <w:t xml:space="preserve"> </w:t>
      </w:r>
      <m:oMath>
        <m:sSub>
          <m:e>
            <m:r>
              <m:t>δ</m:t>
            </m:r>
          </m:e>
          <m:sub>
            <m:r>
              <m:t>i</m:t>
            </m:r>
            <m:r>
              <m:t>e</m:t>
            </m:r>
          </m:sub>
        </m:sSub>
        <m:r>
          <m:rPr>
            <m:sty m:val="p"/>
          </m:rPr>
          <m:t>=</m:t>
        </m:r>
        <m:sSub>
          <m:e>
            <m:acc>
              <m:accPr>
                <m:chr m:val="‾"/>
              </m:accPr>
              <m:e>
                <m:r>
                  <m:t>u</m:t>
                </m:r>
              </m:e>
            </m:acc>
          </m:e>
          <m:sub>
            <m:r>
              <m:t>e</m:t>
            </m:r>
            <m:r>
              <m:rPr>
                <m:sty m:val="p"/>
              </m:rPr>
              <m:t>,</m:t>
            </m:r>
            <m:r>
              <m:t>i</m:t>
            </m:r>
          </m:sub>
        </m:sSub>
        <m:r>
          <m:rPr>
            <m:sty m:val="p"/>
          </m:rPr>
          <m:t>−</m:t>
        </m:r>
        <m:sSub>
          <m:e>
            <m:r>
              <m:t>u</m:t>
            </m:r>
          </m:e>
          <m:sub>
            <m:r>
              <m:t>i</m:t>
            </m:r>
          </m:sub>
        </m:sSub>
      </m:oMath>
      <w:r>
        <w:t xml:space="preserve">, and let</w:t>
      </w:r>
      <w:r>
        <w:t xml:space="preserve"> </w:t>
      </w:r>
      <m:oMath>
        <m:sSubSup>
          <m:e>
            <m:r>
              <m:t>u</m:t>
            </m:r>
          </m:e>
          <m:sub>
            <m:r>
              <m:t>i</m:t>
            </m:r>
            <m:r>
              <m:t>j</m:t>
            </m:r>
          </m:sub>
          <m:sup>
            <m:r>
              <m:rPr>
                <m:sty m:val="p"/>
              </m:rPr>
              <m:t>min</m:t>
            </m:r>
          </m:sup>
        </m:sSubSup>
        <m:r>
          <m:rPr>
            <m:sty m:val="p"/>
          </m:rPr>
          <m:t>=</m:t>
        </m:r>
        <m:r>
          <m:rPr>
            <m:sty m:val="p"/>
          </m:rPr>
          <m:t>min</m:t>
        </m:r>
        <m:d>
          <m:dPr>
            <m:begChr m:val="("/>
            <m:endChr m:val=")"/>
            <m:sepChr m:val=""/>
            <m:grow/>
          </m:dPr>
          <m:e>
            <m:sSub>
              <m:e>
                <m:r>
                  <m:t>u</m:t>
                </m:r>
              </m:e>
              <m:sub>
                <m:r>
                  <m:t>i</m:t>
                </m:r>
              </m:sub>
            </m:sSub>
            <m:r>
              <m:rPr>
                <m:sty m:val="p"/>
              </m:rPr>
              <m:t>,</m:t>
            </m:r>
            <m:sSub>
              <m:e>
                <m:r>
                  <m:t>u</m:t>
                </m:r>
              </m:e>
              <m:sub>
                <m:r>
                  <m:t>j</m:t>
                </m:r>
              </m:sub>
            </m:sSub>
          </m:e>
        </m:d>
      </m:oMath>
      <w:r>
        <w:t xml:space="preserve"> </w:t>
      </w:r>
      <w:r>
        <w:t xml:space="preserve">and</w:t>
      </w:r>
      <w:r>
        <w:t xml:space="preserve"> </w:t>
      </w:r>
      <m:oMath>
        <m:sSubSup>
          <m:e>
            <m:r>
              <m:t>u</m:t>
            </m:r>
          </m:e>
          <m:sub>
            <m:r>
              <m:t>i</m:t>
            </m:r>
            <m:r>
              <m:t>j</m:t>
            </m:r>
          </m:sub>
          <m:sup>
            <m:r>
              <m:rPr>
                <m:sty m:val="p"/>
              </m:rPr>
              <m:t>max</m:t>
            </m:r>
          </m:sup>
        </m:sSubSup>
        <m:r>
          <m:rPr>
            <m:sty m:val="p"/>
          </m:rPr>
          <m:t>=</m:t>
        </m:r>
        <m:r>
          <m:rPr>
            <m:sty m:val="p"/>
          </m:rPr>
          <m:t>max</m:t>
        </m:r>
        <m:d>
          <m:dPr>
            <m:begChr m:val="("/>
            <m:endChr m:val=")"/>
            <m:sepChr m:val=""/>
            <m:grow/>
          </m:dPr>
          <m:e>
            <m:sSub>
              <m:e>
                <m:r>
                  <m:t>u</m:t>
                </m:r>
              </m:e>
              <m:sub>
                <m:r>
                  <m:t>i</m:t>
                </m:r>
              </m:sub>
            </m:sSub>
            <m:r>
              <m:rPr>
                <m:sty m:val="p"/>
              </m:rPr>
              <m:t>,</m:t>
            </m:r>
            <m:sSub>
              <m:e>
                <m:r>
                  <m:t>u</m:t>
                </m:r>
              </m:e>
              <m:sub>
                <m:r>
                  <m:t>j</m:t>
                </m:r>
              </m:sub>
            </m:sSub>
          </m:e>
        </m:d>
      </m:oMath>
      <w:r>
        <w:t xml:space="preserve">. An explicit statement of the endpoint-bounded limiter discussed in thesis Section 3.3</w:t>
      </w:r>
      <w:r>
        <w:t xml:space="preserve"> </w:t>
      </w:r>
      <w:r>
        <w:t xml:space="preserve">[11]</w:t>
      </w:r>
      <w:r>
        <w:t xml:space="preserve"> </w:t>
      </w:r>
      <w:r>
        <w:t xml:space="preserve">is</w:t>
      </w:r>
    </w:p>
    <w:p>
      <w:pPr>
        <w:pStyle w:val="BodyText"/>
      </w:pPr>
      <m:oMathPara>
        <m:oMathParaPr>
          <m:jc m:val="center"/>
        </m:oMathParaPr>
        <m:oMath>
          <m:sSub>
            <m:e>
              <m:r>
                <m:t>ϕ</m:t>
              </m:r>
            </m:e>
            <m:sub>
              <m:r>
                <m:t>i</m:t>
              </m:r>
              <m:r>
                <m:t>e</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min</m:t>
                    </m:r>
                    <m:d>
                      <m:dPr>
                        <m:begChr m:val="("/>
                        <m:endChr m:val=")"/>
                        <m:sepChr m:val=""/>
                        <m:grow/>
                      </m:dPr>
                      <m:e>
                        <m:r>
                          <m:t>1</m:t>
                        </m:r>
                        <m:r>
                          <m:rPr>
                            <m:sty m:val="p"/>
                          </m:rPr>
                          <m:t>,</m:t>
                        </m:r>
                        <m:d>
                          <m:dPr>
                            <m:begChr m:val="("/>
                            <m:endChr m:val=")"/>
                            <m:sepChr m:val=""/>
                            <m:grow/>
                          </m:dPr>
                          <m:e>
                            <m:sSubSup>
                              <m:e>
                                <m:r>
                                  <m:t>u</m:t>
                                </m:r>
                              </m:e>
                              <m:sub>
                                <m:r>
                                  <m:t>i</m:t>
                                </m:r>
                                <m:r>
                                  <m:t>j</m:t>
                                </m:r>
                              </m:sub>
                              <m:sup>
                                <m:r>
                                  <m:rPr>
                                    <m:sty m:val="p"/>
                                  </m:rPr>
                                  <m:t>max</m:t>
                                </m:r>
                              </m:sup>
                            </m:sSubSup>
                            <m:r>
                              <m:rPr>
                                <m:sty m:val="p"/>
                              </m:rPr>
                              <m:t>−</m:t>
                            </m:r>
                            <m:sSub>
                              <m:e>
                                <m:r>
                                  <m:t>u</m:t>
                                </m:r>
                              </m:e>
                              <m:sub>
                                <m:r>
                                  <m:t>i</m:t>
                                </m:r>
                              </m:sub>
                            </m:sSub>
                          </m:e>
                        </m:d>
                        <m:r>
                          <m:rPr>
                            <m:sty m:val="p"/>
                          </m:rPr>
                          <m:t>/</m:t>
                        </m:r>
                        <m:sSub>
                          <m:e>
                            <m:r>
                              <m:t>δ</m:t>
                            </m:r>
                          </m:e>
                          <m:sub>
                            <m:r>
                              <m:t>i</m:t>
                            </m:r>
                            <m:r>
                              <m:t>e</m:t>
                            </m:r>
                          </m:sub>
                        </m:sSub>
                      </m:e>
                    </m:d>
                    <m:r>
                      <m:rPr>
                        <m:sty m:val="p"/>
                      </m:rPr>
                      <m:t>,</m:t>
                    </m:r>
                  </m:e>
                  <m:e>
                    <m:sSub>
                      <m:e>
                        <m:r>
                          <m:t>δ</m:t>
                        </m:r>
                      </m:e>
                      <m:sub>
                        <m:r>
                          <m:t>i</m:t>
                        </m:r>
                        <m:r>
                          <m:t>e</m:t>
                        </m:r>
                      </m:sub>
                    </m:sSub>
                    <m:r>
                      <m:rPr>
                        <m:sty m:val="p"/>
                      </m:rPr>
                      <m:t>&gt;</m:t>
                    </m:r>
                    <m:r>
                      <m:t>0</m:t>
                    </m:r>
                    <m:r>
                      <m:rPr>
                        <m:sty m:val="p"/>
                      </m:rPr>
                      <m:t>,</m:t>
                    </m:r>
                  </m:e>
                </m:mr>
                <m:mr>
                  <m:e>
                    <m:r>
                      <m:rPr>
                        <m:sty m:val="p"/>
                      </m:rPr>
                      <m:t>min</m:t>
                    </m:r>
                    <m:d>
                      <m:dPr>
                        <m:begChr m:val="("/>
                        <m:endChr m:val=")"/>
                        <m:sepChr m:val=""/>
                        <m:grow/>
                      </m:dPr>
                      <m:e>
                        <m:r>
                          <m:t>1</m:t>
                        </m:r>
                        <m:r>
                          <m:rPr>
                            <m:sty m:val="p"/>
                          </m:rPr>
                          <m:t>,</m:t>
                        </m:r>
                        <m:d>
                          <m:dPr>
                            <m:begChr m:val="("/>
                            <m:endChr m:val=")"/>
                            <m:sepChr m:val=""/>
                            <m:grow/>
                          </m:dPr>
                          <m:e>
                            <m:sSubSup>
                              <m:e>
                                <m:r>
                                  <m:t>u</m:t>
                                </m:r>
                              </m:e>
                              <m:sub>
                                <m:r>
                                  <m:t>i</m:t>
                                </m:r>
                                <m:r>
                                  <m:t>j</m:t>
                                </m:r>
                              </m:sub>
                              <m:sup>
                                <m:r>
                                  <m:rPr>
                                    <m:sty m:val="p"/>
                                  </m:rPr>
                                  <m:t>min</m:t>
                                </m:r>
                              </m:sup>
                            </m:sSubSup>
                            <m:r>
                              <m:rPr>
                                <m:sty m:val="p"/>
                              </m:rPr>
                              <m:t>−</m:t>
                            </m:r>
                            <m:sSub>
                              <m:e>
                                <m:r>
                                  <m:t>u</m:t>
                                </m:r>
                              </m:e>
                              <m:sub>
                                <m:r>
                                  <m:t>i</m:t>
                                </m:r>
                              </m:sub>
                            </m:sSub>
                          </m:e>
                        </m:d>
                        <m:r>
                          <m:rPr>
                            <m:sty m:val="p"/>
                          </m:rPr>
                          <m:t>/</m:t>
                        </m:r>
                        <m:sSub>
                          <m:e>
                            <m:r>
                              <m:t>δ</m:t>
                            </m:r>
                          </m:e>
                          <m:sub>
                            <m:r>
                              <m:t>i</m:t>
                            </m:r>
                            <m:r>
                              <m:t>e</m:t>
                            </m:r>
                          </m:sub>
                        </m:sSub>
                      </m:e>
                    </m:d>
                    <m:r>
                      <m:rPr>
                        <m:sty m:val="p"/>
                      </m:rPr>
                      <m:t>,</m:t>
                    </m:r>
                  </m:e>
                  <m:e>
                    <m:sSub>
                      <m:e>
                        <m:r>
                          <m:t>δ</m:t>
                        </m:r>
                      </m:e>
                      <m:sub>
                        <m:r>
                          <m:t>i</m:t>
                        </m:r>
                        <m:r>
                          <m:t>e</m:t>
                        </m:r>
                      </m:sub>
                    </m:sSub>
                    <m:r>
                      <m:rPr>
                        <m:sty m:val="p"/>
                      </m:rPr>
                      <m:t>&lt;</m:t>
                    </m:r>
                    <m:r>
                      <m:t>0</m:t>
                    </m:r>
                    <m:r>
                      <m:rPr>
                        <m:sty m:val="p"/>
                      </m:rPr>
                      <m:t>,</m:t>
                    </m:r>
                  </m:e>
                </m:mr>
                <m:mr>
                  <m:e>
                    <m:r>
                      <m:t>1</m:t>
                    </m:r>
                    <m:r>
                      <m:rPr>
                        <m:sty m:val="p"/>
                      </m:rPr>
                      <m:t>,</m:t>
                    </m:r>
                  </m:e>
                  <m:e>
                    <m:sSub>
                      <m:e>
                        <m:r>
                          <m:t>δ</m:t>
                        </m:r>
                      </m:e>
                      <m:sub>
                        <m:r>
                          <m:t>i</m:t>
                        </m:r>
                        <m:r>
                          <m:t>e</m:t>
                        </m:r>
                      </m:sub>
                    </m:sSub>
                    <m:r>
                      <m:rPr>
                        <m:sty m:val="p"/>
                      </m:rPr>
                      <m:t>=</m:t>
                    </m:r>
                    <m:r>
                      <m:t>0</m:t>
                    </m:r>
                    <m:r>
                      <m:rPr>
                        <m:sty m:val="p"/>
                      </m:rPr>
                      <m:t>,</m:t>
                    </m:r>
                  </m:e>
                </m:mr>
              </m:m>
            </m:e>
          </m:d>
          <m:r>
            <m:rPr>
              <m:nor/>
              <m:sty m:val="p"/>
            </m:rPr>
            <m:t> </m:t>
          </m:r>
          <m:sSub>
            <m:e>
              <m:r>
                <m:t>ϕ</m:t>
              </m:r>
            </m:e>
            <m:sub>
              <m:r>
                <m:t>i</m:t>
              </m:r>
            </m:sub>
          </m:sSub>
          <m:r>
            <m:rPr>
              <m:sty m:val="p"/>
            </m:rPr>
            <m:t>=</m:t>
          </m:r>
          <m:limLow>
            <m:e>
              <m:r>
                <m:rPr>
                  <m:sty m:val="p"/>
                </m:rPr>
                <m:t>min</m:t>
              </m:r>
            </m:e>
            <m:lim>
              <m:r>
                <m:t>e</m:t>
              </m:r>
              <m:r>
                <m:rPr>
                  <m:sty m:val="p"/>
                </m:rPr>
                <m:t>∈</m:t>
              </m:r>
              <m:r>
                <m:rPr>
                  <m:sty m:val="p"/>
                  <m:scr m:val="script"/>
                </m:rPr>
                <m:t>E</m:t>
              </m:r>
              <m:d>
                <m:dPr>
                  <m:begChr m:val="("/>
                  <m:endChr m:val=")"/>
                  <m:sepChr m:val=""/>
                  <m:grow/>
                </m:dPr>
                <m:e>
                  <m:r>
                    <m:t>i</m:t>
                  </m:r>
                </m:e>
              </m:d>
            </m:lim>
          </m:limLow>
          <m:sSub>
            <m:e>
              <m:r>
                <m:t>ϕ</m:t>
              </m:r>
            </m:e>
            <m:sub>
              <m:r>
                <m:t>i</m:t>
              </m:r>
              <m:r>
                <m:t>e</m:t>
              </m:r>
            </m:sub>
          </m:sSub>
          <m:r>
            <m:rPr>
              <m:sty m:val="p"/>
            </m:rPr>
            <m:t>.</m:t>
          </m:r>
          <m:r>
            <m:t> </m:t>
          </m:r>
          <m:d>
            <m:dPr>
              <m:begChr m:val="("/>
              <m:endChr m:val=")"/>
              <m:sepChr m:val=""/>
              <m:grow/>
            </m:dPr>
            <m:e>
              <m:r>
                <m:t>19</m:t>
              </m:r>
            </m:e>
          </m:d>
        </m:oMath>
      </m:oMathPara>
    </w:p>
    <w:p>
      <w:pPr>
        <w:pStyle w:val="FirstParagraph"/>
      </w:pPr>
      <w:r>
        <w:t xml:space="preserve">The bounded mean is</w:t>
      </w:r>
      <w:r>
        <w:t xml:space="preserve"> </w:t>
      </w:r>
      <m:oMath>
        <m:sSub>
          <m:e>
            <m:r>
              <m:t>u</m:t>
            </m:r>
          </m:e>
          <m:sub>
            <m:r>
              <m:t>i</m:t>
            </m:r>
          </m:sub>
        </m:sSub>
        <m:r>
          <m:rPr>
            <m:sty m:val="p"/>
          </m:rPr>
          <m:t>+</m:t>
        </m:r>
        <m:sSub>
          <m:e>
            <m:r>
              <m:t>ϕ</m:t>
            </m:r>
          </m:e>
          <m:sub>
            <m:r>
              <m:t>i</m:t>
            </m:r>
          </m:sub>
        </m:sSub>
        <m:sSub>
          <m:e>
            <m:r>
              <m:t>δ</m:t>
            </m:r>
          </m:e>
          <m:sub>
            <m:r>
              <m:t>i</m:t>
            </m:r>
            <m:r>
              <m:t>e</m:t>
            </m:r>
          </m:sub>
        </m:sSub>
      </m:oMath>
      <w:r>
        <w:t xml:space="preserve">; (15) displays the unlimited case. A system implementation must specify how component factors and positivity protection are combined. Endpoint bounds can activate even in smooth non-monotone regions, so formal smooth-order arguments assume an inactive limiter.</w:t>
      </w:r>
    </w:p>
    <w:p>
      <w:pPr>
        <w:pStyle w:val="BodyText"/>
      </w:pPr>
      <w:r>
        <w:t xml:space="preserve">Boundary micro-surfaces use a compact affine stencil with a scalar integration weight. The inviscid boundary flux is evaluated at each support-node state by the boundary flux function and then integrated by the affine weights. This ordering matters for nonlinear boundary conditions: interpolating states first and applying the boundary flux once would be a different discrete operator. When viscous terms are enabled, the same boundary stencil yields the averaged interior gradient; the current inviscid efficiency claims do not imply a verified third-order viscous scheme.</w:t>
      </w:r>
    </w:p>
    <w:p>
      <w:pPr>
        <w:pStyle w:val="BodyText"/>
      </w:pPr>
      <w:r>
        <w:t xml:space="preserve">One efficient residual evaluation executes the following dataflow:</w:t>
      </w:r>
    </w:p>
    <w:p>
      <w:pPr>
        <w:numPr>
          <w:ilvl w:val="0"/>
          <w:numId w:val="1002"/>
        </w:numPr>
      </w:pPr>
      <w:r>
        <w:t xml:space="preserve">pull dual-cell means; apply the precomputed first-derivative rows of (3); pull gradients;</w:t>
      </w:r>
    </w:p>
    <w:p>
      <w:pPr>
        <w:numPr>
          <w:ilvl w:val="0"/>
          <w:numId w:val="1002"/>
        </w:numPr>
      </w:pPr>
      <w:r>
        <w:t xml:space="preserve">recover nodal point values with (6); pull point values and, when enabled, limiter factors;</w:t>
      </w:r>
    </w:p>
    <w:p>
      <w:pPr>
        <w:numPr>
          <w:ilvl w:val="0"/>
          <w:numId w:val="1002"/>
        </w:numPr>
      </w:pPr>
      <w:r>
        <w:t xml:space="preserve">compute physical-flux gradients once per local/ghost support node;</w:t>
      </w:r>
    </w:p>
    <w:p>
      <w:pPr>
        <w:numPr>
          <w:ilvl w:val="0"/>
          <w:numId w:val="1002"/>
        </w:numPr>
      </w:pPr>
      <w:r>
        <w:t xml:space="preserve">on each owned edge, evaluate (16) on both sides, form (17), and compute the edge spectral-radius contribution;</w:t>
      </w:r>
    </w:p>
    <w:p>
      <w:pPr>
        <w:numPr>
          <w:ilvl w:val="0"/>
          <w:numId w:val="1002"/>
        </w:numPr>
      </w:pPr>
      <w:r>
        <w:t xml:space="preserve">pull ghost-edge fluxes and spectral radii; assemble the signed node–edge divergence in (1); then apply the periodic quotient average where relevant.</w:t>
      </w:r>
    </w:p>
    <w:p>
      <w:pPr>
        <w:pStyle w:val="FirstParagraph"/>
      </w:pPr>
      <w:r>
        <w:t xml:space="preserve">Only node means, gradients, point values, limiter factors and edge flux/radius fields participate in runtime communication. Micro-geometry and Gauss point fields do not.</w:t>
      </w:r>
    </w:p>
    <w:bookmarkEnd w:id="28"/>
    <w:bookmarkStart w:id="30" w:name="sec:viscous-extension"/>
    <w:p>
      <w:pPr>
        <w:pStyle w:val="Heading2"/>
      </w:pPr>
      <w:r>
        <w:t xml:space="preserve">2.8 Viscous extension and affine boundary integration</w:t>
      </w:r>
    </w:p>
    <w:p>
      <w:pPr>
        <w:pStyle w:val="FirstParagraph"/>
      </w:pPr>
      <w:r>
        <w:t xml:space="preserve">Thesis Section 4.2.2</w:t>
      </w:r>
      <w:r>
        <w:t xml:space="preserve"> </w:t>
      </w:r>
      <w:r>
        <w:t xml:space="preserve">[11]</w:t>
      </w:r>
      <w:r>
        <w:t xml:space="preserve"> </w:t>
      </w:r>
      <w:r>
        <w:t xml:space="preserve">proposes a face-averaged viscous closure. With our convention</w:t>
      </w:r>
      <w:r>
        <w:t xml:space="preserve"> </w:t>
      </w:r>
      <m:oMath>
        <m:r>
          <m:rPr>
            <m:sty m:val="b"/>
          </m:rPr>
          <m:t>G</m:t>
        </m:r>
        <m:r>
          <m:rPr>
            <m:sty m:val="p"/>
          </m:rPr>
          <m:t>∈</m:t>
        </m:r>
        <m:sSup>
          <m:e>
            <m:r>
              <m:rPr>
                <m:sty m:val="p"/>
                <m:scr m:val="double-struck"/>
              </m:rPr>
              <m:t>R</m:t>
            </m:r>
          </m:e>
          <m:sup>
            <m:r>
              <m:t>d</m:t>
            </m:r>
            <m:r>
              <m:rPr>
                <m:sty m:val="p"/>
              </m:rPr>
              <m:t>×</m:t>
            </m:r>
            <m:sSub>
              <m:e>
                <m:r>
                  <m:t>n</m:t>
                </m:r>
              </m:e>
              <m:sub>
                <m:r>
                  <m:rPr>
                    <m:sty m:val="p"/>
                  </m:rPr>
                  <m:t>v</m:t>
                </m:r>
                <m:r>
                  <m:rPr>
                    <m:sty m:val="p"/>
                  </m:rPr>
                  <m:t>a</m:t>
                </m:r>
                <m:r>
                  <m:rPr>
                    <m:sty m:val="p"/>
                  </m:rPr>
                  <m:t>r</m:t>
                </m:r>
              </m:sub>
            </m:sSub>
          </m:sup>
        </m:sSup>
      </m:oMath>
      <w:r>
        <w:t xml:space="preserve">, its gradient correction can be written</w:t>
      </w:r>
    </w:p>
    <w:p>
      <w:pPr>
        <w:pStyle w:val="BodyText"/>
      </w:pPr>
      <m:oMathPara>
        <m:oMathParaPr>
          <m:jc m:val="center"/>
        </m:oMathParaPr>
        <m:oMath>
          <m:sSubSup>
            <m:e>
              <m:r>
                <m:rPr>
                  <m:sty m:val="b"/>
                </m:rPr>
                <m:t>G</m:t>
              </m:r>
            </m:e>
            <m:sub>
              <m:r>
                <m:t>e</m:t>
              </m:r>
            </m:sub>
            <m:sup>
              <m:r>
                <m:rPr>
                  <m:sty m:val="p"/>
                </m:rPr>
                <m:t>c</m:t>
              </m:r>
              <m:r>
                <m:rPr>
                  <m:sty m:val="p"/>
                </m:rPr>
                <m:t>o</m:t>
              </m:r>
              <m:r>
                <m:rPr>
                  <m:sty m:val="p"/>
                </m:rPr>
                <m:t>r</m:t>
              </m:r>
              <m:r>
                <m:rPr>
                  <m:sty m:val="p"/>
                </m:rPr>
                <m:t>r</m:t>
              </m:r>
            </m:sup>
          </m:sSubSup>
          <m:r>
            <m:rPr>
              <m:sty m:val="p"/>
            </m:rPr>
            <m:t>=</m:t>
          </m:r>
          <m:f>
            <m:fPr>
              <m:type m:val="bar"/>
            </m:fPr>
            <m:num>
              <m:sSub>
                <m:e>
                  <m:bar>
                    <m:barPr>
                      <m:pos m:val="top"/>
                    </m:barPr>
                    <m:e>
                      <m:r>
                        <m:rPr>
                          <m:sty m:val="b"/>
                        </m:rPr>
                        <m:t>G</m:t>
                      </m:r>
                    </m:e>
                  </m:bar>
                </m:e>
                <m:sub>
                  <m:r>
                    <m:t>e</m:t>
                  </m:r>
                  <m:r>
                    <m:rPr>
                      <m:sty m:val="p"/>
                    </m:rPr>
                    <m:t>,</m:t>
                  </m:r>
                  <m:r>
                    <m:t>L</m:t>
                  </m:r>
                </m:sub>
              </m:sSub>
              <m:r>
                <m:rPr>
                  <m:sty m:val="p"/>
                </m:rPr>
                <m:t>+</m:t>
              </m:r>
              <m:sSub>
                <m:e>
                  <m:bar>
                    <m:barPr>
                      <m:pos m:val="top"/>
                    </m:barPr>
                    <m:e>
                      <m:r>
                        <m:rPr>
                          <m:sty m:val="b"/>
                        </m:rPr>
                        <m:t>G</m:t>
                      </m:r>
                    </m:e>
                  </m:bar>
                </m:e>
                <m:sub>
                  <m:r>
                    <m:t>e</m:t>
                  </m:r>
                  <m:r>
                    <m:rPr>
                      <m:sty m:val="p"/>
                    </m:rPr>
                    <m:t>,</m:t>
                  </m:r>
                  <m:r>
                    <m:t>R</m:t>
                  </m:r>
                </m:sub>
              </m:sSub>
            </m:num>
            <m:den>
              <m:r>
                <m:t>2</m:t>
              </m:r>
            </m:den>
          </m:f>
          <m:r>
            <m:rPr>
              <m:sty m:val="p"/>
            </m:rPr>
            <m:t>+</m:t>
          </m:r>
          <m:f>
            <m:fPr>
              <m:type m:val="bar"/>
            </m:fPr>
            <m:num>
              <m:sSub>
                <m:e>
                  <m:r>
                    <m:rPr>
                      <m:sty m:val="b"/>
                    </m:rPr>
                    <m:t>n</m:t>
                  </m:r>
                </m:e>
                <m:sub>
                  <m:r>
                    <m:t>e</m:t>
                  </m:r>
                </m:sub>
              </m:sSub>
              <m:sSup>
                <m:e>
                  <m:d>
                    <m:dPr>
                      <m:begChr m:val="("/>
                      <m:endChr m:val=")"/>
                      <m:sepChr m:val=""/>
                      <m:grow/>
                    </m:dPr>
                    <m:e>
                      <m:sSub>
                        <m:e>
                          <m:bar>
                            <m:barPr>
                              <m:pos m:val="top"/>
                            </m:barPr>
                            <m:e>
                              <m:r>
                                <m:rPr>
                                  <m:sty m:val="b"/>
                                </m:rPr>
                                <m:t>U</m:t>
                              </m:r>
                            </m:e>
                          </m:bar>
                        </m:e>
                        <m:sub>
                          <m:r>
                            <m:t>e</m:t>
                          </m:r>
                          <m:r>
                            <m:rPr>
                              <m:sty m:val="p"/>
                            </m:rPr>
                            <m:t>,</m:t>
                          </m:r>
                          <m:r>
                            <m:t>R</m:t>
                          </m:r>
                        </m:sub>
                      </m:sSub>
                      <m:r>
                        <m:rPr>
                          <m:sty m:val="p"/>
                        </m:rPr>
                        <m:t>−</m:t>
                      </m:r>
                      <m:sSub>
                        <m:e>
                          <m:bar>
                            <m:barPr>
                              <m:pos m:val="top"/>
                            </m:barPr>
                            <m:e>
                              <m:r>
                                <m:rPr>
                                  <m:sty m:val="b"/>
                                </m:rPr>
                                <m:t>U</m:t>
                              </m:r>
                            </m:e>
                          </m:bar>
                        </m:e>
                        <m:sub>
                          <m:r>
                            <m:t>e</m:t>
                          </m:r>
                          <m:r>
                            <m:rPr>
                              <m:sty m:val="p"/>
                            </m:rPr>
                            <m:t>,</m:t>
                          </m:r>
                          <m:r>
                            <m:t>L</m:t>
                          </m:r>
                        </m:sub>
                      </m:sSub>
                    </m:e>
                  </m:d>
                </m:e>
                <m:sup>
                  <m:r>
                    <m:t>T</m:t>
                  </m:r>
                </m:sup>
              </m:sSup>
            </m:num>
            <m:den>
              <m:r>
                <m:t>2</m:t>
              </m:r>
              <m:sSub>
                <m:e>
                  <m:acc>
                    <m:accPr>
                      <m:chr m:val="̃"/>
                    </m:accPr>
                    <m:e>
                      <m:r>
                        <m:t>h</m:t>
                      </m:r>
                    </m:e>
                  </m:acc>
                </m:e>
                <m:sub>
                  <m:r>
                    <m:t>e</m:t>
                  </m:r>
                </m:sub>
              </m:sSub>
            </m:den>
          </m:f>
          <m:r>
            <m:rPr>
              <m:sty m:val="p"/>
            </m:rPr>
            <m:t>,</m:t>
          </m:r>
          <m:r>
            <m:rPr>
              <m:nor/>
              <m:sty m:val="p"/>
            </m:rPr>
            <m:t> </m:t>
          </m:r>
          <m:sSub>
            <m:e>
              <m:acc>
                <m:accPr>
                  <m:chr m:val="̃"/>
                </m:accPr>
                <m:e>
                  <m:r>
                    <m:t>h</m:t>
                  </m:r>
                </m:e>
              </m:acc>
            </m:e>
            <m:sub>
              <m:r>
                <m:t>e</m:t>
              </m:r>
            </m:sub>
          </m:sSub>
          <m:r>
            <m:rPr>
              <m:sty m:val="p"/>
            </m:rPr>
            <m:t>=</m:t>
          </m:r>
          <m:f>
            <m:fPr>
              <m:type m:val="bar"/>
            </m:fPr>
            <m:num>
              <m:r>
                <m:rPr>
                  <m:sty m:val="p"/>
                </m:rPr>
                <m:t>min</m:t>
              </m:r>
              <m:d>
                <m:dPr>
                  <m:begChr m:val="("/>
                  <m:endChr m:val=")"/>
                  <m:sepChr m:val=""/>
                  <m:grow/>
                </m:dPr>
                <m:e>
                  <m:sSub>
                    <m:e>
                      <m:r>
                        <m:t>V</m:t>
                      </m:r>
                    </m:e>
                    <m:sub>
                      <m:r>
                        <m:t>i</m:t>
                      </m:r>
                    </m:sub>
                  </m:sSub>
                  <m:r>
                    <m:rPr>
                      <m:sty m:val="p"/>
                    </m:rPr>
                    <m:t>,</m:t>
                  </m:r>
                  <m:sSub>
                    <m:e>
                      <m:r>
                        <m:t>V</m:t>
                      </m:r>
                    </m:e>
                    <m:sub>
                      <m:r>
                        <m:t>j</m:t>
                      </m:r>
                    </m:sub>
                  </m:sSub>
                </m:e>
              </m:d>
            </m:num>
            <m:den>
              <m:sSub>
                <m:e>
                  <m:r>
                    <m:t>S</m:t>
                  </m:r>
                </m:e>
                <m:sub>
                  <m:r>
                    <m:t>e</m:t>
                  </m:r>
                </m:sub>
              </m:sSub>
            </m:den>
          </m:f>
          <m:r>
            <m:rPr>
              <m:sty m:val="p"/>
            </m:rPr>
            <m:t>.</m:t>
          </m:r>
          <m:r>
            <m:t> </m:t>
          </m:r>
          <m:d>
            <m:dPr>
              <m:begChr m:val="("/>
              <m:endChr m:val=")"/>
              <m:sepChr m:val=""/>
              <m:grow/>
            </m:dPr>
            <m:e>
              <m:r>
                <m:t>20</m:t>
              </m:r>
            </m:e>
          </m:d>
        </m:oMath>
      </m:oMathPara>
    </w:p>
    <w:p>
      <w:pPr>
        <w:pStyle w:val="FirstParagraph"/>
      </w:pPr>
      <w:r>
        <w:t xml:space="preserve">The normal-jump contribution couples the two states in addition to averaging gradients. For primitive variables</w:t>
      </w:r>
      <w:r>
        <w:t xml:space="preserve"> </w:t>
      </w:r>
      <m:oMath>
        <m:r>
          <m:rPr>
            <m:sty m:val="b"/>
          </m:rPr>
          <m:t>q</m:t>
        </m:r>
        <m:r>
          <m:rPr>
            <m:sty m:val="p"/>
          </m:rPr>
          <m:t>=</m:t>
        </m:r>
        <m:r>
          <m:rPr>
            <m:sty m:val="b"/>
          </m:rPr>
          <m:t>q</m:t>
        </m:r>
        <m:d>
          <m:dPr>
            <m:begChr m:val="("/>
            <m:endChr m:val=")"/>
            <m:sepChr m:val=""/>
            <m:grow/>
          </m:dPr>
          <m:e>
            <m:r>
              <m:rPr>
                <m:sty m:val="b"/>
              </m:rPr>
              <m:t>U</m:t>
            </m:r>
          </m:e>
        </m:d>
      </m:oMath>
      <w:r>
        <w:t xml:space="preserve">, a chain rule maps</w:t>
      </w:r>
      <w:r>
        <w:t xml:space="preserve"> </w:t>
      </w:r>
      <m:oMath>
        <m:sSubSup>
          <m:e>
            <m:r>
              <m:rPr>
                <m:sty m:val="b"/>
              </m:rPr>
              <m:t>G</m:t>
            </m:r>
          </m:e>
          <m:sub>
            <m:r>
              <m:t>e</m:t>
            </m:r>
          </m:sub>
          <m:sup>
            <m:r>
              <m:rPr>
                <m:sty m:val="p"/>
              </m:rPr>
              <m:t>c</m:t>
            </m:r>
            <m:r>
              <m:rPr>
                <m:sty m:val="p"/>
              </m:rPr>
              <m:t>o</m:t>
            </m:r>
            <m:r>
              <m:rPr>
                <m:sty m:val="p"/>
              </m:rPr>
              <m:t>r</m:t>
            </m:r>
            <m:r>
              <m:rPr>
                <m:sty m:val="p"/>
              </m:rPr>
              <m:t>r</m:t>
            </m:r>
          </m:sup>
        </m:sSubSup>
      </m:oMath>
      <w:r>
        <w:t xml:space="preserve"> </w:t>
      </w:r>
      <w:r>
        <w:t xml:space="preserve">to</w:t>
      </w:r>
      <w:r>
        <w:t xml:space="preserve"> </w:t>
      </w:r>
      <m:oMath>
        <m:sSubSup>
          <m:e>
            <m:r>
              <m:rPr>
                <m:sty m:val="b"/>
              </m:rPr>
              <m:t>G</m:t>
            </m:r>
          </m:e>
          <m:sub>
            <m:r>
              <m:t>q</m:t>
            </m:r>
            <m:r>
              <m:rPr>
                <m:sty m:val="p"/>
              </m:rPr>
              <m:t>,</m:t>
            </m:r>
            <m:r>
              <m:t>e</m:t>
            </m:r>
          </m:sub>
          <m:sup>
            <m:r>
              <m:rPr>
                <m:sty m:val="p"/>
              </m:rPr>
              <m:t>c</m:t>
            </m:r>
            <m:r>
              <m:rPr>
                <m:sty m:val="p"/>
              </m:rPr>
              <m:t>o</m:t>
            </m:r>
            <m:r>
              <m:rPr>
                <m:sty m:val="p"/>
              </m:rPr>
              <m:t>r</m:t>
            </m:r>
            <m:r>
              <m:rPr>
                <m:sty m:val="p"/>
              </m:rPr>
              <m:t>r</m:t>
            </m:r>
          </m:sup>
        </m:sSubSup>
      </m:oMath>
      <w:r>
        <w:t xml:space="preserve">, and the proposed integral has the form</w:t>
      </w:r>
    </w:p>
    <w:p>
      <w:pPr>
        <w:pStyle w:val="BodyText"/>
      </w:pPr>
      <m:oMathPara>
        <m:oMathParaPr>
          <m:jc m:val="center"/>
        </m:oMathParaPr>
        <m:oMath>
          <m:sSubSup>
            <m:e>
              <m:r>
                <m:rPr>
                  <m:sty m:val="b"/>
                </m:rPr>
                <m:t>Φ</m:t>
              </m:r>
            </m:e>
            <m:sub>
              <m:r>
                <m:t>e</m:t>
              </m:r>
            </m:sub>
            <m:sup>
              <m:r>
                <m:t>v</m:t>
              </m:r>
            </m:sup>
          </m:sSubSup>
          <m:r>
            <m:rPr>
              <m:sty m:val="p"/>
            </m:rPr>
            <m:t>≃</m:t>
          </m:r>
          <m:sSub>
            <m:e>
              <m:r>
                <m:t>S</m:t>
              </m:r>
            </m:e>
            <m:sub>
              <m:r>
                <m:t>e</m:t>
              </m:r>
            </m:sub>
          </m:sSub>
          <m:sSup>
            <m:e>
              <m:r>
                <m:rPr>
                  <m:sty m:val="b"/>
                </m:rPr>
                <m:t>F</m:t>
              </m:r>
            </m:e>
            <m:sup>
              <m:r>
                <m:t>v</m:t>
              </m:r>
            </m:sup>
          </m:sSup>
          <m:r>
            <m:t>​</m:t>
          </m:r>
          <m:d>
            <m:dPr>
              <m:begChr m:val="("/>
              <m:endChr m:val=")"/>
              <m:sepChr m:val=""/>
              <m:grow/>
            </m:dPr>
            <m:e>
              <m:f>
                <m:fPr>
                  <m:type m:val="bar"/>
                </m:fPr>
                <m:num>
                  <m:sSub>
                    <m:e>
                      <m:acc>
                        <m:accPr>
                          <m:chr m:val="‾"/>
                        </m:accPr>
                        <m:e>
                          <m:r>
                            <m:rPr>
                              <m:sty m:val="b"/>
                            </m:rPr>
                            <m:t>q</m:t>
                          </m:r>
                        </m:e>
                      </m:acc>
                    </m:e>
                    <m:sub>
                      <m:r>
                        <m:t>e</m:t>
                      </m:r>
                      <m:r>
                        <m:rPr>
                          <m:sty m:val="p"/>
                        </m:rPr>
                        <m:t>,</m:t>
                      </m:r>
                      <m:r>
                        <m:t>L</m:t>
                      </m:r>
                    </m:sub>
                  </m:sSub>
                  <m:r>
                    <m:rPr>
                      <m:sty m:val="p"/>
                    </m:rPr>
                    <m:t>+</m:t>
                  </m:r>
                  <m:sSub>
                    <m:e>
                      <m:acc>
                        <m:accPr>
                          <m:chr m:val="‾"/>
                        </m:accPr>
                        <m:e>
                          <m:r>
                            <m:rPr>
                              <m:sty m:val="b"/>
                            </m:rPr>
                            <m:t>q</m:t>
                          </m:r>
                        </m:e>
                      </m:acc>
                    </m:e>
                    <m:sub>
                      <m:r>
                        <m:t>e</m:t>
                      </m:r>
                      <m:r>
                        <m:rPr>
                          <m:sty m:val="p"/>
                        </m:rPr>
                        <m:t>,</m:t>
                      </m:r>
                      <m:r>
                        <m:t>R</m:t>
                      </m:r>
                    </m:sub>
                  </m:sSub>
                </m:num>
                <m:den>
                  <m:r>
                    <m:t>2</m:t>
                  </m:r>
                </m:den>
              </m:f>
              <m:r>
                <m:rPr>
                  <m:sty m:val="p"/>
                </m:rPr>
                <m:t>,</m:t>
              </m:r>
              <m:sSubSup>
                <m:e>
                  <m:r>
                    <m:rPr>
                      <m:sty m:val="b"/>
                    </m:rPr>
                    <m:t>G</m:t>
                  </m:r>
                </m:e>
                <m:sub>
                  <m:r>
                    <m:t>q</m:t>
                  </m:r>
                  <m:r>
                    <m:rPr>
                      <m:sty m:val="p"/>
                    </m:rPr>
                    <m:t>,</m:t>
                  </m:r>
                  <m:r>
                    <m:t>e</m:t>
                  </m:r>
                </m:sub>
                <m:sup>
                  <m:r>
                    <m:rPr>
                      <m:sty m:val="p"/>
                    </m:rPr>
                    <m:t>c</m:t>
                  </m:r>
                  <m:r>
                    <m:rPr>
                      <m:sty m:val="p"/>
                    </m:rPr>
                    <m:t>o</m:t>
                  </m:r>
                  <m:r>
                    <m:rPr>
                      <m:sty m:val="p"/>
                    </m:rPr>
                    <m:t>r</m:t>
                  </m:r>
                  <m:r>
                    <m:rPr>
                      <m:sty m:val="p"/>
                    </m:rPr>
                    <m:t>r</m:t>
                  </m:r>
                </m:sup>
              </m:sSubSup>
              <m:r>
                <m:rPr>
                  <m:sty m:val="p"/>
                </m:rPr>
                <m:t>,</m:t>
              </m:r>
              <m:sSub>
                <m:e>
                  <m:r>
                    <m:rPr>
                      <m:sty m:val="b"/>
                    </m:rPr>
                    <m:t>n</m:t>
                  </m:r>
                </m:e>
                <m:sub>
                  <m:r>
                    <m:t>e</m:t>
                  </m:r>
                </m:sub>
              </m:sSub>
            </m:e>
          </m:d>
          <m:r>
            <m:rPr>
              <m:sty m:val="p"/>
            </m:rPr>
            <m:t>.</m:t>
          </m:r>
          <m:r>
            <m:t> </m:t>
          </m:r>
          <m:d>
            <m:dPr>
              <m:begChr m:val="("/>
              <m:endChr m:val=")"/>
              <m:sepChr m:val=""/>
              <m:grow/>
            </m:dPr>
            <m:e>
              <m:r>
                <m:t>21</m:t>
              </m:r>
            </m:e>
          </m:d>
        </m:oMath>
      </m:oMathPara>
    </w:p>
    <w:p>
      <w:pPr>
        <w:pStyle w:val="FirstParagraph"/>
      </w:pPr>
      <w:r>
        <w:t xml:space="preserve">These formulas document the thesis extension; the paired runtime results below concern the inviscid implementation. A second-order gradient does not provide a general third-order viscous residual. In addition, moving a nonlinear constitutive law outside an integral is an approximation: temperature-dependent transport coefficients and products of variable velocity and gradients require a separate consistency analysis.</w:t>
      </w:r>
    </w:p>
    <w:p>
      <w:pPr>
        <w:pStyle w:val="BodyText"/>
      </w:pPr>
      <w:r>
        <w:t xml:space="preserve">For a planar boundary triangle</w:t>
      </w:r>
      <w:r>
        <w:t xml:space="preserve"> </w:t>
      </w:r>
      <m:oMath>
        <m:r>
          <m:t>T</m:t>
        </m:r>
      </m:oMath>
      <w:r>
        <w:t xml:space="preserve"> </w:t>
      </w:r>
      <w:r>
        <w:t xml:space="preserve">with three construction vertices and an affine numerical-flux interpolant</w:t>
      </w:r>
      <w:r>
        <w:t xml:space="preserve"> </w:t>
      </w:r>
      <m:oMath>
        <m:sSub>
          <m:e>
            <m:r>
              <m:t>f</m:t>
            </m:r>
          </m:e>
          <m:sub>
            <m:r>
              <m:t>b</m:t>
            </m:r>
          </m:sub>
        </m:sSub>
      </m:oMath>
      <w:r>
        <w:t xml:space="preserve">, the correctly normalized integral is</w:t>
      </w:r>
    </w:p>
    <w:p>
      <w:pPr>
        <w:pStyle w:val="BodyText"/>
      </w:pPr>
      <m:oMathPara>
        <m:oMathParaPr>
          <m:jc m:val="center"/>
        </m:oMathParaPr>
        <m:oMath>
          <m:nary>
            <m:naryPr>
              <m:chr m:val="∫"/>
              <m:limLoc m:val="subSup"/>
              <m:subHide m:val="off"/>
              <m:supHide m:val="on"/>
            </m:naryPr>
            <m:sub>
              <m:r>
                <m:t>T</m:t>
              </m:r>
            </m:sub>
            <m:sup>
              <m:r>
                <m:t>​</m:t>
              </m:r>
            </m:sup>
            <m:e>
              <m:sSub>
                <m:e>
                  <m:r>
                    <m:t>f</m:t>
                  </m:r>
                </m:e>
                <m:sub>
                  <m:r>
                    <m:t>b</m:t>
                  </m:r>
                </m:sub>
              </m:sSub>
            </m:e>
          </m:nary>
          <m:r>
            <m:t> </m:t>
          </m:r>
          <m:r>
            <m:rPr>
              <m:sty m:val="p"/>
            </m:rPr>
            <m:t>d</m:t>
          </m:r>
          <m:r>
            <m:t>S</m:t>
          </m:r>
          <m:r>
            <m:rPr>
              <m:sty m:val="p"/>
            </m:rPr>
            <m:t>=</m:t>
          </m:r>
          <m:f>
            <m:fPr>
              <m:type m:val="bar"/>
            </m:fPr>
            <m:num>
              <m:d>
                <m:dPr>
                  <m:begChr m:val="|"/>
                  <m:endChr m:val="|"/>
                  <m:sepChr m:val=""/>
                  <m:grow/>
                </m:dPr>
                <m:e>
                  <m:r>
                    <m:t>T</m:t>
                  </m:r>
                </m:e>
              </m:d>
            </m:num>
            <m:den>
              <m:r>
                <m:t>3</m:t>
              </m:r>
            </m:den>
          </m:f>
          <m:nary>
            <m:naryPr>
              <m:chr m:val="∑"/>
              <m:limLoc m:val="undOvr"/>
              <m:subHide m:val="off"/>
              <m:supHide m:val="off"/>
            </m:naryPr>
            <m:sub>
              <m:r>
                <m:t>r</m:t>
              </m:r>
              <m:r>
                <m:rPr>
                  <m:sty m:val="p"/>
                </m:rPr>
                <m:t>=</m:t>
              </m:r>
              <m:r>
                <m:t>1</m:t>
              </m:r>
            </m:sub>
            <m:sup>
              <m:r>
                <m:t>3</m:t>
              </m:r>
            </m:sup>
            <m:e>
              <m:sSub>
                <m:e>
                  <m:r>
                    <m:t>f</m:t>
                  </m:r>
                </m:e>
                <m:sub>
                  <m:r>
                    <m:t>b</m:t>
                  </m:r>
                </m:sub>
              </m:sSub>
            </m:e>
          </m:nary>
          <m:d>
            <m:dPr>
              <m:begChr m:val="("/>
              <m:endChr m:val=")"/>
              <m:sepChr m:val=""/>
              <m:grow/>
            </m:dPr>
            <m:e>
              <m:sSub>
                <m:e>
                  <m:r>
                    <m:rPr>
                      <m:sty m:val="b"/>
                    </m:rPr>
                    <m:t>r</m:t>
                  </m:r>
                </m:e>
                <m:sub>
                  <m:r>
                    <m:t>r</m:t>
                  </m:r>
                </m:sub>
              </m:sSub>
            </m:e>
          </m:d>
          <m:r>
            <m:rPr>
              <m:sty m:val="p"/>
            </m:rPr>
            <m:t>,</m:t>
          </m:r>
          <m:r>
            <m:rPr>
              <m:nor/>
              <m:sty m:val="p"/>
            </m:rPr>
            <m:t> </m:t>
          </m:r>
          <m:sSub>
            <m:e>
              <m:r>
                <m:t>f</m:t>
              </m:r>
            </m:e>
            <m:sub>
              <m:r>
                <m:t>b</m:t>
              </m:r>
            </m:sub>
          </m:sSub>
          <m:d>
            <m:dPr>
              <m:begChr m:val="("/>
              <m:endChr m:val=")"/>
              <m:sepChr m:val=""/>
              <m:grow/>
            </m:dPr>
            <m:e>
              <m:sSub>
                <m:e>
                  <m:r>
                    <m:rPr>
                      <m:sty m:val="b"/>
                    </m:rPr>
                    <m:t>r</m:t>
                  </m:r>
                </m:e>
                <m:sub>
                  <m:r>
                    <m:t>r</m:t>
                  </m:r>
                </m:sub>
              </m:sSub>
            </m:e>
          </m:d>
          <m:r>
            <m:rPr>
              <m:sty m:val="p"/>
            </m:rPr>
            <m:t>≃</m:t>
          </m:r>
          <m:nary>
            <m:naryPr>
              <m:chr m:val="∑"/>
              <m:limLoc m:val="undOvr"/>
              <m:subHide m:val="off"/>
              <m:supHide m:val="on"/>
            </m:naryPr>
            <m:sub>
              <m:r>
                <m:t>m</m:t>
              </m:r>
            </m:sub>
            <m:sup>
              <m:r>
                <m:t>​</m:t>
              </m:r>
            </m:sup>
            <m:e>
              <m:sSub>
                <m:e>
                  <m:r>
                    <m:t>C</m:t>
                  </m:r>
                </m:e>
                <m:sub>
                  <m:r>
                    <m:t>r</m:t>
                  </m:r>
                  <m:r>
                    <m:t>m</m:t>
                  </m:r>
                </m:sub>
              </m:sSub>
            </m:e>
          </m:nary>
          <m:sSub>
            <m:e>
              <m:r>
                <m:t>f</m:t>
              </m:r>
            </m:e>
            <m:sub>
              <m:r>
                <m:t>b</m:t>
              </m:r>
            </m:sub>
          </m:sSub>
          <m:d>
            <m:dPr>
              <m:begChr m:val="("/>
              <m:endChr m:val=")"/>
              <m:sepChr m:val=""/>
              <m:grow/>
            </m:dPr>
            <m:e>
              <m:sSub>
                <m:e>
                  <m:r>
                    <m:rPr>
                      <m:sty m:val="b"/>
                    </m:rPr>
                    <m:t>U</m:t>
                  </m:r>
                </m:e>
                <m:sub>
                  <m:r>
                    <m:t>m</m:t>
                  </m:r>
                </m:sub>
              </m:sSub>
              <m:r>
                <m:rPr>
                  <m:sty m:val="p"/>
                </m:rPr>
                <m:t>;</m:t>
              </m:r>
              <m:sSub>
                <m:e>
                  <m:r>
                    <m:rPr>
                      <m:sty m:val="b"/>
                    </m:rPr>
                    <m:t>n</m:t>
                  </m:r>
                </m:e>
                <m:sub>
                  <m:r>
                    <m:t>T</m:t>
                  </m:r>
                </m:sub>
              </m:sSub>
            </m:e>
          </m:d>
          <m:r>
            <m:rPr>
              <m:sty m:val="p"/>
            </m:rPr>
            <m:t>.</m:t>
          </m:r>
          <m:r>
            <m:t> </m:t>
          </m:r>
          <m:d>
            <m:dPr>
              <m:begChr m:val="("/>
              <m:endChr m:val=")"/>
              <m:sepChr m:val=""/>
              <m:grow/>
            </m:dPr>
            <m:e>
              <m:r>
                <m:t>22</m:t>
              </m:r>
            </m:e>
          </m:d>
        </m:oMath>
      </m:oMathPara>
    </w:p>
    <w:p>
      <w:pPr>
        <w:pStyle w:val="FirstParagraph"/>
      </w:pPr>
      <w:r>
        <w:t xml:space="preserve">This expands the boundary construction of thesis Section 4.3.2</w:t>
      </w:r>
      <w:r>
        <w:t xml:space="preserve"> </w:t>
      </w:r>
      <w:r>
        <w:t xml:space="preserve">[11]</w:t>
      </w:r>
      <w:r>
        <w:t xml:space="preserve">. The</w:t>
      </w:r>
      <w:r>
        <w:t xml:space="preserve"> </w:t>
      </w:r>
      <m:oMath>
        <m:r>
          <m:t>1</m:t>
        </m:r>
        <m:r>
          <m:rPr>
            <m:sty m:val="p"/>
          </m:rPr>
          <m:t>/</m:t>
        </m:r>
        <m:r>
          <m:t>3</m:t>
        </m:r>
      </m:oMath>
      <w:r>
        <w:t xml:space="preserve"> </w:t>
      </w:r>
      <w:r>
        <w:t xml:space="preserve">factor is required by constant preservation; summing nodal values with</w:t>
      </w:r>
      <w:r>
        <w:t xml:space="preserve"> </w:t>
      </w:r>
      <m:oMath>
        <m:d>
          <m:dPr>
            <m:begChr m:val="|"/>
            <m:endChr m:val="|"/>
            <m:sepChr m:val=""/>
            <m:grow/>
          </m:dPr>
          <m:e>
            <m:r>
              <m:t>T</m:t>
            </m:r>
          </m:e>
        </m:d>
      </m:oMath>
      <w:r>
        <w:t xml:space="preserve"> </w:t>
      </w:r>
      <w:r>
        <w:t xml:space="preserve">alone would triple a constant flux. The nodal flux includes the boundary-state construction before affine interpolation. Curved boundaries also require normal and geometric-approximation control. Concentrating a lower-order error on the boundary is insufficient on its own to guarantee third-order global accuracy: the PDE, stability, boundary closure and selected norm all matter.</w:t>
      </w:r>
    </w:p>
    <w:bookmarkStart w:id="29" w:name="tab:representation"/>
    <w:p>
      <w:pPr>
        <w:pStyle w:val="TableCaption"/>
      </w:pPr>
      <w:r>
        <w:t xml:space="preserve">Table 1. Runtime representation of the two implementations. The reconstruction solve is quadratic in both paths;</w:t>
      </w:r>
      <w:r>
        <w:t xml:space="preserve"> </w:t>
      </w:r>
      <w:r>
        <w:t xml:space="preserve">“</w:t>
      </w:r>
      <w:r>
        <w:t xml:space="preserve">rows</w:t>
      </w:r>
      <w:r>
        <w:t xml:space="preserve">”</w:t>
      </w:r>
      <w:r>
        <w:t xml:space="preserve"> </w:t>
      </w:r>
      <w:r>
        <w:t xml:space="preserve">are nonconstant reconstruction rows per solution component.</w:t>
      </w:r>
    </w:p>
    <w:tbl>
      <w:tblPr>
        <w:tblStyle w:val="Table"/>
        <w:tblW w:type="auto" w:w="0"/>
        <w:tblLook w:firstRow="1" w:lastRow="0" w:firstColumn="0" w:lastColumn="0" w:noHBand="0" w:noVBand="0" w:val="0020"/>
        <w:jc w:val="start"/>
        <w:tblCaption w:val="Table 1. Runtime representation of the two implementations. The reconstruction solve is quadratic in both paths; “rows” are nonconstant reconstruction rows per solution component."/>
      </w:tblPr>
      <w:tblGrid>
        <w:gridCol w:w="1980"/>
        <w:gridCol w:w="1980"/>
        <w:gridCol w:w="1980"/>
        <w:gridCol w:w="1980"/>
      </w:tblGrid>
      <w:tr>
        <w:trPr>
          <w:tblHeader w:val="true"/>
          <w:cantSplit/>
        </w:trPr>
        <w:tc>
          <w:tcPr/>
          <w:p>
            <w:pPr>
              <w:pStyle w:val="Compact"/>
              <w:jc w:val="left"/>
            </w:pPr>
            <w:r>
              <w:t xml:space="preserve">Property</w:t>
            </w:r>
          </w:p>
        </w:tc>
        <w:tc>
          <w:tcPr/>
          <w:p>
            <w:pPr>
              <w:pStyle w:val="Compact"/>
              <w:jc w:val="center"/>
            </w:pPr>
            <w:r>
              <w:t xml:space="preserve">Conventional quadrature</w:t>
            </w:r>
          </w:p>
        </w:tc>
        <w:tc>
          <w:tcPr/>
          <w:p>
            <w:pPr>
              <w:pStyle w:val="Compact"/>
              <w:jc w:val="center"/>
            </w:pPr>
            <w:r>
              <w:t xml:space="preserve">Differential integration</w:t>
            </w:r>
          </w:p>
        </w:tc>
        <w:tc>
          <w:tcPr/>
          <w:p>
            <w:pPr>
              <w:pStyle w:val="Compact"/>
              <w:jc w:val="center"/>
            </w:pPr>
            <w:r>
              <w:t xml:space="preserve">Consequence</w:t>
            </w:r>
          </w:p>
        </w:tc>
      </w:tr>
      <w:tr>
        <w:tc>
          <w:tcPr/>
          <w:p>
            <w:pPr>
              <w:pStyle w:val="Compact"/>
              <w:jc w:val="left"/>
            </w:pPr>
            <w:r>
              <w:t xml:space="preserve">2-D/3-D stored reconstruction rows</w:t>
            </w:r>
          </w:p>
        </w:tc>
        <w:tc>
          <w:tcPr/>
          <w:p>
            <w:pPr>
              <w:pStyle w:val="Compact"/>
              <w:jc w:val="center"/>
            </w:pPr>
            <w:r>
              <w:t xml:space="preserve">5 / 9</w:t>
            </w:r>
          </w:p>
        </w:tc>
        <w:tc>
          <w:tcPr/>
          <w:p>
            <w:pPr>
              <w:pStyle w:val="Compact"/>
              <w:jc w:val="center"/>
            </w:pPr>
            <w:r>
              <w:t xml:space="preserve">2 / 3</w:t>
            </w:r>
          </w:p>
        </w:tc>
        <w:tc>
          <w:tcPr/>
          <w:p>
            <w:pPr>
              <w:pStyle w:val="Compact"/>
              <w:jc w:val="center"/>
            </w:pPr>
            <w:r>
              <w:t xml:space="preserve">smaller dynamic state</w:t>
            </w:r>
          </w:p>
        </w:tc>
        <w:trPr>
          <w:cantSplit/>
        </w:trPr>
      </w:tr>
      <w:tr>
        <w:tc>
          <w:tcPr/>
          <w:p>
            <w:pPr>
              <w:pStyle w:val="Compact"/>
              <w:jc w:val="left"/>
            </w:pPr>
            <w:r>
              <w:t xml:space="preserve">Volume and surface points</w:t>
            </w:r>
          </w:p>
        </w:tc>
        <w:tc>
          <w:tcPr/>
          <w:p>
            <w:pPr>
              <w:pStyle w:val="Compact"/>
              <w:jc w:val="center"/>
            </w:pPr>
            <w:r>
              <w:t xml:space="preserve">stored and traversed</w:t>
            </w:r>
          </w:p>
        </w:tc>
        <w:tc>
          <w:tcPr/>
          <w:p>
            <w:pPr>
              <w:pStyle w:val="Compact"/>
              <w:jc w:val="center"/>
            </w:pPr>
            <w:r>
              <w:t xml:space="preserve">0 in production</w:t>
            </w:r>
          </w:p>
        </w:tc>
        <w:tc>
          <w:tcPr/>
          <w:p>
            <w:pPr>
              <w:pStyle w:val="Compact"/>
              <w:jc w:val="center"/>
            </w:pPr>
            <w:r>
              <w:t xml:space="preserve">no point arrays</w:t>
            </w:r>
          </w:p>
        </w:tc>
        <w:trPr>
          <w:cantSplit/>
        </w:trPr>
      </w:tr>
      <w:tr>
        <w:tc>
          <w:tcPr/>
          <w:p>
            <w:pPr>
              <w:pStyle w:val="Compact"/>
              <w:jc w:val="left"/>
            </w:pPr>
            <w:r>
              <w:t xml:space="preserve">State at an integration location</w:t>
            </w:r>
          </w:p>
        </w:tc>
        <w:tc>
          <w:tcPr/>
          <w:p>
            <w:pPr>
              <w:pStyle w:val="Compact"/>
              <w:jc w:val="center"/>
            </w:pPr>
            <w:r>
              <w:t xml:space="preserve">quadratic evaluation</w:t>
            </w:r>
          </w:p>
        </w:tc>
        <w:tc>
          <w:tcPr/>
          <w:p>
            <w:pPr>
              <w:pStyle w:val="Compact"/>
              <w:jc w:val="center"/>
            </w:pPr>
            <w:r>
              <w:t xml:space="preserve">gradient functional</w:t>
            </w:r>
          </w:p>
        </w:tc>
        <w:tc>
          <w:tcPr/>
          <w:p>
            <w:pPr>
              <w:pStyle w:val="Compact"/>
              <w:jc w:val="center"/>
            </w:pPr>
            <w:r>
              <w:t xml:space="preserve">no Hessian storage</w:t>
            </w:r>
          </w:p>
        </w:tc>
        <w:trPr>
          <w:cantSplit/>
        </w:trPr>
      </w:tr>
      <w:tr>
        <w:tc>
          <w:tcPr/>
          <w:p>
            <w:pPr>
              <w:pStyle w:val="Compact"/>
              <w:jc w:val="left"/>
            </w:pPr>
            <w:r>
              <w:t xml:space="preserve">Riemann calls on one macroface</w:t>
            </w:r>
          </w:p>
        </w:tc>
        <w:tc>
          <w:tcPr/>
          <w:p>
            <w:pPr>
              <w:pStyle w:val="Compact"/>
              <w:jc w:val="center"/>
            </w:pPr>
            <w:r>
              <w:t xml:space="preserve">per surface point</w:t>
            </w:r>
          </w:p>
        </w:tc>
        <w:tc>
          <w:tcPr/>
          <w:p>
            <w:pPr>
              <w:pStyle w:val="Compact"/>
              <w:jc w:val="center"/>
            </w:pPr>
            <w:r>
              <w:t xml:space="preserve">one</w:t>
            </w:r>
          </w:p>
        </w:tc>
        <w:tc>
          <w:tcPr/>
          <w:p>
            <w:pPr>
              <w:pStyle w:val="Compact"/>
              <w:jc w:val="center"/>
            </w:pPr>
            <w:r>
              <w:t xml:space="preserve">fewer nonlinear flux calls</w:t>
            </w:r>
          </w:p>
        </w:tc>
        <w:trPr>
          <w:cantSplit/>
        </w:trPr>
      </w:tr>
      <w:tr>
        <w:tc>
          <w:tcPr/>
          <w:p>
            <w:pPr>
              <w:pStyle w:val="Compact"/>
              <w:jc w:val="left"/>
            </w:pPr>
            <w:r>
              <w:t xml:space="preserve">Partitioned macroface</w:t>
            </w:r>
          </w:p>
        </w:tc>
        <w:tc>
          <w:tcPr/>
          <w:p>
            <w:pPr>
              <w:pStyle w:val="Compact"/>
              <w:jc w:val="center"/>
            </w:pPr>
            <w:r>
              <w:t xml:space="preserve">local point loop</w:t>
            </w:r>
          </w:p>
        </w:tc>
        <w:tc>
          <w:tcPr/>
          <w:p>
            <w:pPr>
              <w:pStyle w:val="Compact"/>
              <w:jc w:val="center"/>
            </w:pPr>
            <w:r>
              <w:t xml:space="preserve">unique edge owner</w:t>
            </w:r>
          </w:p>
        </w:tc>
        <w:tc>
          <w:tcPr/>
          <w:p>
            <w:pPr>
              <w:pStyle w:val="Compact"/>
              <w:jc w:val="center"/>
            </w:pPr>
            <w:r>
              <w:t xml:space="preserve">one shared flux</w:t>
            </w:r>
          </w:p>
        </w:tc>
        <w:trPr>
          <w:cantSplit/>
        </w:trPr>
      </w:tr>
    </w:tbl>
    <w:bookmarkEnd w:id="29"/>
    <w:bookmarkEnd w:id="30"/>
    <w:bookmarkStart w:id="31" w:name="sec:mpi"/>
    <w:p>
      <w:pPr>
        <w:pStyle w:val="Heading2"/>
      </w:pPr>
      <w:r>
        <w:t xml:space="preserve">2.9 MPI ownership and conservation</w:t>
      </w:r>
    </w:p>
    <w:p>
      <w:pPr>
        <w:pStyle w:val="FirstParagraph"/>
      </w:pPr>
      <w:r>
        <w:t xml:space="preserve">Each primal edge has one deterministic owner, selected from the partition ownership of its adjacent cells. The owner evaluates</w:t>
      </w:r>
      <w:r>
        <w:t xml:space="preserve"> </w:t>
      </w:r>
      <m:oMath>
        <m:sSub>
          <m:e>
            <m:acc>
              <m:accPr>
                <m:chr m:val="̂"/>
              </m:accPr>
              <m:e>
                <m:r>
                  <m:rPr>
                    <m:sty m:val="b"/>
                  </m:rPr>
                  <m:t>Φ</m:t>
                </m:r>
              </m:e>
            </m:acc>
          </m:e>
          <m:sub>
            <m:r>
              <m:t>e</m:t>
            </m:r>
          </m:sub>
        </m:sSub>
      </m:oMath>
      <w:r>
        <w:t xml:space="preserve"> </w:t>
      </w:r>
      <w:r>
        <w:t xml:space="preserve">once; ranks holding ghost endpoints pull that result. Node owners then apply the signed incidence in (1). The design ensures that the two endpoints of a cross-partition edge use exactly the same flux rather than independently recomputing rounded variants. Point values and gradients are synchronized by the existing node pull maps. The implementation does not retain raw pointers into communication arrays across allocation changes.</w:t>
      </w:r>
    </w:p>
    <w:bookmarkEnd w:id="31"/>
    <w:bookmarkEnd w:id="32"/>
    <w:bookmarkStart w:id="34" w:name="sec:cost"/>
    <w:p>
      <w:pPr>
        <w:pStyle w:val="Heading1"/>
      </w:pPr>
      <w:r>
        <w:t xml:space="preserve">3. Cost model and amortization of geometry preprocessing</w:t>
      </w:r>
    </w:p>
    <w:p>
      <w:pPr>
        <w:pStyle w:val="FirstParagraph"/>
      </w:pPr>
      <w:r>
        <w:t xml:space="preserve">The storage and arithmetic model in thesis Section 5.1</w:t>
      </w:r>
      <w:r>
        <w:t xml:space="preserve"> </w:t>
      </w:r>
      <w:r>
        <w:t xml:space="preserve">[11]</w:t>
      </w:r>
      <w:r>
        <w:t xml:space="preserve">, printed pp. 57–59, makes the sources of efficiency quantitative. It assumes a pure tetrahedral primal grid, five conservative variables, an inactive limiter and inviscid fluxes. Let</w:t>
      </w:r>
      <w:r>
        <w:t xml:space="preserve"> </w:t>
      </w:r>
      <m:oMath>
        <m:r>
          <m:t>s</m:t>
        </m:r>
      </m:oMath>
      <w:r>
        <w:t xml:space="preserve"> </w:t>
      </w:r>
      <w:r>
        <w:t xml:space="preserve">be the mean least-squares stencil size,</w:t>
      </w:r>
      <w:r>
        <w:t xml:space="preserve"> </w:t>
      </w:r>
      <m:oMath>
        <m:sSub>
          <m:e>
            <m:r>
              <m:t>N</m:t>
            </m:r>
          </m:e>
          <m:sub>
            <m:r>
              <m:t>f</m:t>
            </m:r>
          </m:sub>
        </m:sSub>
      </m:oMath>
      <w:r>
        <w:t xml:space="preserve"> </w:t>
      </w:r>
      <w:r>
        <w:t xml:space="preserve">the mean number of adjacent dual cells, and</w:t>
      </w:r>
      <w:r>
        <w:t xml:space="preserve"> </w:t>
      </w:r>
      <m:oMath>
        <m:sSub>
          <m:e>
            <m:r>
              <m:t>N</m:t>
            </m:r>
          </m:e>
          <m:sub>
            <m:r>
              <m:t>e</m:t>
            </m:r>
          </m:sub>
        </m:sSub>
      </m:oMath>
      <w:r>
        <w:t xml:space="preserve"> </w:t>
      </w:r>
      <w:r>
        <w:t xml:space="preserve">the mean number of primal tetrahedra around one edge. Each dual macroface then contains</w:t>
      </w:r>
      <w:r>
        <w:t xml:space="preserve"> </w:t>
      </w:r>
      <m:oMath>
        <m:r>
          <m:t>2</m:t>
        </m:r>
        <m:sSub>
          <m:e>
            <m:r>
              <m:t>N</m:t>
            </m:r>
          </m:e>
          <m:sub>
            <m:r>
              <m:t>e</m:t>
            </m:r>
          </m:sub>
        </m:sSub>
      </m:oMath>
      <w:r>
        <w:t xml:space="preserve"> </w:t>
      </w:r>
      <w:r>
        <w:t xml:space="preserve">micro-triangles. The thesis baseline uses three quadrature points per micro-triangle. Contributions stored or computed once on a shared face are charged one half to each endpoint.</w:t>
      </w:r>
    </w:p>
    <w:p>
      <w:pPr>
        <w:pStyle w:val="BodyText"/>
      </w:pPr>
      <w:r>
        <w:t xml:space="preserve">Under that counting convention, the numbers of floating-point storage entries per dual cell are</w:t>
      </w:r>
    </w:p>
    <w:p>
      <w:pPr>
        <w:pStyle w:val="BodyText"/>
      </w:pPr>
      <m:oMathPara>
        <m:oMathParaPr>
          <m:jc m:val="center"/>
        </m:oMathParaPr>
        <m:oMath>
          <m:sSub>
            <m:e>
              <m:r>
                <m:t>M</m:t>
              </m:r>
            </m:e>
            <m:sub>
              <m:r>
                <m:t>T</m:t>
              </m:r>
            </m:sub>
          </m:sSub>
          <m:r>
            <m:rPr>
              <m:sty m:val="p"/>
            </m:rPr>
            <m:t>=</m:t>
          </m:r>
          <m:r>
            <m:t>16</m:t>
          </m:r>
          <m:sSub>
            <m:e>
              <m:r>
                <m:t>N</m:t>
              </m:r>
            </m:e>
            <m:sub>
              <m:r>
                <m:t>f</m:t>
              </m:r>
            </m:sub>
          </m:sSub>
          <m:sSub>
            <m:e>
              <m:r>
                <m:t>N</m:t>
              </m:r>
            </m:e>
            <m:sub>
              <m:r>
                <m:t>e</m:t>
              </m:r>
            </m:sub>
          </m:sSub>
          <m:r>
            <m:rPr>
              <m:sty m:val="p"/>
            </m:rPr>
            <m:t>+</m:t>
          </m:r>
          <m:r>
            <m:t>14</m:t>
          </m:r>
          <m:r>
            <m:t>s</m:t>
          </m:r>
          <m:r>
            <m:rPr>
              <m:sty m:val="p"/>
            </m:rPr>
            <m:t>+</m:t>
          </m:r>
          <m:r>
            <m:t>99</m:t>
          </m:r>
          <m:r>
            <m:rPr>
              <m:sty m:val="p"/>
            </m:rPr>
            <m:t>,</m:t>
          </m:r>
          <m:r>
            <m:rPr>
              <m:nor/>
              <m:sty m:val="p"/>
            </m:rPr>
            <m:t> </m:t>
          </m:r>
          <m:sSub>
            <m:e>
              <m:r>
                <m:t>M</m:t>
              </m:r>
            </m:e>
            <m:sub>
              <m:r>
                <m:t>E</m:t>
              </m:r>
            </m:sub>
          </m:sSub>
          <m:r>
            <m:rPr>
              <m:sty m:val="p"/>
            </m:rPr>
            <m:t>=</m:t>
          </m:r>
          <m:r>
            <m:t>6</m:t>
          </m:r>
          <m:sSub>
            <m:e>
              <m:r>
                <m:t>N</m:t>
              </m:r>
            </m:e>
            <m:sub>
              <m:r>
                <m:t>f</m:t>
              </m:r>
            </m:sub>
          </m:sSub>
          <m:sSub>
            <m:e>
              <m:r>
                <m:t>N</m:t>
              </m:r>
            </m:e>
            <m:sub>
              <m:r>
                <m:t>e</m:t>
              </m:r>
            </m:sub>
          </m:sSub>
          <m:r>
            <m:rPr>
              <m:sty m:val="p"/>
            </m:rPr>
            <m:t>+</m:t>
          </m:r>
          <m:r>
            <m:t>20</m:t>
          </m:r>
          <m:sSub>
            <m:e>
              <m:r>
                <m:t>N</m:t>
              </m:r>
            </m:e>
            <m:sub>
              <m:r>
                <m:t>f</m:t>
              </m:r>
            </m:sub>
          </m:sSub>
          <m:r>
            <m:rPr>
              <m:sty m:val="p"/>
            </m:rPr>
            <m:t>+</m:t>
          </m:r>
          <m:r>
            <m:t>8</m:t>
          </m:r>
          <m:r>
            <m:t>s</m:t>
          </m:r>
          <m:r>
            <m:rPr>
              <m:sty m:val="p"/>
            </m:rPr>
            <m:t>+</m:t>
          </m:r>
          <m:r>
            <m:t>44</m:t>
          </m:r>
          <m:r>
            <m:rPr>
              <m:sty m:val="p"/>
            </m:rPr>
            <m:t>.</m:t>
          </m:r>
          <m:r>
            <m:t> </m:t>
          </m:r>
          <m:d>
            <m:dPr>
              <m:begChr m:val="("/>
              <m:endChr m:val=")"/>
              <m:sepChr m:val=""/>
              <m:grow/>
            </m:dPr>
            <m:e>
              <m:r>
                <m:t>23</m:t>
              </m:r>
            </m:e>
          </m:d>
        </m:oMath>
      </m:oMathPara>
    </w:p>
    <w:p>
      <w:pPr>
        <w:pStyle w:val="FirstParagraph"/>
      </w:pPr>
      <w:r>
        <w:t xml:space="preserve">The corresponding numbers of multiplications per spatial residual evaluation are</w:t>
      </w:r>
    </w:p>
    <w:p>
      <w:pPr>
        <w:pStyle w:val="BodyText"/>
      </w:pPr>
      <m:oMathPara>
        <m:oMathParaPr>
          <m:jc m:val="center"/>
        </m:oMathParaPr>
        <m:oMath>
          <m:m>
            <m:mPr>
              <m:baseJc m:val="center"/>
              <m:plcHide m:val="on"/>
              <m:mcs>
                <m:mc>
                  <m:mcPr>
                    <m:mcJc m:val="center"/>
                    <m:count m:val="1"/>
                  </m:mcPr>
                </m:mc>
              </m:mcs>
            </m:mPr>
            <m:mr>
              <m:e>
                <m:sSub>
                  <m:e>
                    <m:r>
                      <m:t>C</m:t>
                    </m:r>
                  </m:e>
                  <m:sub>
                    <m:r>
                      <m:t>T</m:t>
                    </m:r>
                  </m:sub>
                </m:sSub>
                <m:r>
                  <m:rPr>
                    <m:sty m:val="p"/>
                  </m:rPr>
                  <m:t>=</m:t>
                </m:r>
                <m:r>
                  <m:t>621</m:t>
                </m:r>
                <m:sSub>
                  <m:e>
                    <m:r>
                      <m:t>N</m:t>
                    </m:r>
                  </m:e>
                  <m:sub>
                    <m:r>
                      <m:t>f</m:t>
                    </m:r>
                  </m:sub>
                </m:sSub>
                <m:sSub>
                  <m:e>
                    <m:r>
                      <m:t>N</m:t>
                    </m:r>
                  </m:e>
                  <m:sub>
                    <m:r>
                      <m:t>e</m:t>
                    </m:r>
                  </m:sub>
                </m:sSub>
                <m:r>
                  <m:rPr>
                    <m:sty m:val="p"/>
                  </m:rPr>
                  <m:t>+</m:t>
                </m:r>
                <m:r>
                  <m:t>45</m:t>
                </m:r>
                <m:r>
                  <m:t>s</m:t>
                </m:r>
                <m:r>
                  <m:rPr>
                    <m:sty m:val="p"/>
                  </m:rPr>
                  <m:t>,</m:t>
                </m:r>
              </m:e>
            </m:mr>
            <m:mr>
              <m:e>
                <m:sSub>
                  <m:e>
                    <m:r>
                      <m:t>C</m:t>
                    </m:r>
                  </m:e>
                  <m:sub>
                    <m:r>
                      <m:t>E</m:t>
                    </m:r>
                  </m:sub>
                </m:sSub>
                <m:r>
                  <m:rPr>
                    <m:sty m:val="p"/>
                  </m:rPr>
                  <m:t>=</m:t>
                </m:r>
                <m:r>
                  <m:t>22.5</m:t>
                </m:r>
                <m:sSub>
                  <m:e>
                    <m:r>
                      <m:t>N</m:t>
                    </m:r>
                  </m:e>
                  <m:sub>
                    <m:r>
                      <m:t>f</m:t>
                    </m:r>
                  </m:sub>
                </m:sSub>
                <m:sSub>
                  <m:e>
                    <m:r>
                      <m:t>N</m:t>
                    </m:r>
                  </m:e>
                  <m:sub>
                    <m:r>
                      <m:t>e</m:t>
                    </m:r>
                  </m:sub>
                </m:sSub>
                <m:r>
                  <m:rPr>
                    <m:sty m:val="p"/>
                  </m:rPr>
                  <m:t>+</m:t>
                </m:r>
                <m:r>
                  <m:t>168.5</m:t>
                </m:r>
                <m:sSub>
                  <m:e>
                    <m:r>
                      <m:t>N</m:t>
                    </m:r>
                  </m:e>
                  <m:sub>
                    <m:r>
                      <m:t>f</m:t>
                    </m:r>
                  </m:sub>
                </m:sSub>
                <m:r>
                  <m:rPr>
                    <m:sty m:val="p"/>
                  </m:rPr>
                  <m:t>+</m:t>
                </m:r>
                <m:r>
                  <m:t>15</m:t>
                </m:r>
                <m:r>
                  <m:t>s</m:t>
                </m:r>
                <m:r>
                  <m:rPr>
                    <m:sty m:val="p"/>
                  </m:rPr>
                  <m:t>+</m:t>
                </m:r>
                <m:r>
                  <m:t>84</m:t>
                </m:r>
                <m:r>
                  <m:rPr>
                    <m:sty m:val="p"/>
                  </m:rPr>
                  <m:t>.</m:t>
                </m:r>
              </m:e>
            </m:mr>
          </m:m>
          <m:r>
            <m:t> </m:t>
          </m:r>
          <m:d>
            <m:dPr>
              <m:begChr m:val="("/>
              <m:endChr m:val=")"/>
              <m:sepChr m:val=""/>
              <m:grow/>
            </m:dPr>
            <m:e>
              <m:r>
                <m:t>24</m:t>
              </m:r>
            </m:e>
          </m:d>
        </m:oMath>
      </m:oMathPara>
    </w:p>
    <w:p>
      <w:pPr>
        <w:pStyle w:val="FirstParagraph"/>
      </w:pPr>
      <w:r>
        <w:t xml:space="preserve">These reproduce thesis Tables 5.1–5.3. The reduction from</w:t>
      </w:r>
      <w:r>
        <w:t xml:space="preserve"> </w:t>
      </w:r>
      <m:oMath>
        <m:r>
          <m:t>45</m:t>
        </m:r>
        <m:r>
          <m:t>s</m:t>
        </m:r>
      </m:oMath>
      <w:r>
        <w:t xml:space="preserve"> </w:t>
      </w:r>
      <w:r>
        <w:t xml:space="preserve">to</w:t>
      </w:r>
      <w:r>
        <w:t xml:space="preserve"> </w:t>
      </w:r>
      <m:oMath>
        <m:r>
          <m:t>15</m:t>
        </m:r>
        <m:r>
          <m:t>s</m:t>
        </m:r>
      </m:oMath>
      <w:r>
        <w:t xml:space="preserve"> </w:t>
      </w:r>
      <w:r>
        <w:t xml:space="preserve">reflects retaining three instead of nine coefficients for five equations. The conventional term proportional to</w:t>
      </w:r>
      <w:r>
        <w:t xml:space="preserve"> </w:t>
      </w:r>
      <m:oMath>
        <m:sSub>
          <m:e>
            <m:r>
              <m:t>N</m:t>
            </m:r>
          </m:e>
          <m:sub>
            <m:r>
              <m:t>f</m:t>
            </m:r>
          </m:sub>
        </m:sSub>
        <m:sSub>
          <m:e>
            <m:r>
              <m:t>N</m:t>
            </m:r>
          </m:e>
          <m:sub>
            <m:r>
              <m:t>e</m:t>
            </m:r>
          </m:sub>
        </m:sSub>
      </m:oMath>
      <w:r>
        <w:t xml:space="preserve"> </w:t>
      </w:r>
      <w:r>
        <w:t xml:space="preserve">includes state evaluations, nonlinear fluxes and entropy corrections at microface quadrature points. The efficient path substitutes cached nodal flux gradients and support-weight contractions, with dissipation computed once per macroface. The thesis calls this a per-time-step count; here it is interpreted as the spatial work per residual evaluation, to make the extra evaluations of a multistage integrator explicit.</w:t>
      </w:r>
    </w:p>
    <w:bookmarkStart w:id="33" w:name="tab:cost-model"/>
    <w:p>
      <w:pPr>
        <w:pStyle w:val="TableCaption"/>
      </w:pPr>
      <w:r>
        <w:t xml:space="preserve">Table 2. Thesis cost model evaluated at</w:t>
      </w:r>
      <w:r>
        <w:t xml:space="preserve"> </w:t>
      </w:r>
      <m:oMath>
        <m:r>
          <m:t>s</m:t>
        </m:r>
        <m:r>
          <m:rPr>
            <m:sty m:val="p"/>
          </m:rPr>
          <m:t>=</m:t>
        </m:r>
        <m:r>
          <m:t>15</m:t>
        </m:r>
      </m:oMath>
      <w:r>
        <w:t xml:space="preserve">,</w:t>
      </w:r>
      <w:r>
        <w:t xml:space="preserve"> </w:t>
      </w:r>
      <m:oMath>
        <m:sSub>
          <m:e>
            <m:r>
              <m:t>N</m:t>
            </m:r>
          </m:e>
          <m:sub>
            <m:r>
              <m:t>f</m:t>
            </m:r>
          </m:sub>
        </m:sSub>
        <m:r>
          <m:rPr>
            <m:sty m:val="p"/>
          </m:rPr>
          <m:t>=</m:t>
        </m:r>
        <m:r>
          <m:t>12</m:t>
        </m:r>
      </m:oMath>
      <w:r>
        <w:t xml:space="preserve">,</w:t>
      </w:r>
      <w:r>
        <w:t xml:space="preserve"> </w:t>
      </w:r>
      <m:oMath>
        <m:sSub>
          <m:e>
            <m:r>
              <m:t>N</m:t>
            </m:r>
          </m:e>
          <m:sub>
            <m:r>
              <m:t>e</m:t>
            </m:r>
          </m:sub>
        </m:sSub>
        <m:r>
          <m:rPr>
            <m:sty m:val="p"/>
          </m:rPr>
          <m:t>=</m:t>
        </m:r>
        <m:r>
          <m:t>5</m:t>
        </m:r>
      </m:oMath>
      <w:r>
        <w:t xml:space="preserve">. Counts are per dual cell; the ratios are recalculated from thesis Table 5.3</w:t>
      </w:r>
      <w:r>
        <w:t xml:space="preserve"> </w:t>
      </w:r>
      <w:r>
        <w:t xml:space="preserve">[11]</w:t>
      </w:r>
      <w:r>
        <w:t xml:space="preserve">.</w:t>
      </w:r>
    </w:p>
    <w:tbl>
      <w:tblPr>
        <w:tblStyle w:val="Table"/>
        <w:tblW w:type="auto" w:w="0"/>
        <w:tblLook w:firstRow="1" w:lastRow="0" w:firstColumn="0" w:lastColumn="0" w:noHBand="0" w:noVBand="0" w:val="0020"/>
        <w:jc w:val="start"/>
        <w:tblCaption w:val="Table 2. Thesis cost model evaluated at s=15, N_f=12, N_e=5. Counts are per dual cell; the ratios are recalculated from thesis Table 5.3 [11]."/>
      </w:tblPr>
      <w:tblGrid>
        <w:gridCol w:w="1980"/>
        <w:gridCol w:w="1980"/>
        <w:gridCol w:w="1980"/>
        <w:gridCol w:w="1980"/>
      </w:tblGrid>
      <w:tr>
        <w:trPr>
          <w:tblHeader w:val="true"/>
          <w:cantSplit/>
        </w:trPr>
        <w:tc>
          <w:tcPr/>
          <w:p>
            <w:pPr>
              <w:pStyle w:val="Compact"/>
              <w:jc w:val="left"/>
            </w:pPr>
            <w:r>
              <w:t xml:space="preserve">Quantity</w:t>
            </w:r>
          </w:p>
        </w:tc>
        <w:tc>
          <w:tcPr/>
          <w:p>
            <w:pPr>
              <w:pStyle w:val="Compact"/>
              <w:jc w:val="right"/>
            </w:pPr>
            <w:r>
              <w:t xml:space="preserve">Conventional</w:t>
            </w:r>
          </w:p>
        </w:tc>
        <w:tc>
          <w:tcPr/>
          <w:p>
            <w:pPr>
              <w:pStyle w:val="Compact"/>
              <w:jc w:val="right"/>
            </w:pPr>
            <w:r>
              <w:t xml:space="preserve">Differential</w:t>
            </w:r>
          </w:p>
        </w:tc>
        <w:tc>
          <w:tcPr/>
          <w:p>
            <w:pPr>
              <w:pStyle w:val="Compact"/>
              <w:jc w:val="right"/>
            </w:pPr>
            <w:r>
              <w:t xml:space="preserve">Interpretation</w:t>
            </w:r>
          </w:p>
        </w:tc>
      </w:tr>
      <w:tr>
        <w:tc>
          <w:tcPr/>
          <w:p>
            <w:pPr>
              <w:pStyle w:val="Compact"/>
              <w:jc w:val="left"/>
            </w:pPr>
            <w:r>
              <w:t xml:space="preserve">Floating-point storage entries</w:t>
            </w:r>
          </w:p>
        </w:tc>
        <w:tc>
          <w:tcPr/>
          <w:p>
            <w:pPr>
              <w:pStyle w:val="Compact"/>
              <w:jc w:val="right"/>
            </w:pPr>
            <w:r>
              <w:t xml:space="preserve">1269</w:t>
            </w:r>
          </w:p>
        </w:tc>
        <w:tc>
          <w:tcPr/>
          <w:p>
            <w:pPr>
              <w:pStyle w:val="Compact"/>
              <w:jc w:val="right"/>
            </w:pPr>
            <w:r>
              <w:t xml:space="preserve">764</w:t>
            </w:r>
          </w:p>
        </w:tc>
        <w:tc>
          <w:tcPr/>
          <w:p>
            <w:pPr>
              <w:pStyle w:val="Compact"/>
              <w:jc w:val="right"/>
            </w:pPr>
            <w:r>
              <w:t xml:space="preserve">39.80% reduction</w:t>
            </w:r>
          </w:p>
        </w:tc>
        <w:trPr>
          <w:cantSplit/>
        </w:trPr>
      </w:tr>
      <w:tr>
        <w:tc>
          <w:tcPr/>
          <w:p>
            <w:pPr>
              <w:pStyle w:val="Compact"/>
              <w:jc w:val="left"/>
            </w:pPr>
            <w:r>
              <w:t xml:space="preserve">Multiplications per residual</w:t>
            </w:r>
          </w:p>
        </w:tc>
        <w:tc>
          <w:tcPr/>
          <w:p>
            <w:pPr>
              <w:pStyle w:val="Compact"/>
              <w:jc w:val="right"/>
            </w:pPr>
            <w:r>
              <w:t xml:space="preserve">37935</w:t>
            </w:r>
          </w:p>
        </w:tc>
        <w:tc>
          <w:tcPr/>
          <w:p>
            <w:pPr>
              <w:pStyle w:val="Compact"/>
              <w:jc w:val="right"/>
            </w:pPr>
            <w:r>
              <w:t xml:space="preserve">3681</w:t>
            </w:r>
          </w:p>
        </w:tc>
        <w:tc>
          <w:tcPr/>
          <w:p>
            <w:pPr>
              <w:pStyle w:val="Compact"/>
              <w:jc w:val="right"/>
            </w:pPr>
            <m:oMath>
              <m:sSub>
                <m:e>
                  <m:r>
                    <m:t>C</m:t>
                  </m:r>
                </m:e>
                <m:sub>
                  <m:r>
                    <m:t>T</m:t>
                  </m:r>
                </m:sub>
              </m:sSub>
              <m:r>
                <m:rPr>
                  <m:sty m:val="p"/>
                </m:rPr>
                <m:t>/</m:t>
              </m:r>
              <m:sSub>
                <m:e>
                  <m:r>
                    <m:t>C</m:t>
                  </m:r>
                </m:e>
                <m:sub>
                  <m:r>
                    <m:t>E</m:t>
                  </m:r>
                </m:sub>
              </m:sSub>
              <m:r>
                <m:rPr>
                  <m:sty m:val="p"/>
                </m:rPr>
                <m:t>=</m:t>
              </m:r>
              <m:r>
                <m:t>10.31</m:t>
              </m:r>
            </m:oMath>
          </w:p>
        </w:tc>
        <w:trPr>
          <w:cantSplit/>
        </w:trPr>
      </w:tr>
    </w:tbl>
    <w:bookmarkEnd w:id="33"/>
    <w:p>
      <w:pPr>
        <w:pStyle w:val="BodyText"/>
      </w:pPr>
      <w:r>
        <w:t xml:space="preserve">The model predicts arithmetic work and algorithmic arrays, rather than elapsed time or process memory. It excludes additions, divisions, square roots, cache behaviour, index storage, communication buffers and allocator overhead. Moreover, the DNDSR baseline below uses six surface quadrature points per micro-triangle and its current fused stencil layout, so the thesis counts cannot be inserted as measured DNDSR bytes or timings.</w:t>
      </w:r>
    </w:p>
    <w:p>
      <w:pPr>
        <w:pStyle w:val="BodyText"/>
      </w:pPr>
      <w:r>
        <w:t xml:space="preserve">For a fixed mesh, let</w:t>
      </w:r>
      <w:r>
        <w:t xml:space="preserve"> </w:t>
      </w:r>
      <m:oMath>
        <m:sSub>
          <m:e>
            <m:r>
              <m:t>P</m:t>
            </m:r>
          </m:e>
          <m:sub>
            <m:r>
              <m:t>E</m:t>
            </m:r>
          </m:sub>
        </m:sSub>
        <m:r>
          <m:rPr>
            <m:sty m:val="p"/>
          </m:rPr>
          <m:t>,</m:t>
        </m:r>
        <m:sSub>
          <m:e>
            <m:r>
              <m:t>P</m:t>
            </m:r>
          </m:e>
          <m:sub>
            <m:r>
              <m:t>T</m:t>
            </m:r>
          </m:sub>
        </m:sSub>
      </m:oMath>
      <w:r>
        <w:t xml:space="preserve"> </w:t>
      </w:r>
      <w:r>
        <w:t xml:space="preserve">be preprocessing times and</w:t>
      </w:r>
      <w:r>
        <w:t xml:space="preserve"> </w:t>
      </w:r>
      <m:oMath>
        <m:sSub>
          <m:e>
            <m:r>
              <m:t>c</m:t>
            </m:r>
          </m:e>
          <m:sub>
            <m:r>
              <m:t>E</m:t>
            </m:r>
          </m:sub>
        </m:sSub>
        <m:r>
          <m:rPr>
            <m:sty m:val="p"/>
          </m:rPr>
          <m:t>,</m:t>
        </m:r>
        <m:sSub>
          <m:e>
            <m:r>
              <m:t>c</m:t>
            </m:r>
          </m:e>
          <m:sub>
            <m:r>
              <m:t>T</m:t>
            </m:r>
          </m:sub>
        </m:sSub>
      </m:oMath>
      <w:r>
        <w:t xml:space="preserve"> </w:t>
      </w:r>
      <w:r>
        <w:t xml:space="preserve">measured costs of one residual evaluation. A run with</w:t>
      </w:r>
      <w:r>
        <w:t xml:space="preserve"> </w:t>
      </w:r>
      <m:oMath>
        <m:sSub>
          <m:e>
            <m:r>
              <m:t>N</m:t>
            </m:r>
          </m:e>
          <m:sub>
            <m:r>
              <m:t>R</m:t>
            </m:r>
          </m:sub>
        </m:sSub>
      </m:oMath>
      <w:r>
        <w:t xml:space="preserve"> </w:t>
      </w:r>
      <w:r>
        <w:t xml:space="preserve">residual evaluations satisfies the simple model</w:t>
      </w:r>
    </w:p>
    <w:p>
      <w:pPr>
        <w:pStyle w:val="BodyText"/>
      </w:pPr>
      <m:oMathPara>
        <m:oMathParaPr>
          <m:jc m:val="center"/>
        </m:oMathParaPr>
        <m:oMath>
          <m:sSub>
            <m:e>
              <m:r>
                <m:t>T</m:t>
              </m:r>
            </m:e>
            <m:sub>
              <m:r>
                <m:t>E</m:t>
              </m:r>
            </m:sub>
          </m:sSub>
          <m:r>
            <m:rPr>
              <m:sty m:val="p"/>
            </m:rPr>
            <m:t>=</m:t>
          </m:r>
          <m:sSub>
            <m:e>
              <m:r>
                <m:t>P</m:t>
              </m:r>
            </m:e>
            <m:sub>
              <m:r>
                <m:t>E</m:t>
              </m:r>
            </m:sub>
          </m:sSub>
          <m:r>
            <m:rPr>
              <m:sty m:val="p"/>
            </m:rPr>
            <m:t>+</m:t>
          </m:r>
          <m:sSub>
            <m:e>
              <m:r>
                <m:t>N</m:t>
              </m:r>
            </m:e>
            <m:sub>
              <m:r>
                <m:t>R</m:t>
              </m:r>
            </m:sub>
          </m:sSub>
          <m:sSub>
            <m:e>
              <m:r>
                <m:t>c</m:t>
              </m:r>
            </m:e>
            <m:sub>
              <m:r>
                <m:t>E</m:t>
              </m:r>
            </m:sub>
          </m:sSub>
          <m:r>
            <m:rPr>
              <m:sty m:val="p"/>
            </m:rPr>
            <m:t>,</m:t>
          </m:r>
          <m:r>
            <m:rPr>
              <m:nor/>
              <m:sty m:val="p"/>
            </m:rPr>
            <m:t> </m:t>
          </m:r>
          <m:sSub>
            <m:e>
              <m:r>
                <m:t>T</m:t>
              </m:r>
            </m:e>
            <m:sub>
              <m:r>
                <m:t>T</m:t>
              </m:r>
            </m:sub>
          </m:sSub>
          <m:r>
            <m:rPr>
              <m:sty m:val="p"/>
            </m:rPr>
            <m:t>=</m:t>
          </m:r>
          <m:sSub>
            <m:e>
              <m:r>
                <m:t>P</m:t>
              </m:r>
            </m:e>
            <m:sub>
              <m:r>
                <m:t>T</m:t>
              </m:r>
            </m:sub>
          </m:sSub>
          <m:r>
            <m:rPr>
              <m:sty m:val="p"/>
            </m:rPr>
            <m:t>+</m:t>
          </m:r>
          <m:sSub>
            <m:e>
              <m:r>
                <m:t>N</m:t>
              </m:r>
            </m:e>
            <m:sub>
              <m:r>
                <m:t>R</m:t>
              </m:r>
            </m:sub>
          </m:sSub>
          <m:sSub>
            <m:e>
              <m:r>
                <m:t>c</m:t>
              </m:r>
            </m:e>
            <m:sub>
              <m:r>
                <m:t>T</m:t>
              </m:r>
            </m:sub>
          </m:sSub>
          <m:r>
            <m:rPr>
              <m:sty m:val="p"/>
            </m:rPr>
            <m:t>.</m:t>
          </m:r>
          <m:r>
            <m:t> </m:t>
          </m:r>
          <m:d>
            <m:dPr>
              <m:begChr m:val="("/>
              <m:endChr m:val=")"/>
              <m:sepChr m:val=""/>
              <m:grow/>
            </m:dPr>
            <m:e>
              <m:r>
                <m:t>25</m:t>
              </m:r>
            </m:e>
          </m:d>
        </m:oMath>
      </m:oMathPara>
    </w:p>
    <w:p>
      <w:pPr>
        <w:pStyle w:val="FirstParagraph"/>
      </w:pPr>
      <w:r>
        <w:t xml:space="preserve">If</w:t>
      </w:r>
      <w:r>
        <w:t xml:space="preserve"> </w:t>
      </w:r>
      <m:oMath>
        <m:sSub>
          <m:e>
            <m:r>
              <m:t>P</m:t>
            </m:r>
          </m:e>
          <m:sub>
            <m:r>
              <m:t>E</m:t>
            </m:r>
          </m:sub>
        </m:sSub>
        <m:r>
          <m:rPr>
            <m:sty m:val="p"/>
          </m:rPr>
          <m:t>&gt;</m:t>
        </m:r>
        <m:sSub>
          <m:e>
            <m:r>
              <m:t>P</m:t>
            </m:r>
          </m:e>
          <m:sub>
            <m:r>
              <m:t>T</m:t>
            </m:r>
          </m:sub>
        </m:sSub>
      </m:oMath>
      <w:r>
        <w:t xml:space="preserve"> </w:t>
      </w:r>
      <w:r>
        <w:t xml:space="preserve">and</w:t>
      </w:r>
      <w:r>
        <w:t xml:space="preserve"> </w:t>
      </w:r>
      <m:oMath>
        <m:sSub>
          <m:e>
            <m:r>
              <m:t>c</m:t>
            </m:r>
          </m:e>
          <m:sub>
            <m:r>
              <m:t>T</m:t>
            </m:r>
          </m:sub>
        </m:sSub>
        <m:r>
          <m:rPr>
            <m:sty m:val="p"/>
          </m:rPr>
          <m:t>&gt;</m:t>
        </m:r>
        <m:sSub>
          <m:e>
            <m:r>
              <m:t>c</m:t>
            </m:r>
          </m:e>
          <m:sub>
            <m:r>
              <m:t>E</m:t>
            </m:r>
          </m:sub>
        </m:sSub>
      </m:oMath>
      <w:r>
        <w:t xml:space="preserve">, the break-even count is</w:t>
      </w:r>
      <w:r>
        <w:t xml:space="preserve"> </w:t>
      </w:r>
      <m:oMath>
        <m:sSub>
          <m:e>
            <m:r>
              <m:t>N</m:t>
            </m:r>
          </m:e>
          <m:sub>
            <m:r>
              <m:t>R</m:t>
            </m:r>
          </m:sub>
        </m:sSub>
        <m:r>
          <m:rPr>
            <m:sty m:val="p"/>
          </m:rPr>
          <m:t>&gt;</m:t>
        </m:r>
        <m:d>
          <m:dPr>
            <m:begChr m:val="("/>
            <m:endChr m:val=")"/>
            <m:sepChr m:val=""/>
            <m:grow/>
          </m:dPr>
          <m:e>
            <m:sSub>
              <m:e>
                <m:r>
                  <m:t>P</m:t>
                </m:r>
              </m:e>
              <m:sub>
                <m:r>
                  <m:t>E</m:t>
                </m:r>
              </m:sub>
            </m:sSub>
            <m:r>
              <m:rPr>
                <m:sty m:val="p"/>
              </m:rPr>
              <m:t>−</m:t>
            </m:r>
            <m:sSub>
              <m:e>
                <m:r>
                  <m:t>P</m:t>
                </m:r>
              </m:e>
              <m:sub>
                <m:r>
                  <m:t>T</m:t>
                </m:r>
              </m:sub>
            </m:sSub>
          </m:e>
        </m:d>
        <m:r>
          <m:rPr>
            <m:sty m:val="p"/>
          </m:rPr>
          <m:t>/</m:t>
        </m:r>
        <m:d>
          <m:dPr>
            <m:begChr m:val="("/>
            <m:endChr m:val=")"/>
            <m:sepChr m:val=""/>
            <m:grow/>
          </m:dPr>
          <m:e>
            <m:sSub>
              <m:e>
                <m:r>
                  <m:t>c</m:t>
                </m:r>
              </m:e>
              <m:sub>
                <m:r>
                  <m:t>T</m:t>
                </m:r>
              </m:sub>
            </m:sSub>
            <m:r>
              <m:rPr>
                <m:sty m:val="p"/>
              </m:rPr>
              <m:t>−</m:t>
            </m:r>
            <m:sSub>
              <m:e>
                <m:r>
                  <m:t>c</m:t>
                </m:r>
              </m:e>
              <m:sub>
                <m:r>
                  <m:t>E</m:t>
                </m:r>
              </m:sub>
            </m:sSub>
          </m:e>
        </m:d>
      </m:oMath>
      <w:r>
        <w:t xml:space="preserve">. If</w:t>
      </w:r>
      <w:r>
        <w:t xml:space="preserve"> </w:t>
      </w:r>
      <m:oMath>
        <m:sSub>
          <m:e>
            <m:r>
              <m:t>P</m:t>
            </m:r>
          </m:e>
          <m:sub>
            <m:r>
              <m:t>E</m:t>
            </m:r>
          </m:sub>
        </m:sSub>
        <m:r>
          <m:rPr>
            <m:sty m:val="p"/>
          </m:rPr>
          <m:t>≤</m:t>
        </m:r>
        <m:sSub>
          <m:e>
            <m:r>
              <m:t>P</m:t>
            </m:r>
          </m:e>
          <m:sub>
            <m:r>
              <m:t>T</m:t>
            </m:r>
          </m:sub>
        </m:sSub>
      </m:oMath>
      <w:r>
        <w:t xml:space="preserve"> </w:t>
      </w:r>
      <w:r>
        <w:t xml:space="preserve">and</w:t>
      </w:r>
      <w:r>
        <w:t xml:space="preserve"> </w:t>
      </w:r>
      <m:oMath>
        <m:sSub>
          <m:e>
            <m:r>
              <m:t>c</m:t>
            </m:r>
          </m:e>
          <m:sub>
            <m:r>
              <m:t>E</m:t>
            </m:r>
          </m:sub>
        </m:sSub>
        <m:r>
          <m:rPr>
            <m:sty m:val="p"/>
          </m:rPr>
          <m:t>&lt;</m:t>
        </m:r>
        <m:sSub>
          <m:e>
            <m:r>
              <m:t>c</m:t>
            </m:r>
          </m:e>
          <m:sub>
            <m:r>
              <m:t>T</m:t>
            </m:r>
          </m:sub>
        </m:sSub>
      </m:oMath>
      <w:r>
        <w:t xml:space="preserve">, no positive break-even delay occurs in this model. This extension of the thesis count explains why a marching-only speed ratio should be accompanied by preprocessing cost for short runs or moving meshes.</w:t>
      </w:r>
    </w:p>
    <w:p>
      <w:pPr>
        <w:pStyle w:val="BodyText"/>
      </w:pPr>
      <w:r>
        <w:t xml:space="preserve">At fixed polynomial order and bounded stencil sizes, both paths retain linear asymptotic work and storage in the number of nodes and edges. The gain is a reduction in constants. Runtime communication can become a larger fraction of the faster edge loop, so a serial arithmetic reduction does not by itself predict the parallel speedup.</w:t>
      </w:r>
    </w:p>
    <w:bookmarkEnd w:id="34"/>
    <w:bookmarkStart w:id="38" w:name="sec:implementation"/>
    <w:p>
      <w:pPr>
        <w:pStyle w:val="Heading1"/>
      </w:pPr>
      <w:r>
        <w:t xml:space="preserve">4. Implementation and verification protocol</w:t>
      </w:r>
    </w:p>
    <w:p>
      <w:pPr>
        <w:pStyle w:val="FirstParagraph"/>
      </w:pPr>
      <w:r>
        <w:t xml:space="preserve">The algorithms were implemented as two selectable modes in the DNDSR NCFV module:</w:t>
      </w:r>
      <w:r>
        <w:t xml:space="preserve"> </w:t>
      </w:r>
      <w:r>
        <w:rPr>
          <w:rStyle w:val="VerbatimChar"/>
        </w:rPr>
        <w:t xml:space="preserve">EfficientDifferential</w:t>
      </w:r>
      <w:r>
        <w:t xml:space="preserve"> </w:t>
      </w:r>
      <w:r>
        <w:t xml:space="preserve">and</w:t>
      </w:r>
      <w:r>
        <w:t xml:space="preserve"> </w:t>
      </w:r>
      <w:r>
        <w:rPr>
          <w:rStyle w:val="VerbatimChar"/>
        </w:rPr>
        <w:t xml:space="preserve">TraditionalQuadrature</w:t>
      </w:r>
      <w:r>
        <w:t xml:space="preserve">. They share mesh preprocessing, least-squares stencil construction, limiters, time integration, flux family and MPI ownership. The conventional mode retains all quadratic coefficients and uses fourth-order rules (14 points per micro-tetrahedron and 6 per micro-triangle in the reported three-dimensional setting). The differential mode retains the gradient block and geometry/flux weights only.</w:t>
      </w:r>
    </w:p>
    <w:p>
      <w:pPr>
        <w:pStyle w:val="BodyText"/>
      </w:pPr>
      <w:r>
        <w:t xml:space="preserve">The verification evidence used here consists of: (i) micro-geometry closure, (ii) polynomial-reproduction audits with independently evaluated reference quadrature, (iii) owner/ghost and periodic consistency checks, (iv) static reconstruction on a translated isentropic vortex, and (v) completed, paired time-marching tests. Production tests retain no differential-mode Gauss points; diagnostic quadrature is isolated from production storage. Geometry closure errors are approximately</w:t>
      </w:r>
      <w:r>
        <w:t xml:space="preserve"> </w:t>
      </w:r>
      <m:oMath>
        <m:sSup>
          <m:e>
            <m:r>
              <m:t>10</m:t>
            </m:r>
          </m:e>
          <m:sup>
            <m:r>
              <m:rPr>
                <m:sty m:val="p"/>
              </m:rPr>
              <m:t>−</m:t>
            </m:r>
            <m:r>
              <m:t>16</m:t>
            </m:r>
          </m:sup>
        </m:sSup>
      </m:oMath>
      <w:r>
        <w:t xml:space="preserve"> </w:t>
      </w:r>
      <w:r>
        <w:t xml:space="preserve">in the reported periodic meshes, and parallel reproductions agree to roundoff in the corresponding audits.</w:t>
      </w:r>
    </w:p>
    <w:p>
      <w:pPr>
        <w:pStyle w:val="CaptionedFigure"/>
      </w:pPr>
      <w:r>
        <w:drawing>
          <wp:inline>
            <wp:extent cx="5334000" cy="2182090"/>
            <wp:effectExtent b="0" l="0" r="0" t="0"/>
            <wp:docPr descr="" title="" id="36" name="Picture"/>
            <a:graphic>
              <a:graphicData uri="http://schemas.openxmlformats.org/drawingml/2006/picture">
                <pic:pic>
                  <pic:nvPicPr>
                    <pic:cNvPr descr="convergence.png" id="37" name="Picture"/>
                    <pic:cNvPicPr>
                      <a:picLocks noChangeArrowheads="1" noChangeAspect="1"/>
                    </pic:cNvPicPr>
                  </pic:nvPicPr>
                  <pic:blipFill>
                    <a:blip r:embed="rId35"/>
                    <a:stretch>
                      <a:fillRect/>
                    </a:stretch>
                  </pic:blipFill>
                  <pic:spPr bwMode="auto">
                    <a:xfrm>
                      <a:off x="0" y="0"/>
                      <a:ext cx="5334000" cy="2182090"/>
                    </a:xfrm>
                    <a:prstGeom prst="rect">
                      <a:avLst/>
                    </a:prstGeom>
                    <a:noFill/>
                    <a:ln w="9525">
                      <a:noFill/>
                      <a:headEnd/>
                      <a:tailEnd/>
                    </a:ln>
                  </pic:spPr>
                </pic:pic>
              </a:graphicData>
            </a:graphic>
          </wp:inline>
        </w:drawing>
      </w:r>
    </w:p>
    <w:p>
      <w:pPr>
        <w:pStyle w:val="ImageCaption"/>
      </w:pPr>
      <w:r>
        <w:t xml:space="preserve">Figure 1. Static first-reconstruction errors of the differential mode for a periodic isentropic vortex. The left panel measures recovered nodal values and the right panel measures first derivatives. This is a</w:t>
      </w:r>
      <w:r>
        <w:t xml:space="preserve"> </w:t>
      </w:r>
      <m:oMath>
        <m:r>
          <m:t>t</m:t>
        </m:r>
        <m:r>
          <m:rPr>
            <m:sty m:val="p"/>
          </m:rPr>
          <m:t>=</m:t>
        </m:r>
        <m:r>
          <m:t>0</m:t>
        </m:r>
      </m:oMath>
      <w:r>
        <w:t xml:space="preserve"> </w:t>
      </w:r>
      <w:r>
        <w:t xml:space="preserve">reconstruction check, not an end-to-end convergence demonstration.</w:t>
      </w:r>
    </w:p>
    <w:bookmarkEnd w:id="38"/>
    <w:bookmarkStart w:id="49" w:name="sec:results"/>
    <w:p>
      <w:pPr>
        <w:pStyle w:val="Heading1"/>
      </w:pPr>
      <w:r>
        <w:t xml:space="preserve">5. Numerical evidence</w:t>
      </w:r>
    </w:p>
    <w:bookmarkStart w:id="44" w:name="sec:thesis-results"/>
    <w:p>
      <w:pPr>
        <w:pStyle w:val="Heading2"/>
      </w:pPr>
      <w:r>
        <w:t xml:space="preserve">5.1 Accuracy and application results reported in the thesis</w:t>
      </w:r>
    </w:p>
    <w:p>
      <w:pPr>
        <w:pStyle w:val="FirstParagraph"/>
      </w:pPr>
      <w:r>
        <w:t xml:space="preserve">The thesis contains additional completed tests beyond the repository evidence available for the previous manuscript draft. The values in Tables 3 and 4 are transcribed from its numbered Tables 5.5 and 5.6 (printed pp. 61–62; PDF pages 75–76)</w:t>
      </w:r>
      <w:r>
        <w:t xml:space="preserve"> </w:t>
      </w:r>
      <w:r>
        <w:t xml:space="preserve">[11]</w:t>
      </w:r>
      <w:r>
        <w:t xml:space="preserve">. They are source-reported results, not newly executed simulations. The nominal convergence rate is</w:t>
      </w:r>
      <w:r>
        <w:t xml:space="preserve"> </w:t>
      </w:r>
      <m:oMath>
        <m:sSub>
          <m:e>
            <m:r>
              <m:t>p</m:t>
            </m:r>
          </m:e>
          <m:sub>
            <m:r>
              <m:rPr>
                <m:sty m:val="p"/>
              </m:rPr>
              <m:t>o</m:t>
            </m:r>
            <m:r>
              <m:rPr>
                <m:sty m:val="p"/>
              </m:rPr>
              <m:t>b</m:t>
            </m:r>
            <m:r>
              <m:rPr>
                <m:sty m:val="p"/>
              </m:rPr>
              <m:t>s</m:t>
            </m:r>
          </m:sub>
        </m:sSub>
        <m:r>
          <m:rPr>
            <m:sty m:val="p"/>
          </m:rPr>
          <m:t>=</m:t>
        </m:r>
        <m:r>
          <m:rPr>
            <m:sty m:val="p"/>
          </m:rPr>
          <m:t>log</m:t>
        </m:r>
        <m:d>
          <m:dPr>
            <m:begChr m:val="("/>
            <m:endChr m:val=")"/>
            <m:sepChr m:val=""/>
            <m:grow/>
          </m:dPr>
          <m:e>
            <m:sSub>
              <m:e>
                <m:r>
                  <m:t>E</m:t>
                </m:r>
              </m:e>
              <m:sub>
                <m:r>
                  <m:t>h</m:t>
                </m:r>
              </m:sub>
            </m:sSub>
            <m:r>
              <m:rPr>
                <m:sty m:val="p"/>
              </m:rPr>
              <m:t>/</m:t>
            </m:r>
            <m:sSub>
              <m:e>
                <m:r>
                  <m:t>E</m:t>
                </m:r>
              </m:e>
              <m:sub>
                <m:r>
                  <m:t>h</m:t>
                </m:r>
                <m:r>
                  <m:rPr>
                    <m:sty m:val="p"/>
                  </m:rPr>
                  <m:t>/</m:t>
                </m:r>
                <m:r>
                  <m:t>2</m:t>
                </m:r>
              </m:sub>
            </m:sSub>
          </m:e>
        </m:d>
        <m:r>
          <m:rPr>
            <m:sty m:val="p"/>
          </m:rPr>
          <m:t>/</m:t>
        </m:r>
        <m:r>
          <m:rPr>
            <m:sty m:val="p"/>
          </m:rPr>
          <m:t>log</m:t>
        </m:r>
        <m:r>
          <m:t>2</m:t>
        </m:r>
      </m:oMath>
      <w:r>
        <w:t xml:space="preserve">; the rounded source errors reproduce the stated rates to the displayed precision.</w:t>
      </w:r>
    </w:p>
    <w:bookmarkStart w:id="39" w:name="tab:thesis-1d"/>
    <w:p>
      <w:pPr>
        <w:pStyle w:val="TableCaption"/>
      </w:pPr>
      <w:r>
        <w:t xml:space="preserve">Table 3. One-dimensional</w:t>
      </w:r>
      <w:r>
        <w:t xml:space="preserve"> </w:t>
      </w:r>
      <m:oMath>
        <m:sSub>
          <m:e>
            <m:r>
              <m:t>L</m:t>
            </m:r>
          </m:e>
          <m:sub>
            <m:r>
              <m:t>1</m:t>
            </m:r>
          </m:sub>
        </m:sSub>
      </m:oMath>
      <w:r>
        <w:t xml:space="preserve"> </w:t>
      </w:r>
      <w:r>
        <w:t xml:space="preserve">errors reported in thesis Table 5.5</w:t>
      </w:r>
      <w:r>
        <w:t xml:space="preserve"> </w:t>
      </w:r>
      <w:r>
        <w:t xml:space="preserve">[11]</w:t>
      </w:r>
      <w:r>
        <w:t xml:space="preserve">. Advection–diffusion is advanced for 10.5 periods, and Burgers’ equation to</w:t>
      </w:r>
      <w:r>
        <w:t xml:space="preserve"> </w:t>
      </w:r>
      <m:oMath>
        <m:r>
          <m:t>t</m:t>
        </m:r>
        <m:r>
          <m:rPr>
            <m:sty m:val="p"/>
          </m:rPr>
          <m:t>=</m:t>
        </m:r>
        <m:r>
          <m:t>0.1</m:t>
        </m:r>
      </m:oMath>
      <w:r>
        <w:t xml:space="preserve">.</w:t>
      </w:r>
    </w:p>
    <w:tbl>
      <w:tblPr>
        <w:tblStyle w:val="Table"/>
        <w:tblW w:type="auto" w:w="0"/>
        <w:tblLook w:firstRow="1" w:lastRow="0" w:firstColumn="0" w:lastColumn="0" w:noHBand="0" w:noVBand="0" w:val="0020"/>
        <w:jc w:val="start"/>
        <w:tblCaption w:val="Table 3. One-dimensional L_1 errors reported in thesis Table 5.5 [11]. Advection–diffusion is advanced for 10.5 periods, and Burgers’ equation to t=0.1."/>
      </w:tblPr>
      <w:tblGrid>
        <w:gridCol w:w="1584"/>
        <w:gridCol w:w="1584"/>
        <w:gridCol w:w="1584"/>
        <w:gridCol w:w="1584"/>
        <w:gridCol w:w="1584"/>
      </w:tblGrid>
      <w:tr>
        <w:trPr>
          <w:tblHeader w:val="true"/>
          <w:cantSplit/>
        </w:trPr>
        <w:tc>
          <w:tcPr/>
          <w:p>
            <w:pPr>
              <w:pStyle w:val="Compact"/>
              <w:jc w:val="right"/>
            </w:pPr>
            <m:oMath>
              <m:r>
                <m:t>N</m:t>
              </m:r>
            </m:oMath>
          </w:p>
        </w:tc>
        <w:tc>
          <w:tcPr/>
          <w:p>
            <w:pPr>
              <w:pStyle w:val="Compact"/>
              <w:jc w:val="right"/>
            </w:pPr>
            <w:r>
              <w:t xml:space="preserve">Advection–diffusion error</w:t>
            </w:r>
          </w:p>
        </w:tc>
        <w:tc>
          <w:tcPr/>
          <w:p>
            <w:pPr>
              <w:pStyle w:val="Compact"/>
              <w:jc w:val="right"/>
            </w:pPr>
            <w:r>
              <w:t xml:space="preserve">Rate</w:t>
            </w:r>
          </w:p>
        </w:tc>
        <w:tc>
          <w:tcPr/>
          <w:p>
            <w:pPr>
              <w:pStyle w:val="Compact"/>
              <w:jc w:val="right"/>
            </w:pPr>
            <w:r>
              <w:t xml:space="preserve">Burgers error</w:t>
            </w:r>
          </w:p>
        </w:tc>
        <w:tc>
          <w:tcPr/>
          <w:p>
            <w:pPr>
              <w:pStyle w:val="Compact"/>
              <w:jc w:val="right"/>
            </w:pPr>
            <w:r>
              <w:t xml:space="preserve">Rate</w:t>
            </w:r>
          </w:p>
        </w:tc>
      </w:tr>
      <w:tr>
        <w:tc>
          <w:tcPr/>
          <w:p>
            <w:pPr>
              <w:pStyle w:val="Compact"/>
              <w:jc w:val="right"/>
            </w:pPr>
            <w:r>
              <w:t xml:space="preserve">50</w:t>
            </w:r>
          </w:p>
        </w:tc>
        <w:tc>
          <w:tcPr/>
          <w:p>
            <w:pPr>
              <w:pStyle w:val="Compact"/>
              <w:jc w:val="right"/>
            </w:pPr>
            <m:oMath>
              <m:r>
                <m:t>2.94</m:t>
              </m:r>
              <m:r>
                <m:rPr>
                  <m:sty m:val="p"/>
                </m:rPr>
                <m:t>×</m:t>
              </m:r>
              <m:sSup>
                <m:e>
                  <m:r>
                    <m:t>10</m:t>
                  </m:r>
                </m:e>
                <m:sup>
                  <m:r>
                    <m:rPr>
                      <m:sty m:val="p"/>
                    </m:rPr>
                    <m:t>−</m:t>
                  </m:r>
                  <m:r>
                    <m:t>2</m:t>
                  </m:r>
                </m:sup>
              </m:sSup>
            </m:oMath>
          </w:p>
        </w:tc>
        <w:tc>
          <w:tcPr/>
          <w:p>
            <w:pPr>
              <w:pStyle w:val="Compact"/>
              <w:jc w:val="right"/>
            </w:pPr>
            <w:r>
              <w:t xml:space="preserve">–</w:t>
            </w:r>
          </w:p>
        </w:tc>
        <w:tc>
          <w:tcPr/>
          <w:p>
            <w:pPr>
              <w:pStyle w:val="Compact"/>
              <w:jc w:val="right"/>
            </w:pPr>
            <m:oMath>
              <m:r>
                <m:t>7.41</m:t>
              </m:r>
              <m:r>
                <m:rPr>
                  <m:sty m:val="p"/>
                </m:rPr>
                <m:t>×</m:t>
              </m:r>
              <m:sSup>
                <m:e>
                  <m:r>
                    <m:t>10</m:t>
                  </m:r>
                </m:e>
                <m:sup>
                  <m:r>
                    <m:rPr>
                      <m:sty m:val="p"/>
                    </m:rPr>
                    <m:t>−</m:t>
                  </m:r>
                  <m:r>
                    <m:t>4</m:t>
                  </m:r>
                </m:sup>
              </m:sSup>
            </m:oMath>
          </w:p>
        </w:tc>
        <w:tc>
          <w:tcPr/>
          <w:p>
            <w:pPr>
              <w:pStyle w:val="Compact"/>
              <w:jc w:val="right"/>
            </w:pPr>
            <w:r>
              <w:t xml:space="preserve">–</w:t>
            </w:r>
          </w:p>
        </w:tc>
        <w:trPr>
          <w:cantSplit/>
        </w:trPr>
      </w:tr>
      <w:tr>
        <w:tc>
          <w:tcPr/>
          <w:p>
            <w:pPr>
              <w:pStyle w:val="Compact"/>
              <w:jc w:val="right"/>
            </w:pPr>
            <w:r>
              <w:t xml:space="preserve">100</w:t>
            </w:r>
          </w:p>
        </w:tc>
        <w:tc>
          <w:tcPr/>
          <w:p>
            <w:pPr>
              <w:pStyle w:val="Compact"/>
              <w:jc w:val="right"/>
            </w:pPr>
            <m:oMath>
              <m:r>
                <m:t>3.73</m:t>
              </m:r>
              <m:r>
                <m:rPr>
                  <m:sty m:val="p"/>
                </m:rPr>
                <m:t>×</m:t>
              </m:r>
              <m:sSup>
                <m:e>
                  <m:r>
                    <m:t>10</m:t>
                  </m:r>
                </m:e>
                <m:sup>
                  <m:r>
                    <m:rPr>
                      <m:sty m:val="p"/>
                    </m:rPr>
                    <m:t>−</m:t>
                  </m:r>
                  <m:r>
                    <m:t>3</m:t>
                  </m:r>
                </m:sup>
              </m:sSup>
            </m:oMath>
          </w:p>
        </w:tc>
        <w:tc>
          <w:tcPr/>
          <w:p>
            <w:pPr>
              <w:pStyle w:val="Compact"/>
              <w:jc w:val="right"/>
            </w:pPr>
            <w:r>
              <w:t xml:space="preserve">2.98</w:t>
            </w:r>
          </w:p>
        </w:tc>
        <w:tc>
          <w:tcPr/>
          <w:p>
            <w:pPr>
              <w:pStyle w:val="Compact"/>
              <w:jc w:val="right"/>
            </w:pPr>
            <m:oMath>
              <m:r>
                <m:t>9.72</m:t>
              </m:r>
              <m:r>
                <m:rPr>
                  <m:sty m:val="p"/>
                </m:rPr>
                <m:t>×</m:t>
              </m:r>
              <m:sSup>
                <m:e>
                  <m:r>
                    <m:t>10</m:t>
                  </m:r>
                </m:e>
                <m:sup>
                  <m:r>
                    <m:rPr>
                      <m:sty m:val="p"/>
                    </m:rPr>
                    <m:t>−</m:t>
                  </m:r>
                  <m:r>
                    <m:t>5</m:t>
                  </m:r>
                </m:sup>
              </m:sSup>
            </m:oMath>
          </w:p>
        </w:tc>
        <w:tc>
          <w:tcPr/>
          <w:p>
            <w:pPr>
              <w:pStyle w:val="Compact"/>
              <w:jc w:val="right"/>
            </w:pPr>
            <w:r>
              <w:t xml:space="preserve">2.93</w:t>
            </w:r>
          </w:p>
        </w:tc>
        <w:trPr>
          <w:cantSplit/>
        </w:trPr>
      </w:tr>
      <w:tr>
        <w:tc>
          <w:tcPr/>
          <w:p>
            <w:pPr>
              <w:pStyle w:val="Compact"/>
              <w:jc w:val="right"/>
            </w:pPr>
            <w:r>
              <w:t xml:space="preserve">200</w:t>
            </w:r>
          </w:p>
        </w:tc>
        <w:tc>
          <w:tcPr/>
          <w:p>
            <w:pPr>
              <w:pStyle w:val="Compact"/>
              <w:jc w:val="right"/>
            </w:pPr>
            <m:oMath>
              <m:r>
                <m:t>4.58</m:t>
              </m:r>
              <m:r>
                <m:rPr>
                  <m:sty m:val="p"/>
                </m:rPr>
                <m:t>×</m:t>
              </m:r>
              <m:sSup>
                <m:e>
                  <m:r>
                    <m:t>10</m:t>
                  </m:r>
                </m:e>
                <m:sup>
                  <m:r>
                    <m:rPr>
                      <m:sty m:val="p"/>
                    </m:rPr>
                    <m:t>−</m:t>
                  </m:r>
                  <m:r>
                    <m:t>4</m:t>
                  </m:r>
                </m:sup>
              </m:sSup>
            </m:oMath>
          </w:p>
        </w:tc>
        <w:tc>
          <w:tcPr/>
          <w:p>
            <w:pPr>
              <w:pStyle w:val="Compact"/>
              <w:jc w:val="right"/>
            </w:pPr>
            <w:r>
              <w:t xml:space="preserve">3.02</w:t>
            </w:r>
          </w:p>
        </w:tc>
        <w:tc>
          <w:tcPr/>
          <w:p>
            <w:pPr>
              <w:pStyle w:val="Compact"/>
              <w:jc w:val="right"/>
            </w:pPr>
            <m:oMath>
              <m:r>
                <m:t>1.37</m:t>
              </m:r>
              <m:r>
                <m:rPr>
                  <m:sty m:val="p"/>
                </m:rPr>
                <m:t>×</m:t>
              </m:r>
              <m:sSup>
                <m:e>
                  <m:r>
                    <m:t>10</m:t>
                  </m:r>
                </m:e>
                <m:sup>
                  <m:r>
                    <m:rPr>
                      <m:sty m:val="p"/>
                    </m:rPr>
                    <m:t>−</m:t>
                  </m:r>
                  <m:r>
                    <m:t>5</m:t>
                  </m:r>
                </m:sup>
              </m:sSup>
            </m:oMath>
          </w:p>
        </w:tc>
        <w:tc>
          <w:tcPr/>
          <w:p>
            <w:pPr>
              <w:pStyle w:val="Compact"/>
              <w:jc w:val="right"/>
            </w:pPr>
            <w:r>
              <w:t xml:space="preserve">2.83</w:t>
            </w:r>
          </w:p>
        </w:tc>
        <w:trPr>
          <w:cantSplit/>
        </w:trPr>
      </w:tr>
      <w:tr>
        <w:tc>
          <w:tcPr/>
          <w:p>
            <w:pPr>
              <w:pStyle w:val="Compact"/>
              <w:jc w:val="right"/>
            </w:pPr>
            <w:r>
              <w:t xml:space="preserve">400</w:t>
            </w:r>
          </w:p>
        </w:tc>
        <w:tc>
          <w:tcPr/>
          <w:p>
            <w:pPr>
              <w:pStyle w:val="Compact"/>
              <w:jc w:val="right"/>
            </w:pPr>
            <m:oMath>
              <m:r>
                <m:t>5.70</m:t>
              </m:r>
              <m:r>
                <m:rPr>
                  <m:sty m:val="p"/>
                </m:rPr>
                <m:t>×</m:t>
              </m:r>
              <m:sSup>
                <m:e>
                  <m:r>
                    <m:t>10</m:t>
                  </m:r>
                </m:e>
                <m:sup>
                  <m:r>
                    <m:rPr>
                      <m:sty m:val="p"/>
                    </m:rPr>
                    <m:t>−</m:t>
                  </m:r>
                  <m:r>
                    <m:t>5</m:t>
                  </m:r>
                </m:sup>
              </m:sSup>
            </m:oMath>
          </w:p>
        </w:tc>
        <w:tc>
          <w:tcPr/>
          <w:p>
            <w:pPr>
              <w:pStyle w:val="Compact"/>
              <w:jc w:val="right"/>
            </w:pPr>
            <w:r>
              <w:t xml:space="preserve">3.01</w:t>
            </w:r>
          </w:p>
        </w:tc>
        <w:tc>
          <w:tcPr/>
          <w:p>
            <w:pPr>
              <w:pStyle w:val="Compact"/>
              <w:jc w:val="right"/>
            </w:pPr>
            <m:oMath>
              <m:r>
                <m:t>1.65</m:t>
              </m:r>
              <m:r>
                <m:rPr>
                  <m:sty m:val="p"/>
                </m:rPr>
                <m:t>×</m:t>
              </m:r>
              <m:sSup>
                <m:e>
                  <m:r>
                    <m:t>10</m:t>
                  </m:r>
                </m:e>
                <m:sup>
                  <m:r>
                    <m:rPr>
                      <m:sty m:val="p"/>
                    </m:rPr>
                    <m:t>−</m:t>
                  </m:r>
                  <m:r>
                    <m:t>6</m:t>
                  </m:r>
                </m:sup>
              </m:sSup>
            </m:oMath>
          </w:p>
        </w:tc>
        <w:tc>
          <w:tcPr/>
          <w:p>
            <w:pPr>
              <w:pStyle w:val="Compact"/>
              <w:jc w:val="right"/>
            </w:pPr>
            <w:r>
              <w:t xml:space="preserve">3.06</w:t>
            </w:r>
          </w:p>
        </w:tc>
        <w:trPr>
          <w:cantSplit/>
        </w:trPr>
      </w:tr>
      <w:tr>
        <w:tc>
          <w:tcPr/>
          <w:p>
            <w:pPr>
              <w:pStyle w:val="Compact"/>
              <w:jc w:val="right"/>
            </w:pPr>
            <w:r>
              <w:t xml:space="preserve">800</w:t>
            </w:r>
          </w:p>
        </w:tc>
        <w:tc>
          <w:tcPr/>
          <w:p>
            <w:pPr>
              <w:pStyle w:val="Compact"/>
              <w:jc w:val="right"/>
            </w:pPr>
            <m:oMath>
              <m:r>
                <m:t>7.11</m:t>
              </m:r>
              <m:r>
                <m:rPr>
                  <m:sty m:val="p"/>
                </m:rPr>
                <m:t>×</m:t>
              </m:r>
              <m:sSup>
                <m:e>
                  <m:r>
                    <m:t>10</m:t>
                  </m:r>
                </m:e>
                <m:sup>
                  <m:r>
                    <m:rPr>
                      <m:sty m:val="p"/>
                    </m:rPr>
                    <m:t>−</m:t>
                  </m:r>
                  <m:r>
                    <m:t>6</m:t>
                  </m:r>
                </m:sup>
              </m:sSup>
            </m:oMath>
          </w:p>
        </w:tc>
        <w:tc>
          <w:tcPr/>
          <w:p>
            <w:pPr>
              <w:pStyle w:val="Compact"/>
              <w:jc w:val="right"/>
            </w:pPr>
            <w:r>
              <w:t xml:space="preserve">3.00</w:t>
            </w:r>
          </w:p>
        </w:tc>
        <w:tc>
          <w:tcPr/>
          <w:p>
            <w:pPr>
              <w:pStyle w:val="Compact"/>
              <w:jc w:val="right"/>
            </w:pPr>
            <m:oMath>
              <m:r>
                <m:t>2.10</m:t>
              </m:r>
              <m:r>
                <m:rPr>
                  <m:sty m:val="p"/>
                </m:rPr>
                <m:t>×</m:t>
              </m:r>
              <m:sSup>
                <m:e>
                  <m:r>
                    <m:t>10</m:t>
                  </m:r>
                </m:e>
                <m:sup>
                  <m:r>
                    <m:rPr>
                      <m:sty m:val="p"/>
                    </m:rPr>
                    <m:t>−</m:t>
                  </m:r>
                  <m:r>
                    <m:t>7</m:t>
                  </m:r>
                </m:sup>
              </m:sSup>
            </m:oMath>
          </w:p>
        </w:tc>
        <w:tc>
          <w:tcPr/>
          <w:p>
            <w:pPr>
              <w:pStyle w:val="Compact"/>
              <w:jc w:val="right"/>
            </w:pPr>
            <w:r>
              <w:t xml:space="preserve">2.97</w:t>
            </w:r>
          </w:p>
        </w:tc>
        <w:trPr>
          <w:cantSplit/>
        </w:trPr>
      </w:tr>
    </w:tbl>
    <w:bookmarkEnd w:id="39"/>
    <w:bookmarkStart w:id="40" w:name="tab:thesis-vortex"/>
    <w:p>
      <w:pPr>
        <w:pStyle w:val="TableCaption"/>
      </w:pPr>
      <w:r>
        <w:t xml:space="preserve">Table 4. Extruded isentropic-vortex results reported in thesis Table 5.6</w:t>
      </w:r>
      <w:r>
        <w:t xml:space="preserve"> </w:t>
      </w:r>
      <w:r>
        <w:t xml:space="preserve">[11]</w:t>
      </w:r>
      <w:r>
        <w:t xml:space="preserve">: periodic domain</w:t>
      </w:r>
      <w:r>
        <w:t xml:space="preserve"> </w:t>
      </w:r>
      <m:oMath>
        <m:d>
          <m:dPr>
            <m:begChr m:val="["/>
            <m:endChr m:val="]"/>
            <m:sepChr m:val=""/>
            <m:grow/>
          </m:dPr>
          <m:e>
            <m:r>
              <m:t>0</m:t>
            </m:r>
            <m:r>
              <m:rPr>
                <m:sty m:val="p"/>
              </m:rPr>
              <m:t>,</m:t>
            </m:r>
            <m:r>
              <m:t>10</m:t>
            </m:r>
          </m:e>
        </m:d>
        <m:r>
          <m:rPr>
            <m:sty m:val="p"/>
          </m:rPr>
          <m:t>×</m:t>
        </m:r>
        <m:d>
          <m:dPr>
            <m:begChr m:val="["/>
            <m:endChr m:val="]"/>
            <m:sepChr m:val=""/>
            <m:grow/>
          </m:dPr>
          <m:e>
            <m:r>
              <m:t>0</m:t>
            </m:r>
            <m:r>
              <m:rPr>
                <m:sty m:val="p"/>
              </m:rPr>
              <m:t>,</m:t>
            </m:r>
            <m:r>
              <m:t>10</m:t>
            </m:r>
          </m:e>
        </m:d>
        <m:r>
          <m:rPr>
            <m:sty m:val="p"/>
          </m:rPr>
          <m:t>×</m:t>
        </m:r>
        <m:d>
          <m:dPr>
            <m:begChr m:val="["/>
            <m:endChr m:val="]"/>
            <m:sepChr m:val=""/>
            <m:grow/>
          </m:dPr>
          <m:e>
            <m:r>
              <m:t>0</m:t>
            </m:r>
            <m:r>
              <m:rPr>
                <m:sty m:val="p"/>
              </m:rPr>
              <m:t>,</m:t>
            </m:r>
            <m:r>
              <m:t>4</m:t>
            </m:r>
          </m:e>
        </m:d>
      </m:oMath>
      <w:r>
        <w:t xml:space="preserve">,</w:t>
      </w:r>
      <w:r>
        <w:t xml:space="preserve"> </w:t>
      </w:r>
      <m:oMath>
        <m:r>
          <m:t>t</m:t>
        </m:r>
        <m:r>
          <m:rPr>
            <m:sty m:val="p"/>
          </m:rPr>
          <m:t>=</m:t>
        </m:r>
        <m:r>
          <m:t>2</m:t>
        </m:r>
      </m:oMath>
      <w:r>
        <w:t xml:space="preserve">. The source labels its metric as an</w:t>
      </w:r>
      <w:r>
        <w:t xml:space="preserve"> </w:t>
      </w:r>
      <m:oMath>
        <m:sSub>
          <m:e>
            <m:r>
              <m:t>L</m:t>
            </m:r>
          </m:e>
          <m:sub>
            <m:r>
              <m:t>1</m:t>
            </m:r>
          </m:sub>
        </m:sSub>
      </m:oMath>
      <w:r>
        <w:t xml:space="preserve"> </w:t>
      </w:r>
      <w:r>
        <w:t xml:space="preserve">error, without specifying the component in the table heading.</w:t>
      </w:r>
    </w:p>
    <w:tbl>
      <w:tblPr>
        <w:tblStyle w:val="Table"/>
        <w:tblW w:type="auto" w:w="0"/>
        <w:tblLook w:firstRow="1" w:lastRow="0" w:firstColumn="0" w:lastColumn="0" w:noHBand="0" w:noVBand="0" w:val="0020"/>
        <w:jc w:val="start"/>
        <w:tblCaption w:val="Table 4. Extruded isentropic-vortex results reported in thesis Table 5.6 [11]: periodic domain [0,10]\times[0,10]\times[0,4], t=2. The source labels its metric as an L_1 error, without specifying the component in the table heading."/>
      </w:tblPr>
      <w:tblGrid>
        <w:gridCol w:w="1980"/>
        <w:gridCol w:w="1980"/>
        <w:gridCol w:w="1980"/>
        <w:gridCol w:w="1980"/>
      </w:tblGrid>
      <w:tr>
        <w:trPr>
          <w:tblHeader w:val="true"/>
          <w:cantSplit/>
        </w:trPr>
        <w:tc>
          <w:tcPr/>
          <w:p>
            <w:pPr>
              <w:pStyle w:val="Compact"/>
              <w:jc w:val="right"/>
            </w:pPr>
            <w:r>
              <w:t xml:space="preserve">Nominal</w:t>
            </w:r>
            <w:r>
              <w:t xml:space="preserve"> </w:t>
            </w:r>
            <m:oMath>
              <m:r>
                <m:t>h</m:t>
              </m:r>
            </m:oMath>
          </w:p>
        </w:tc>
        <w:tc>
          <w:tcPr/>
          <w:p>
            <w:pPr>
              <w:pStyle w:val="Compact"/>
              <w:jc w:val="right"/>
            </w:pPr>
            <w:r>
              <w:t xml:space="preserve">Control volumes</w:t>
            </w:r>
          </w:p>
        </w:tc>
        <w:tc>
          <w:tcPr/>
          <w:p>
            <w:pPr>
              <w:pStyle w:val="Compact"/>
              <w:jc w:val="right"/>
            </w:pPr>
            <w:r>
              <w:t xml:space="preserve">Reported</w:t>
            </w:r>
            <w:r>
              <w:t xml:space="preserve"> </w:t>
            </w:r>
            <m:oMath>
              <m:sSub>
                <m:e>
                  <m:r>
                    <m:t>L</m:t>
                  </m:r>
                </m:e>
                <m:sub>
                  <m:r>
                    <m:t>1</m:t>
                  </m:r>
                </m:sub>
              </m:sSub>
            </m:oMath>
            <w:r>
              <w:t xml:space="preserve"> </w:t>
            </w:r>
            <w:r>
              <w:t xml:space="preserve">error</w:t>
            </w:r>
          </w:p>
        </w:tc>
        <w:tc>
          <w:tcPr/>
          <w:p>
            <w:pPr>
              <w:pStyle w:val="Compact"/>
              <w:jc w:val="right"/>
            </w:pPr>
            <w:r>
              <w:t xml:space="preserve">Rate</w:t>
            </w:r>
          </w:p>
        </w:tc>
      </w:tr>
      <w:tr>
        <w:tc>
          <w:tcPr/>
          <w:p>
            <w:pPr>
              <w:pStyle w:val="Compact"/>
              <w:jc w:val="right"/>
            </w:pPr>
            <w:r>
              <w:t xml:space="preserve">1</w:t>
            </w:r>
          </w:p>
        </w:tc>
        <w:tc>
          <w:tcPr/>
          <w:p>
            <w:pPr>
              <w:pStyle w:val="Compact"/>
              <w:jc w:val="right"/>
            </w:pPr>
            <w:r>
              <w:t xml:space="preserve">745</w:t>
            </w:r>
          </w:p>
        </w:tc>
        <w:tc>
          <w:tcPr/>
          <w:p>
            <w:pPr>
              <w:pStyle w:val="Compact"/>
              <w:jc w:val="right"/>
            </w:pPr>
            <m:oMath>
              <m:r>
                <m:t>3.36</m:t>
              </m:r>
              <m:r>
                <m:rPr>
                  <m:sty m:val="p"/>
                </m:rPr>
                <m:t>×</m:t>
              </m:r>
              <m:sSup>
                <m:e>
                  <m:r>
                    <m:t>10</m:t>
                  </m:r>
                </m:e>
                <m:sup>
                  <m:r>
                    <m:rPr>
                      <m:sty m:val="p"/>
                    </m:rPr>
                    <m:t>−</m:t>
                  </m:r>
                  <m:r>
                    <m:t>3</m:t>
                  </m:r>
                </m:sup>
              </m:sSup>
            </m:oMath>
          </w:p>
        </w:tc>
        <w:tc>
          <w:tcPr/>
          <w:p>
            <w:pPr>
              <w:pStyle w:val="Compact"/>
              <w:jc w:val="right"/>
            </w:pPr>
            <w:r>
              <w:t xml:space="preserve">–</w:t>
            </w:r>
          </w:p>
        </w:tc>
        <w:trPr>
          <w:cantSplit/>
        </w:trPr>
      </w:tr>
      <w:tr>
        <w:tc>
          <w:tcPr/>
          <w:p>
            <w:pPr>
              <w:pStyle w:val="Compact"/>
              <w:jc w:val="right"/>
            </w:pPr>
            <m:oMath>
              <m:r>
                <m:t>1</m:t>
              </m:r>
              <m:r>
                <m:rPr>
                  <m:sty m:val="p"/>
                </m:rPr>
                <m:t>/</m:t>
              </m:r>
              <m:r>
                <m:t>2</m:t>
              </m:r>
            </m:oMath>
          </w:p>
        </w:tc>
        <w:tc>
          <w:tcPr/>
          <w:p>
            <w:pPr>
              <w:pStyle w:val="Compact"/>
              <w:jc w:val="right"/>
            </w:pPr>
            <w:r>
              <w:t xml:space="preserve">4752</w:t>
            </w:r>
          </w:p>
        </w:tc>
        <w:tc>
          <w:tcPr/>
          <w:p>
            <w:pPr>
              <w:pStyle w:val="Compact"/>
              <w:jc w:val="right"/>
            </w:pPr>
            <m:oMath>
              <m:r>
                <m:t>3.89</m:t>
              </m:r>
              <m:r>
                <m:rPr>
                  <m:sty m:val="p"/>
                </m:rPr>
                <m:t>×</m:t>
              </m:r>
              <m:sSup>
                <m:e>
                  <m:r>
                    <m:t>10</m:t>
                  </m:r>
                </m:e>
                <m:sup>
                  <m:r>
                    <m:rPr>
                      <m:sty m:val="p"/>
                    </m:rPr>
                    <m:t>−</m:t>
                  </m:r>
                  <m:r>
                    <m:t>4</m:t>
                  </m:r>
                </m:sup>
              </m:sSup>
            </m:oMath>
          </w:p>
        </w:tc>
        <w:tc>
          <w:tcPr/>
          <w:p>
            <w:pPr>
              <w:pStyle w:val="Compact"/>
              <w:jc w:val="right"/>
            </w:pPr>
            <w:r>
              <w:t xml:space="preserve">3.11</w:t>
            </w:r>
          </w:p>
        </w:tc>
        <w:trPr>
          <w:cantSplit/>
        </w:trPr>
      </w:tr>
      <w:tr>
        <w:tc>
          <w:tcPr/>
          <w:p>
            <w:pPr>
              <w:pStyle w:val="Compact"/>
              <w:jc w:val="right"/>
            </w:pPr>
            <m:oMath>
              <m:r>
                <m:t>1</m:t>
              </m:r>
              <m:r>
                <m:rPr>
                  <m:sty m:val="p"/>
                </m:rPr>
                <m:t>/</m:t>
              </m:r>
              <m:r>
                <m:t>4</m:t>
              </m:r>
            </m:oMath>
          </w:p>
        </w:tc>
        <w:tc>
          <w:tcPr/>
          <w:p>
            <w:pPr>
              <w:pStyle w:val="Compact"/>
              <w:jc w:val="right"/>
            </w:pPr>
            <w:r>
              <w:t xml:space="preserve">33694</w:t>
            </w:r>
          </w:p>
        </w:tc>
        <w:tc>
          <w:tcPr/>
          <w:p>
            <w:pPr>
              <w:pStyle w:val="Compact"/>
              <w:jc w:val="right"/>
            </w:pPr>
            <m:oMath>
              <m:r>
                <m:t>4.74</m:t>
              </m:r>
              <m:r>
                <m:rPr>
                  <m:sty m:val="p"/>
                </m:rPr>
                <m:t>×</m:t>
              </m:r>
              <m:sSup>
                <m:e>
                  <m:r>
                    <m:t>10</m:t>
                  </m:r>
                </m:e>
                <m:sup>
                  <m:r>
                    <m:rPr>
                      <m:sty m:val="p"/>
                    </m:rPr>
                    <m:t>−</m:t>
                  </m:r>
                  <m:r>
                    <m:t>5</m:t>
                  </m:r>
                </m:sup>
              </m:sSup>
            </m:oMath>
          </w:p>
        </w:tc>
        <w:tc>
          <w:tcPr/>
          <w:p>
            <w:pPr>
              <w:pStyle w:val="Compact"/>
              <w:jc w:val="right"/>
            </w:pPr>
            <w:r>
              <w:t xml:space="preserve">3.04</w:t>
            </w:r>
          </w:p>
        </w:tc>
        <w:trPr>
          <w:cantSplit/>
        </w:trPr>
      </w:tr>
      <w:tr>
        <w:tc>
          <w:tcPr/>
          <w:p>
            <w:pPr>
              <w:pStyle w:val="Compact"/>
              <w:jc w:val="right"/>
            </w:pPr>
            <m:oMath>
              <m:r>
                <m:t>1</m:t>
              </m:r>
              <m:r>
                <m:rPr>
                  <m:sty m:val="p"/>
                </m:rPr>
                <m:t>/</m:t>
              </m:r>
              <m:r>
                <m:t>8</m:t>
              </m:r>
            </m:oMath>
          </w:p>
        </w:tc>
        <w:tc>
          <w:tcPr/>
          <w:p>
            <w:pPr>
              <w:pStyle w:val="Compact"/>
              <w:jc w:val="right"/>
            </w:pPr>
            <w:r>
              <w:t xml:space="preserve">252780</w:t>
            </w:r>
          </w:p>
        </w:tc>
        <w:tc>
          <w:tcPr/>
          <w:p>
            <w:pPr>
              <w:pStyle w:val="Compact"/>
              <w:jc w:val="right"/>
            </w:pPr>
            <m:oMath>
              <m:r>
                <m:t>5.64</m:t>
              </m:r>
              <m:r>
                <m:rPr>
                  <m:sty m:val="p"/>
                </m:rPr>
                <m:t>×</m:t>
              </m:r>
              <m:sSup>
                <m:e>
                  <m:r>
                    <m:t>10</m:t>
                  </m:r>
                </m:e>
                <m:sup>
                  <m:r>
                    <m:rPr>
                      <m:sty m:val="p"/>
                    </m:rPr>
                    <m:t>−</m:t>
                  </m:r>
                  <m:r>
                    <m:t>6</m:t>
                  </m:r>
                </m:sup>
              </m:sSup>
            </m:oMath>
          </w:p>
        </w:tc>
        <w:tc>
          <w:tcPr/>
          <w:p>
            <w:pPr>
              <w:pStyle w:val="Compact"/>
              <w:jc w:val="right"/>
            </w:pPr>
            <w:r>
              <w:t xml:space="preserve">3.07</w:t>
            </w:r>
          </w:p>
        </w:tc>
        <w:trPr>
          <w:cantSplit/>
        </w:trPr>
      </w:tr>
    </w:tbl>
    <w:bookmarkEnd w:id="40"/>
    <w:p>
      <w:pPr>
        <w:pStyle w:val="BodyText"/>
      </w:pPr>
      <w:r>
        <w:t xml:space="preserve">Figure 2 redraws these tabulated values. The one-dimensional and extruded-vortex series support the thesis’s reported near-third-order behaviour for those configurations. The extruded vortex has no imposed spanwise variation, so it exercises a three-dimensional mesh and operator without testing a fully three-dimensional solution field. Its</w:t>
      </w:r>
      <w:r>
        <w:t xml:space="preserve"> </w:t>
      </w:r>
      <m:oMath>
        <m:sSub>
          <m:e>
            <m:r>
              <m:t>L</m:t>
            </m:r>
          </m:e>
          <m:sub>
            <m:r>
              <m:t>1</m:t>
            </m:r>
          </m:sub>
        </m:sSub>
      </m:oMath>
      <w:r>
        <w:t xml:space="preserve"> </w:t>
      </w:r>
      <w:r>
        <w:t xml:space="preserve">metric and nominal mesh size differ from the component-wise</w:t>
      </w:r>
      <w:r>
        <w:t xml:space="preserve"> </w:t>
      </w:r>
      <m:oMath>
        <m:sSub>
          <m:e>
            <m:r>
              <m:t>L</m:t>
            </m:r>
          </m:e>
          <m:sub>
            <m:r>
              <m:t>2</m:t>
            </m:r>
          </m:sub>
        </m:sSub>
      </m:oMath>
      <w:r>
        <w:t xml:space="preserve"> </w:t>
      </w:r>
      <w:r>
        <w:t xml:space="preserve">metric and measured</w:t>
      </w:r>
      <w:r>
        <w:t xml:space="preserve"> </w:t>
      </w:r>
      <m:oMath>
        <m:r>
          <m:t>h</m:t>
        </m:r>
      </m:oMath>
      <w:r>
        <w:t xml:space="preserve"> </w:t>
      </w:r>
      <w:r>
        <w:t xml:space="preserve">used by the current repository sequence. Although control-volume counts coincide for the prism sequence, equality of counts does not establish equality of flux, time-step, initialization or error-evaluation settings.</w:t>
      </w:r>
    </w:p>
    <w:p>
      <w:pPr>
        <w:pStyle w:val="CaptionedFigure"/>
      </w:pPr>
      <w:r>
        <w:drawing>
          <wp:inline>
            <wp:extent cx="5334000" cy="2074333"/>
            <wp:effectExtent b="0" l="0" r="0" t="0"/>
            <wp:docPr descr="" title="" id="42" name="Picture"/>
            <a:graphic>
              <a:graphicData uri="http://schemas.openxmlformats.org/drawingml/2006/picture">
                <pic:pic>
                  <pic:nvPicPr>
                    <pic:cNvPr descr="thesis_convergence.png" id="43" name="Picture"/>
                    <pic:cNvPicPr>
                      <a:picLocks noChangeArrowheads="1" noChangeAspect="1"/>
                    </pic:cNvPicPr>
                  </pic:nvPicPr>
                  <pic:blipFill>
                    <a:blip r:embed="rId41"/>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Figure 2. Convergence redrawn from thesis Tables 5.5–5.6</w:t>
      </w:r>
      <w:r>
        <w:t xml:space="preserve"> </w:t>
      </w:r>
      <w:r>
        <w:t xml:space="preserve">[11]</w:t>
      </w:r>
      <w:r>
        <w:t xml:space="preserve">. Dashed lines are third-order guides anchored at the finest value of each dataset; they are not additional simulation results. No repository error series is mixed into these source-reported curves.</w:t>
      </w:r>
    </w:p>
    <w:p>
      <w:pPr>
        <w:pStyle w:val="BodyText"/>
      </w:pPr>
      <w:r>
        <w:t xml:space="preserve">Thesis Sections 5.2.3–5.2.5 also report three application studies. The two-dimensional Riemann problems use an extruded</w:t>
      </w:r>
      <w:r>
        <w:t xml:space="preserve"> </w:t>
      </w:r>
      <m:oMath>
        <m:r>
          <m:t>400</m:t>
        </m:r>
        <m:r>
          <m:rPr>
            <m:sty m:val="p"/>
          </m:rPr>
          <m:t>×</m:t>
        </m:r>
        <m:r>
          <m:t>400</m:t>
        </m:r>
        <m:r>
          <m:rPr>
            <m:sty m:val="p"/>
          </m:rPr>
          <m:t>×</m:t>
        </m:r>
        <m:r>
          <m:t>5</m:t>
        </m:r>
      </m:oMath>
      <w:r>
        <w:t xml:space="preserve"> </w:t>
      </w:r>
      <w:r>
        <w:t xml:space="preserve">mesh, testing interacting shocks and contact discontinuities. The laminar flat-plate test uses</w:t>
      </w:r>
      <w:r>
        <w:t xml:space="preserve"> </w:t>
      </w:r>
      <m:oMath>
        <m:sSub>
          <m:e>
            <m:r>
              <m:t>M</m:t>
            </m:r>
          </m:e>
          <m:sub>
            <m:r>
              <m:rPr>
                <m:sty m:val="p"/>
              </m:rPr>
              <m:t>∞</m:t>
            </m:r>
          </m:sub>
        </m:sSub>
        <m:r>
          <m:rPr>
            <m:sty m:val="p"/>
          </m:rPr>
          <m:t>=</m:t>
        </m:r>
        <m:r>
          <m:t>0.2</m:t>
        </m:r>
      </m:oMath>
      <w:r>
        <w:t xml:space="preserve">,</w:t>
      </w:r>
      <w:r>
        <w:t xml:space="preserve"> </w:t>
      </w:r>
      <m:oMath>
        <m:r>
          <m:t>R</m:t>
        </m:r>
        <m:sSub>
          <m:e>
            <m:r>
              <m:t>e</m:t>
            </m:r>
          </m:e>
          <m:sub>
            <m:r>
              <m:t>L</m:t>
            </m:r>
          </m:sub>
        </m:sSub>
        <m:r>
          <m:rPr>
            <m:sty m:val="p"/>
          </m:rPr>
          <m:t>=</m:t>
        </m:r>
        <m:sSup>
          <m:e>
            <m:r>
              <m:t>10</m:t>
            </m:r>
          </m:e>
          <m:sup>
            <m:r>
              <m:t>5</m:t>
            </m:r>
          </m:sup>
        </m:sSup>
      </m:oMath>
      <w:r>
        <w:t xml:space="preserve">,</w:t>
      </w:r>
      <w:r>
        <w:t xml:space="preserve"> </w:t>
      </w:r>
      <m:oMath>
        <m:r>
          <m:t>P</m:t>
        </m:r>
        <m:r>
          <m:t>r</m:t>
        </m:r>
        <m:r>
          <m:rPr>
            <m:sty m:val="p"/>
          </m:rPr>
          <m:t>=</m:t>
        </m:r>
        <m:r>
          <m:t>0.72</m:t>
        </m:r>
      </m:oMath>
      <w:r>
        <w:t xml:space="preserve">, an adiabatic wall, a</w:t>
      </w:r>
      <w:r>
        <w:t xml:space="preserve"> </w:t>
      </w:r>
      <m:oMath>
        <m:r>
          <m:t>200</m:t>
        </m:r>
        <m:r>
          <m:rPr>
            <m:sty m:val="p"/>
          </m:rPr>
          <m:t>×</m:t>
        </m:r>
        <m:r>
          <m:t>100</m:t>
        </m:r>
        <m:r>
          <m:rPr>
            <m:sty m:val="p"/>
          </m:rPr>
          <m:t>×</m:t>
        </m:r>
        <m:r>
          <m:t>5</m:t>
        </m:r>
      </m:oMath>
      <w:r>
        <w:t xml:space="preserve"> </w:t>
      </w:r>
      <w:r>
        <w:t xml:space="preserve">grid and pseudo-time CFL 30; its velocity and skin-friction curves are compared with Blasius profiles. These plots support the reported application behaviour, but neither supplies a viscous grid-convergence study.</w:t>
      </w:r>
    </w:p>
    <w:p>
      <w:pPr>
        <w:pStyle w:val="BodyText"/>
      </w:pPr>
      <w:r>
        <w:t xml:space="preserve">For the CRM wing–body, the thesis reports approximately six million mesh entities and a 512-core calculation at</w:t>
      </w:r>
      <w:r>
        <w:t xml:space="preserve"> </w:t>
      </w:r>
      <m:oMath>
        <m:sSub>
          <m:e>
            <m:r>
              <m:t>M</m:t>
            </m:r>
          </m:e>
          <m:sub>
            <m:r>
              <m:rPr>
                <m:sty m:val="p"/>
              </m:rPr>
              <m:t>∞</m:t>
            </m:r>
          </m:sub>
        </m:sSub>
        <m:r>
          <m:rPr>
            <m:sty m:val="p"/>
          </m:rPr>
          <m:t>=</m:t>
        </m:r>
        <m:r>
          <m:t>0.85</m:t>
        </m:r>
      </m:oMath>
      <w:r>
        <w:t xml:space="preserve"> </w:t>
      </w:r>
      <w:r>
        <w:t xml:space="preserve">and</w:t>
      </w:r>
      <w:r>
        <w:t xml:space="preserve"> </w:t>
      </w:r>
      <m:oMath>
        <m:r>
          <m:t>α</m:t>
        </m:r>
        <m:r>
          <m:rPr>
            <m:sty m:val="p"/>
          </m:rPr>
          <m:t>=</m:t>
        </m:r>
        <m:sSup>
          <m:e>
            <m:r>
              <m:t>2</m:t>
            </m:r>
          </m:e>
          <m:sup>
            <m:r>
              <m:rPr>
                <m:sty m:val="p"/>
              </m:rPr>
              <m:t>∘</m:t>
            </m:r>
          </m:sup>
        </m:sSup>
      </m:oMath>
      <w:r>
        <w:t xml:space="preserve">, with</w:t>
      </w:r>
      <w:r>
        <w:t xml:space="preserve"> </w:t>
      </w:r>
      <m:oMath>
        <m:sSub>
          <m:e>
            <m:r>
              <m:t>C</m:t>
            </m:r>
          </m:e>
          <m:sub>
            <m:r>
              <m:t>L</m:t>
            </m:r>
          </m:sub>
        </m:sSub>
        <m:r>
          <m:rPr>
            <m:sty m:val="p"/>
          </m:rPr>
          <m:t>=</m:t>
        </m:r>
        <m:r>
          <m:t>0.4513</m:t>
        </m:r>
      </m:oMath>
      <w:r>
        <w:t xml:space="preserve"> </w:t>
      </w:r>
      <w:r>
        <w:t xml:space="preserve">and</w:t>
      </w:r>
      <w:r>
        <w:t xml:space="preserve"> </w:t>
      </w:r>
      <m:oMath>
        <m:sSub>
          <m:e>
            <m:r>
              <m:t>C</m:t>
            </m:r>
          </m:e>
          <m:sub>
            <m:r>
              <m:t>D</m:t>
            </m:r>
          </m:sub>
        </m:sSub>
        <m:r>
          <m:rPr>
            <m:sty m:val="p"/>
          </m:rPr>
          <m:t>=</m:t>
        </m:r>
        <m:r>
          <m:t>0.0197</m:t>
        </m:r>
      </m:oMath>
      <w:r>
        <w:t xml:space="preserve">. The reference values quoted by the thesis are 0.47 and 0.029. Its narrative describes an inviscid calculation, also lists</w:t>
      </w:r>
      <w:r>
        <w:t xml:space="preserve"> </w:t>
      </w:r>
      <m:oMath>
        <m:r>
          <m:t>R</m:t>
        </m:r>
        <m:r>
          <m:t>e</m:t>
        </m:r>
        <m:r>
          <m:rPr>
            <m:sty m:val="p"/>
          </m:rPr>
          <m:t>=</m:t>
        </m:r>
        <m:r>
          <m:t>5</m:t>
        </m:r>
        <m:r>
          <m:rPr>
            <m:sty m:val="p"/>
          </m:rPr>
          <m:t>×</m:t>
        </m:r>
        <m:sSup>
          <m:e>
            <m:r>
              <m:t>10</m:t>
            </m:r>
          </m:e>
          <m:sup>
            <m:r>
              <m:t>6</m:t>
            </m:r>
          </m:sup>
        </m:sSup>
      </m:oMath>
      <w:r>
        <w:t xml:space="preserve"> </w:t>
      </w:r>
      <w:r>
        <w:t xml:space="preserve">and an adiabatic wall, and attributes the drag deficit to omitted turbulence modelling. Those settings require clarification before a controlled validation claim can be made. We retain this as a source-reported large-mesh demonstration; it supplies neither new experimental data nor a measured parallel-scaling curve.</w:t>
      </w:r>
    </w:p>
    <w:bookmarkEnd w:id="44"/>
    <w:bookmarkStart w:id="46" w:name="sec:accuracy"/>
    <w:p>
      <w:pPr>
        <w:pStyle w:val="Heading2"/>
      </w:pPr>
      <w:r>
        <w:t xml:space="preserve">5.2 Current repository accuracy evidence and its scope</w:t>
      </w:r>
    </w:p>
    <w:p>
      <w:pPr>
        <w:pStyle w:val="FirstParagraph"/>
      </w:pPr>
      <w:r>
        <w:t xml:space="preserve">Figure 1 shows that recovered nodal values decrease faster than third order in the</w:t>
      </w:r>
      <w:r>
        <w:t xml:space="preserve"> </w:t>
      </w:r>
      <m:oMath>
        <m:sSub>
          <m:e>
            <m:r>
              <m:t>L</m:t>
            </m:r>
          </m:e>
          <m:sub>
            <m:r>
              <m:t>2</m:t>
            </m:r>
          </m:sub>
        </m:sSub>
      </m:oMath>
      <w:r>
        <w:t xml:space="preserve"> </w:t>
      </w:r>
      <w:r>
        <w:t xml:space="preserve">norm on the two finest static reconstruction levels, while first derivatives converge close to second order, as expected from a complete quadratic reconstruction. This does not itself prove the order of the full transient scheme. In particular, point recovery combines the average and gradient errors through (6).</w:t>
      </w:r>
    </w:p>
    <w:p>
      <w:pPr>
        <w:pStyle w:val="BodyText"/>
      </w:pPr>
      <w:r>
        <w:t xml:space="preserve">Table 5 reports the available end-to-end periodic isentropic-vortex calculation. Both modes use</w:t>
      </w:r>
      <w:r>
        <w:t xml:space="preserve"> </w:t>
      </w:r>
      <m:oMath>
        <m:r>
          <m:rPr>
            <m:sty m:val="p"/>
          </m:rPr>
          <m:t>C</m:t>
        </m:r>
        <m:r>
          <m:rPr>
            <m:sty m:val="p"/>
          </m:rPr>
          <m:t>F</m:t>
        </m:r>
        <m:r>
          <m:rPr>
            <m:sty m:val="p"/>
          </m:rPr>
          <m:t>L</m:t>
        </m:r>
        <m:r>
          <m:rPr>
            <m:sty m:val="p"/>
          </m:rPr>
          <m:t>=</m:t>
        </m:r>
        <m:r>
          <m:t>0.5</m:t>
        </m:r>
      </m:oMath>
      <w:r>
        <w:t xml:space="preserve">, SSPRK3, no limiter, no viscosity and the same physical initial state; each solution reaches</w:t>
      </w:r>
      <w:r>
        <w:t xml:space="preserve"> </w:t>
      </w:r>
      <m:oMath>
        <m:r>
          <m:t>t</m:t>
        </m:r>
        <m:r>
          <m:rPr>
            <m:sty m:val="p"/>
          </m:rPr>
          <m:t>=</m:t>
        </m:r>
        <m:r>
          <m:t>2</m:t>
        </m:r>
      </m:oMath>
      <w:r>
        <w:t xml:space="preserve">. The efficient calculation retains no Gauss points. The conventional calculation is more accurate on these four levels, but both series exhibit an initially low observed order and the efficient method reaches only 2.43 for density and 2.68 for pressure in the finest</w:t>
      </w:r>
      <w:r>
        <w:t xml:space="preserve"> </w:t>
      </w:r>
      <m:oMath>
        <m:sSub>
          <m:e>
            <m:r>
              <m:t>L</m:t>
            </m:r>
          </m:e>
          <m:sub>
            <m:r>
              <m:t>2</m:t>
            </m:r>
          </m:sub>
        </m:sSub>
      </m:oMath>
      <w:r>
        <w:t xml:space="preserve"> </w:t>
      </w:r>
      <w:r>
        <w:t xml:space="preserve">comparison. These data establish decreasing error and a useful controlled comparison, but they do</w:t>
      </w:r>
      <w:r>
        <w:t xml:space="preserve"> </w:t>
      </w:r>
      <w:r>
        <w:rPr>
          <w:iCs/>
          <w:i/>
        </w:rPr>
        <w:t xml:space="preserve">not</w:t>
      </w:r>
      <w:r>
        <w:t xml:space="preserve"> </w:t>
      </w:r>
      <w:r>
        <w:t xml:space="preserve">establish stable third-order convergence of the complete method. A publication-quality order claim requires temporal refinement/extrapolation, additional sufficiently fine grids, and verification with the intended standard Roe rather than a similarly named scalar-dissipation option.</w:t>
      </w:r>
    </w:p>
    <w:bookmarkStart w:id="45" w:name="tab:vortex-accuracy"/>
    <w:p>
      <w:pPr>
        <w:pStyle w:val="TableCaption"/>
      </w:pPr>
      <w:r>
        <w:t xml:space="preserve">Table 5. Completed periodic-vortex results at</w:t>
      </w:r>
      <w:r>
        <w:t xml:space="preserve"> </w:t>
      </w:r>
      <m:oMath>
        <m:r>
          <m:t>t</m:t>
        </m:r>
        <m:r>
          <m:rPr>
            <m:sty m:val="p"/>
          </m:rPr>
          <m:t>=</m:t>
        </m:r>
        <m:r>
          <m:t>2</m:t>
        </m:r>
      </m:oMath>
      <w:r>
        <w:t xml:space="preserve"> </w:t>
      </w:r>
      <w:r>
        <w:t xml:space="preserve">on prism meshes.</w:t>
      </w:r>
      <w:r>
        <w:t xml:space="preserve"> </w:t>
      </w:r>
      <m:oMath>
        <m:r>
          <m:t>E</m:t>
        </m:r>
      </m:oMath>
      <w:r>
        <w:t xml:space="preserve"> </w:t>
      </w:r>
      <w:r>
        <w:t xml:space="preserve">and</w:t>
      </w:r>
      <w:r>
        <w:t xml:space="preserve"> </w:t>
      </w:r>
      <m:oMath>
        <m:r>
          <m:t>T</m:t>
        </m:r>
      </m:oMath>
      <w:r>
        <w:t xml:space="preserve"> </w:t>
      </w:r>
      <w:r>
        <w:t xml:space="preserve">denote differential and conventional quadrature modes, respectively; entries are dual-volume-weighted point-value</w:t>
      </w:r>
      <w:r>
        <w:t xml:space="preserve"> </w:t>
      </w:r>
      <m:oMath>
        <m:sSub>
          <m:e>
            <m:r>
              <m:t>L</m:t>
            </m:r>
          </m:e>
          <m:sub>
            <m:r>
              <m:t>2</m:t>
            </m:r>
          </m:sub>
        </m:sSub>
      </m:oMath>
      <w:r>
        <w:t xml:space="preserve"> </w:t>
      </w:r>
      <w:r>
        <w:t xml:space="preserve">errors. The observed order in parentheses is for the differential path.</w:t>
      </w:r>
    </w:p>
    <w:tbl>
      <w:tblPr>
        <w:tblStyle w:val="Table"/>
        <w:tblW w:type="auto" w:w="0"/>
        <w:tblLook w:firstRow="1" w:lastRow="0" w:firstColumn="0" w:lastColumn="0" w:noHBand="0" w:noVBand="0" w:val="0020"/>
        <w:jc w:val="start"/>
        <w:tblCaption w:val="Table 5. Completed periodic-vortex results at t=2 on prism meshes. E and T denote differential and conventional quadrature modes, respectively; entries are dual-volume-weighted point-value L_2 errors. The observed order in parentheses is for the differential path."/>
      </w:tblPr>
      <w:tblGrid>
        <w:gridCol w:w="1320"/>
        <w:gridCol w:w="1320"/>
        <w:gridCol w:w="1320"/>
        <w:gridCol w:w="1320"/>
        <w:gridCol w:w="1320"/>
        <w:gridCol w:w="1320"/>
      </w:tblGrid>
      <w:tr>
        <w:trPr>
          <w:tblHeader w:val="true"/>
          <w:cantSplit/>
        </w:trPr>
        <w:tc>
          <w:tcPr/>
          <w:p>
            <w:pPr>
              <w:pStyle w:val="Compact"/>
              <w:jc w:val="left"/>
            </w:pPr>
            <w:r>
              <w:t xml:space="preserve">Mesh</w:t>
            </w:r>
          </w:p>
        </w:tc>
        <w:tc>
          <w:tcPr/>
          <w:p>
            <w:pPr>
              <w:pStyle w:val="Compact"/>
              <w:jc w:val="center"/>
            </w:pPr>
            <m:oMath>
              <m:r>
                <m:t>h</m:t>
              </m:r>
            </m:oMath>
          </w:p>
        </w:tc>
        <w:tc>
          <w:tcPr/>
          <w:p>
            <w:pPr>
              <w:pStyle w:val="Compact"/>
              <w:jc w:val="center"/>
            </w:pPr>
            <m:oMath>
              <m:sSub>
                <m:e>
                  <m:r>
                    <m:t>ρ</m:t>
                  </m:r>
                </m:e>
                <m:sub>
                  <m:r>
                    <m:t>E</m:t>
                  </m:r>
                </m:sub>
              </m:sSub>
            </m:oMath>
          </w:p>
        </w:tc>
        <w:tc>
          <w:tcPr/>
          <w:p>
            <w:pPr>
              <w:pStyle w:val="Compact"/>
              <w:jc w:val="center"/>
            </w:pPr>
            <m:oMath>
              <m:sSub>
                <m:e>
                  <m:r>
                    <m:t>p</m:t>
                  </m:r>
                </m:e>
                <m:sub>
                  <m:r>
                    <m:t>E</m:t>
                  </m:r>
                </m:sub>
              </m:sSub>
            </m:oMath>
          </w:p>
        </w:tc>
        <w:tc>
          <w:tcPr/>
          <w:p>
            <w:pPr>
              <w:pStyle w:val="Compact"/>
              <w:jc w:val="center"/>
            </w:pPr>
            <m:oMath>
              <m:sSub>
                <m:e>
                  <m:r>
                    <m:t>ρ</m:t>
                  </m:r>
                </m:e>
                <m:sub>
                  <m:r>
                    <m:t>T</m:t>
                  </m:r>
                </m:sub>
              </m:sSub>
            </m:oMath>
          </w:p>
        </w:tc>
        <w:tc>
          <w:tcPr/>
          <w:p>
            <w:pPr>
              <w:pStyle w:val="Compact"/>
              <w:jc w:val="center"/>
            </w:pPr>
            <m:oMath>
              <m:sSub>
                <m:e>
                  <m:r>
                    <m:t>p</m:t>
                  </m:r>
                </m:e>
                <m:sub>
                  <m:r>
                    <m:t>T</m:t>
                  </m:r>
                </m:sub>
              </m:sSub>
            </m:oMath>
          </w:p>
        </w:tc>
      </w:tr>
      <w:tr>
        <w:tc>
          <w:tcPr/>
          <w:p>
            <w:pPr>
              <w:pStyle w:val="Compact"/>
              <w:jc w:val="left"/>
            </w:pPr>
            <w:r>
              <w:t xml:space="preserve">iv10</w:t>
            </w:r>
          </w:p>
        </w:tc>
        <w:tc>
          <w:tcPr/>
          <w:p>
            <w:pPr>
              <w:pStyle w:val="Compact"/>
              <w:jc w:val="center"/>
            </w:pPr>
            <w:r>
              <w:t xml:space="preserve">0.9210</w:t>
            </w:r>
          </w:p>
        </w:tc>
        <w:tc>
          <w:tcPr/>
          <w:p>
            <w:pPr>
              <w:pStyle w:val="Compact"/>
              <w:jc w:val="center"/>
            </w:pPr>
            <m:oMath>
              <m:r>
                <m:t>5.1562</m:t>
              </m:r>
              <m:r>
                <m:rPr>
                  <m:sty m:val="p"/>
                </m:rPr>
                <m:t>×</m:t>
              </m:r>
              <m:sSup>
                <m:e>
                  <m:r>
                    <m:t>10</m:t>
                  </m:r>
                </m:e>
                <m:sup>
                  <m:r>
                    <m:rPr>
                      <m:sty m:val="p"/>
                    </m:rPr>
                    <m:t>−</m:t>
                  </m:r>
                  <m:r>
                    <m:t>2</m:t>
                  </m:r>
                </m:sup>
              </m:sSup>
            </m:oMath>
          </w:p>
        </w:tc>
        <w:tc>
          <w:tcPr/>
          <w:p>
            <w:pPr>
              <w:pStyle w:val="Compact"/>
              <w:jc w:val="center"/>
            </w:pPr>
            <m:oMath>
              <m:r>
                <m:t>7.5891</m:t>
              </m:r>
              <m:r>
                <m:rPr>
                  <m:sty m:val="p"/>
                </m:rPr>
                <m:t>×</m:t>
              </m:r>
              <m:sSup>
                <m:e>
                  <m:r>
                    <m:t>10</m:t>
                  </m:r>
                </m:e>
                <m:sup>
                  <m:r>
                    <m:rPr>
                      <m:sty m:val="p"/>
                    </m:rPr>
                    <m:t>−</m:t>
                  </m:r>
                  <m:r>
                    <m:t>2</m:t>
                  </m:r>
                </m:sup>
              </m:sSup>
            </m:oMath>
          </w:p>
        </w:tc>
        <w:tc>
          <w:tcPr/>
          <w:p>
            <w:pPr>
              <w:pStyle w:val="Compact"/>
              <w:jc w:val="center"/>
            </w:pPr>
            <m:oMath>
              <m:r>
                <m:t>4.8963</m:t>
              </m:r>
              <m:r>
                <m:rPr>
                  <m:sty m:val="p"/>
                </m:rPr>
                <m:t>×</m:t>
              </m:r>
              <m:sSup>
                <m:e>
                  <m:r>
                    <m:t>10</m:t>
                  </m:r>
                </m:e>
                <m:sup>
                  <m:r>
                    <m:rPr>
                      <m:sty m:val="p"/>
                    </m:rPr>
                    <m:t>−</m:t>
                  </m:r>
                  <m:r>
                    <m:t>2</m:t>
                  </m:r>
                </m:sup>
              </m:sSup>
            </m:oMath>
          </w:p>
        </w:tc>
        <w:tc>
          <w:tcPr/>
          <w:p>
            <w:pPr>
              <w:pStyle w:val="Compact"/>
              <w:jc w:val="center"/>
            </w:pPr>
            <m:oMath>
              <m:r>
                <m:t>7.3065</m:t>
              </m:r>
              <m:r>
                <m:rPr>
                  <m:sty m:val="p"/>
                </m:rPr>
                <m:t>×</m:t>
              </m:r>
              <m:sSup>
                <m:e>
                  <m:r>
                    <m:t>10</m:t>
                  </m:r>
                </m:e>
                <m:sup>
                  <m:r>
                    <m:rPr>
                      <m:sty m:val="p"/>
                    </m:rPr>
                    <m:t>−</m:t>
                  </m:r>
                  <m:r>
                    <m:t>2</m:t>
                  </m:r>
                </m:sup>
              </m:sSup>
            </m:oMath>
          </w:p>
        </w:tc>
        <w:trPr>
          <w:cantSplit/>
        </w:trPr>
      </w:tr>
      <w:tr>
        <w:tc>
          <w:tcPr/>
          <w:p>
            <w:pPr>
              <w:pStyle w:val="Compact"/>
              <w:jc w:val="left"/>
            </w:pPr>
            <w:r>
              <w:t xml:space="preserve">iv20</w:t>
            </w:r>
          </w:p>
        </w:tc>
        <w:tc>
          <w:tcPr/>
          <w:p>
            <w:pPr>
              <w:pStyle w:val="Compact"/>
              <w:jc w:val="center"/>
            </w:pPr>
            <w:r>
              <w:t xml:space="preserve">0.4683</w:t>
            </w:r>
          </w:p>
        </w:tc>
        <w:tc>
          <w:tcPr/>
          <w:p>
            <w:pPr>
              <w:pStyle w:val="Compact"/>
              <w:jc w:val="center"/>
            </w:pPr>
            <m:oMath>
              <m:r>
                <m:t>2.6700</m:t>
              </m:r>
              <m:r>
                <m:rPr>
                  <m:sty m:val="p"/>
                </m:rPr>
                <m:t>×</m:t>
              </m:r>
              <m:sSup>
                <m:e>
                  <m:r>
                    <m:t>10</m:t>
                  </m:r>
                </m:e>
                <m:sup>
                  <m:r>
                    <m:rPr>
                      <m:sty m:val="p"/>
                    </m:rPr>
                    <m:t>−</m:t>
                  </m:r>
                  <m:r>
                    <m:t>2</m:t>
                  </m:r>
                </m:sup>
              </m:sSup>
            </m:oMath>
            <w:r>
              <w:t xml:space="preserve"> </w:t>
            </w:r>
            <w:r>
              <w:t xml:space="preserve">(0.97)</w:t>
            </w:r>
          </w:p>
        </w:tc>
        <w:tc>
          <w:tcPr/>
          <w:p>
            <w:pPr>
              <w:pStyle w:val="Compact"/>
              <w:jc w:val="center"/>
            </w:pPr>
            <m:oMath>
              <m:r>
                <m:t>4.3078</m:t>
              </m:r>
              <m:r>
                <m:rPr>
                  <m:sty m:val="p"/>
                </m:rPr>
                <m:t>×</m:t>
              </m:r>
              <m:sSup>
                <m:e>
                  <m:r>
                    <m:t>10</m:t>
                  </m:r>
                </m:e>
                <m:sup>
                  <m:r>
                    <m:rPr>
                      <m:sty m:val="p"/>
                    </m:rPr>
                    <m:t>−</m:t>
                  </m:r>
                  <m:r>
                    <m:t>2</m:t>
                  </m:r>
                </m:sup>
              </m:sSup>
            </m:oMath>
            <w:r>
              <w:t xml:space="preserve"> </w:t>
            </w:r>
            <w:r>
              <w:t xml:space="preserve">(0.84)</w:t>
            </w:r>
          </w:p>
        </w:tc>
        <w:tc>
          <w:tcPr/>
          <w:p>
            <w:pPr>
              <w:pStyle w:val="Compact"/>
              <w:jc w:val="center"/>
            </w:pPr>
            <m:oMath>
              <m:r>
                <m:t>2.2378</m:t>
              </m:r>
              <m:r>
                <m:rPr>
                  <m:sty m:val="p"/>
                </m:rPr>
                <m:t>×</m:t>
              </m:r>
              <m:sSup>
                <m:e>
                  <m:r>
                    <m:t>10</m:t>
                  </m:r>
                </m:e>
                <m:sup>
                  <m:r>
                    <m:rPr>
                      <m:sty m:val="p"/>
                    </m:rPr>
                    <m:t>−</m:t>
                  </m:r>
                  <m:r>
                    <m:t>2</m:t>
                  </m:r>
                </m:sup>
              </m:sSup>
            </m:oMath>
          </w:p>
        </w:tc>
        <w:tc>
          <w:tcPr/>
          <w:p>
            <w:pPr>
              <w:pStyle w:val="Compact"/>
              <w:jc w:val="center"/>
            </w:pPr>
            <m:oMath>
              <m:r>
                <m:t>3.6804</m:t>
              </m:r>
              <m:r>
                <m:rPr>
                  <m:sty m:val="p"/>
                </m:rPr>
                <m:t>×</m:t>
              </m:r>
              <m:sSup>
                <m:e>
                  <m:r>
                    <m:t>10</m:t>
                  </m:r>
                </m:e>
                <m:sup>
                  <m:r>
                    <m:rPr>
                      <m:sty m:val="p"/>
                    </m:rPr>
                    <m:t>−</m:t>
                  </m:r>
                  <m:r>
                    <m:t>2</m:t>
                  </m:r>
                </m:sup>
              </m:sSup>
            </m:oMath>
          </w:p>
        </w:tc>
        <w:trPr>
          <w:cantSplit/>
        </w:trPr>
      </w:tr>
      <w:tr>
        <w:tc>
          <w:tcPr/>
          <w:p>
            <w:pPr>
              <w:pStyle w:val="Compact"/>
              <w:jc w:val="left"/>
            </w:pPr>
            <w:r>
              <w:t xml:space="preserve">iv40</w:t>
            </w:r>
          </w:p>
        </w:tc>
        <w:tc>
          <w:tcPr/>
          <w:p>
            <w:pPr>
              <w:pStyle w:val="Compact"/>
              <w:jc w:val="center"/>
            </w:pPr>
            <w:r>
              <w:t xml:space="preserve">0.2360</w:t>
            </w:r>
          </w:p>
        </w:tc>
        <w:tc>
          <w:tcPr/>
          <w:p>
            <w:pPr>
              <w:pStyle w:val="Compact"/>
              <w:jc w:val="center"/>
            </w:pPr>
            <m:oMath>
              <m:r>
                <m:t>5.7776</m:t>
              </m:r>
              <m:r>
                <m:rPr>
                  <m:sty m:val="p"/>
                </m:rPr>
                <m:t>×</m:t>
              </m:r>
              <m:sSup>
                <m:e>
                  <m:r>
                    <m:t>10</m:t>
                  </m:r>
                </m:e>
                <m:sup>
                  <m:r>
                    <m:rPr>
                      <m:sty m:val="p"/>
                    </m:rPr>
                    <m:t>−</m:t>
                  </m:r>
                  <m:r>
                    <m:t>3</m:t>
                  </m:r>
                </m:sup>
              </m:sSup>
            </m:oMath>
            <w:r>
              <w:t xml:space="preserve"> </w:t>
            </w:r>
            <w:r>
              <w:t xml:space="preserve">(2.23)</w:t>
            </w:r>
          </w:p>
        </w:tc>
        <w:tc>
          <w:tcPr/>
          <w:p>
            <w:pPr>
              <w:pStyle w:val="Compact"/>
              <w:jc w:val="center"/>
            </w:pPr>
            <m:oMath>
              <m:r>
                <m:t>9.8230</m:t>
              </m:r>
              <m:r>
                <m:rPr>
                  <m:sty m:val="p"/>
                </m:rPr>
                <m:t>×</m:t>
              </m:r>
              <m:sSup>
                <m:e>
                  <m:r>
                    <m:t>10</m:t>
                  </m:r>
                </m:e>
                <m:sup>
                  <m:r>
                    <m:rPr>
                      <m:sty m:val="p"/>
                    </m:rPr>
                    <m:t>−</m:t>
                  </m:r>
                  <m:r>
                    <m:t>3</m:t>
                  </m:r>
                </m:sup>
              </m:sSup>
            </m:oMath>
            <w:r>
              <w:t xml:space="preserve"> </w:t>
            </w:r>
            <w:r>
              <w:t xml:space="preserve">(2.16)</w:t>
            </w:r>
          </w:p>
        </w:tc>
        <w:tc>
          <w:tcPr/>
          <w:p>
            <w:pPr>
              <w:pStyle w:val="Compact"/>
              <w:jc w:val="center"/>
            </w:pPr>
            <m:oMath>
              <m:r>
                <m:t>4.5929</m:t>
              </m:r>
              <m:r>
                <m:rPr>
                  <m:sty m:val="p"/>
                </m:rPr>
                <m:t>×</m:t>
              </m:r>
              <m:sSup>
                <m:e>
                  <m:r>
                    <m:t>10</m:t>
                  </m:r>
                </m:e>
                <m:sup>
                  <m:r>
                    <m:rPr>
                      <m:sty m:val="p"/>
                    </m:rPr>
                    <m:t>−</m:t>
                  </m:r>
                  <m:r>
                    <m:t>3</m:t>
                  </m:r>
                </m:sup>
              </m:sSup>
            </m:oMath>
          </w:p>
        </w:tc>
        <w:tc>
          <w:tcPr/>
          <w:p>
            <w:pPr>
              <w:pStyle w:val="Compact"/>
              <w:jc w:val="center"/>
            </w:pPr>
            <m:oMath>
              <m:r>
                <m:t>7.5905</m:t>
              </m:r>
              <m:r>
                <m:rPr>
                  <m:sty m:val="p"/>
                </m:rPr>
                <m:t>×</m:t>
              </m:r>
              <m:sSup>
                <m:e>
                  <m:r>
                    <m:t>10</m:t>
                  </m:r>
                </m:e>
                <m:sup>
                  <m:r>
                    <m:rPr>
                      <m:sty m:val="p"/>
                    </m:rPr>
                    <m:t>−</m:t>
                  </m:r>
                  <m:r>
                    <m:t>3</m:t>
                  </m:r>
                </m:sup>
              </m:sSup>
            </m:oMath>
          </w:p>
        </w:tc>
        <w:trPr>
          <w:cantSplit/>
        </w:trPr>
      </w:tr>
      <w:tr>
        <w:tc>
          <w:tcPr/>
          <w:p>
            <w:pPr>
              <w:pStyle w:val="Compact"/>
              <w:jc w:val="left"/>
            </w:pPr>
            <w:r>
              <w:t xml:space="preserve">iv80</w:t>
            </w:r>
          </w:p>
        </w:tc>
        <w:tc>
          <w:tcPr/>
          <w:p>
            <w:pPr>
              <w:pStyle w:val="Compact"/>
              <w:jc w:val="center"/>
            </w:pPr>
            <w:r>
              <w:t xml:space="preserve">0.1186</w:t>
            </w:r>
          </w:p>
        </w:tc>
        <w:tc>
          <w:tcPr/>
          <w:p>
            <w:pPr>
              <w:pStyle w:val="Compact"/>
              <w:jc w:val="center"/>
            </w:pPr>
            <m:oMath>
              <m:r>
                <m:t>1.0810</m:t>
              </m:r>
              <m:r>
                <m:rPr>
                  <m:sty m:val="p"/>
                </m:rPr>
                <m:t>×</m:t>
              </m:r>
              <m:sSup>
                <m:e>
                  <m:r>
                    <m:t>10</m:t>
                  </m:r>
                </m:e>
                <m:sup>
                  <m:r>
                    <m:rPr>
                      <m:sty m:val="p"/>
                    </m:rPr>
                    <m:t>−</m:t>
                  </m:r>
                  <m:r>
                    <m:t>3</m:t>
                  </m:r>
                </m:sup>
              </m:sSup>
            </m:oMath>
            <w:r>
              <w:t xml:space="preserve"> </w:t>
            </w:r>
            <w:r>
              <w:t xml:space="preserve">(2.43)</w:t>
            </w:r>
          </w:p>
        </w:tc>
        <w:tc>
          <w:tcPr/>
          <w:p>
            <w:pPr>
              <w:pStyle w:val="Compact"/>
              <w:jc w:val="center"/>
            </w:pPr>
            <m:oMath>
              <m:r>
                <m:t>1.5524</m:t>
              </m:r>
              <m:r>
                <m:rPr>
                  <m:sty m:val="p"/>
                </m:rPr>
                <m:t>×</m:t>
              </m:r>
              <m:sSup>
                <m:e>
                  <m:r>
                    <m:t>10</m:t>
                  </m:r>
                </m:e>
                <m:sup>
                  <m:r>
                    <m:rPr>
                      <m:sty m:val="p"/>
                    </m:rPr>
                    <m:t>−</m:t>
                  </m:r>
                  <m:r>
                    <m:t>3</m:t>
                  </m:r>
                </m:sup>
              </m:sSup>
            </m:oMath>
            <w:r>
              <w:t xml:space="preserve"> </w:t>
            </w:r>
            <w:r>
              <w:t xml:space="preserve">(2.68)</w:t>
            </w:r>
          </w:p>
        </w:tc>
        <w:tc>
          <w:tcPr/>
          <w:p>
            <w:pPr>
              <w:pStyle w:val="Compact"/>
              <w:jc w:val="center"/>
            </w:pPr>
            <m:oMath>
              <m:r>
                <m:t>8.3044</m:t>
              </m:r>
              <m:r>
                <m:rPr>
                  <m:sty m:val="p"/>
                </m:rPr>
                <m:t>×</m:t>
              </m:r>
              <m:sSup>
                <m:e>
                  <m:r>
                    <m:t>10</m:t>
                  </m:r>
                </m:e>
                <m:sup>
                  <m:r>
                    <m:rPr>
                      <m:sty m:val="p"/>
                    </m:rPr>
                    <m:t>−</m:t>
                  </m:r>
                  <m:r>
                    <m:t>4</m:t>
                  </m:r>
                </m:sup>
              </m:sSup>
            </m:oMath>
          </w:p>
        </w:tc>
        <w:tc>
          <w:tcPr/>
          <w:p>
            <w:pPr>
              <w:pStyle w:val="Compact"/>
              <w:jc w:val="center"/>
            </w:pPr>
            <m:oMath>
              <m:r>
                <m:t>1.1824</m:t>
              </m:r>
              <m:r>
                <m:rPr>
                  <m:sty m:val="p"/>
                </m:rPr>
                <m:t>×</m:t>
              </m:r>
              <m:sSup>
                <m:e>
                  <m:r>
                    <m:t>10</m:t>
                  </m:r>
                </m:e>
                <m:sup>
                  <m:r>
                    <m:rPr>
                      <m:sty m:val="p"/>
                    </m:rPr>
                    <m:t>−</m:t>
                  </m:r>
                  <m:r>
                    <m:t>3</m:t>
                  </m:r>
                </m:sup>
              </m:sSup>
            </m:oMath>
          </w:p>
        </w:tc>
        <w:trPr>
          <w:cantSplit/>
        </w:trPr>
      </w:tr>
    </w:tbl>
    <w:bookmarkEnd w:id="45"/>
    <w:bookmarkEnd w:id="46"/>
    <w:bookmarkStart w:id="48" w:name="sec:performance"/>
    <w:p>
      <w:pPr>
        <w:pStyle w:val="Heading2"/>
      </w:pPr>
      <w:r>
        <w:t xml:space="preserve">5.3 Paired performance and memory measurements</w:t>
      </w:r>
    </w:p>
    <w:p>
      <w:pPr>
        <w:pStyle w:val="FirstParagraph"/>
      </w:pPr>
      <w:r>
        <w:t xml:space="preserve">Table 6 compares actual marches to</w:t>
      </w:r>
      <w:r>
        <w:t xml:space="preserve"> </w:t>
      </w:r>
      <m:oMath>
        <m:r>
          <m:t>t</m:t>
        </m:r>
        <m:r>
          <m:rPr>
            <m:sty m:val="p"/>
          </m:rPr>
          <m:t>=</m:t>
        </m:r>
        <m:r>
          <m:t>2</m:t>
        </m:r>
      </m:oMath>
      <w:r>
        <w:t xml:space="preserve"> </w:t>
      </w:r>
      <w:r>
        <w:t xml:space="preserve">for prism, hexahedral and tetrahedral mesh families. Each row is paired: both algorithms use the same mesh, MPI rank count and one thread per rank. The reported time is the marching phase only, excluding initialization and file output; PSS is the aggregate proportional set size at the final state. Rank counts change across mesh levels and therefore this table is</w:t>
      </w:r>
      <w:r>
        <w:t xml:space="preserve"> </w:t>
      </w:r>
      <w:r>
        <w:rPr>
          <w:iCs/>
          <w:i/>
        </w:rPr>
        <w:t xml:space="preserve">not</w:t>
      </w:r>
      <w:r>
        <w:t xml:space="preserve"> </w:t>
      </w:r>
      <w:r>
        <w:t xml:space="preserve">a strong-scaling study. It is a per-row algorithm comparison.</w:t>
      </w:r>
    </w:p>
    <w:p>
      <w:pPr>
        <w:pStyle w:val="BodyText"/>
      </w:pPr>
      <w:r>
        <w:t xml:space="preserve">The conventional-to-differential marching-time ratio is 4.94–17.36. Final PSS reductions are 15.6–66.5%, with the largest reductions on tetrahedral meshes, where the conventional micro-simplex quadrature representation is especially numerous. These measurements are consistent with the representation changes in Table 1; they should not be extrapolated to viscous, limited, GPU or differently partitioned runs without direct measurement. Full hardware, compiler, allocator and affinity metadata should accompany any submission version of this table.</w:t>
      </w:r>
    </w:p>
    <w:bookmarkStart w:id="47" w:name="tab:performance"/>
    <w:p>
      <w:pPr>
        <w:pStyle w:val="TableCaption"/>
      </w:pPr>
      <w:r>
        <w:t xml:space="preserve">Table 6. Paired performance and memory measurements for full marches to</w:t>
      </w:r>
      <w:r>
        <w:t xml:space="preserve"> </w:t>
      </w:r>
      <m:oMath>
        <m:r>
          <m:t>t</m:t>
        </m:r>
        <m:r>
          <m:rPr>
            <m:sty m:val="p"/>
          </m:rPr>
          <m:t>=</m:t>
        </m:r>
        <m:r>
          <m:t>2</m:t>
        </m:r>
      </m:oMath>
      <w:r>
        <w:t xml:space="preserve">.</w:t>
      </w:r>
      <w:r>
        <w:t xml:space="preserve"> </w:t>
      </w:r>
      <m:oMath>
        <m:sSub>
          <m:e>
            <m:r>
              <m:t>t</m:t>
            </m:r>
          </m:e>
          <m:sub>
            <m:r>
              <m:t>E</m:t>
            </m:r>
          </m:sub>
        </m:sSub>
      </m:oMath>
      <w:r>
        <w:t xml:space="preserve"> </w:t>
      </w:r>
      <w:r>
        <w:t xml:space="preserve">and</w:t>
      </w:r>
      <w:r>
        <w:t xml:space="preserve"> </w:t>
      </w:r>
      <m:oMath>
        <m:sSub>
          <m:e>
            <m:r>
              <m:t>t</m:t>
            </m:r>
          </m:e>
          <m:sub>
            <m:r>
              <m:t>T</m:t>
            </m:r>
          </m:sub>
        </m:sSub>
      </m:oMath>
      <w:r>
        <w:t xml:space="preserve"> </w:t>
      </w:r>
      <w:r>
        <w:t xml:space="preserve">are differential and conventional marching times; PSS is aggregated across ranks.</w:t>
      </w:r>
    </w:p>
    <w:tbl>
      <w:tblPr>
        <w:tblStyle w:val="Table"/>
        <w:tblW w:type="auto" w:w="0"/>
        <w:tblLook w:firstRow="1" w:lastRow="0" w:firstColumn="0" w:lastColumn="0" w:noHBand="0" w:noVBand="0" w:val="0020"/>
        <w:jc w:val="start"/>
        <w:tblCaption w:val="Table 6. Paired performance and memory measurements for full marches to t=2. t_E and t_T are differential and conventional marching times; PSS is aggregated across ranks."/>
      </w:tblPr>
      <w:tblGrid>
        <w:gridCol w:w="990"/>
        <w:gridCol w:w="990"/>
        <w:gridCol w:w="990"/>
        <w:gridCol w:w="990"/>
        <w:gridCol w:w="990"/>
        <w:gridCol w:w="990"/>
        <w:gridCol w:w="990"/>
        <w:gridCol w:w="990"/>
      </w:tblGrid>
      <w:tr>
        <w:trPr>
          <w:tblHeader w:val="true"/>
          <w:cantSplit/>
        </w:trPr>
        <w:tc>
          <w:tcPr/>
          <w:p>
            <w:pPr>
              <w:pStyle w:val="Compact"/>
              <w:jc w:val="left"/>
            </w:pPr>
            <w:r>
              <w:t xml:space="preserve">Family</w:t>
            </w:r>
          </w:p>
        </w:tc>
        <w:tc>
          <w:tcPr/>
          <w:p>
            <w:pPr>
              <w:pStyle w:val="Compact"/>
              <w:jc w:val="left"/>
            </w:pPr>
            <w:r>
              <w:t xml:space="preserve">Mesh</w:t>
            </w:r>
          </w:p>
        </w:tc>
        <w:tc>
          <w:tcPr/>
          <w:p>
            <w:pPr>
              <w:pStyle w:val="Compact"/>
              <w:jc w:val="right"/>
            </w:pPr>
            <w:r>
              <w:t xml:space="preserve">ranks</w:t>
            </w:r>
          </w:p>
        </w:tc>
        <w:tc>
          <w:tcPr/>
          <w:p>
            <w:pPr>
              <w:pStyle w:val="Compact"/>
              <w:jc w:val="right"/>
            </w:pPr>
            <w:r>
              <w:t xml:space="preserve">nodes</w:t>
            </w:r>
          </w:p>
        </w:tc>
        <w:tc>
          <w:tcPr/>
          <w:p>
            <w:pPr>
              <w:pStyle w:val="Compact"/>
              <w:jc w:val="right"/>
            </w:pPr>
            <m:oMath>
              <m:sSub>
                <m:e>
                  <m:r>
                    <m:t>t</m:t>
                  </m:r>
                </m:e>
                <m:sub>
                  <m:r>
                    <m:t>E</m:t>
                  </m:r>
                </m:sub>
              </m:sSub>
            </m:oMath>
            <w:r>
              <w:t xml:space="preserve"> </w:t>
            </w:r>
            <w:r>
              <w:t xml:space="preserve">(s)</w:t>
            </w:r>
          </w:p>
        </w:tc>
        <w:tc>
          <w:tcPr/>
          <w:p>
            <w:pPr>
              <w:pStyle w:val="Compact"/>
              <w:jc w:val="right"/>
            </w:pPr>
            <m:oMath>
              <m:sSub>
                <m:e>
                  <m:r>
                    <m:t>t</m:t>
                  </m:r>
                </m:e>
                <m:sub>
                  <m:r>
                    <m:t>T</m:t>
                  </m:r>
                </m:sub>
              </m:sSub>
            </m:oMath>
            <w:r>
              <w:t xml:space="preserve"> </w:t>
            </w:r>
            <w:r>
              <w:t xml:space="preserve">(s)</w:t>
            </w:r>
          </w:p>
        </w:tc>
        <w:tc>
          <w:tcPr/>
          <w:p>
            <w:pPr>
              <w:pStyle w:val="Compact"/>
              <w:jc w:val="right"/>
            </w:pPr>
            <m:oMath>
              <m:sSub>
                <m:e>
                  <m:r>
                    <m:t>t</m:t>
                  </m:r>
                </m:e>
                <m:sub>
                  <m:r>
                    <m:t>T</m:t>
                  </m:r>
                </m:sub>
              </m:sSub>
              <m:r>
                <m:rPr>
                  <m:sty m:val="p"/>
                </m:rPr>
                <m:t>/</m:t>
              </m:r>
              <m:sSub>
                <m:e>
                  <m:r>
                    <m:t>t</m:t>
                  </m:r>
                </m:e>
                <m:sub>
                  <m:r>
                    <m:t>E</m:t>
                  </m:r>
                </m:sub>
              </m:sSub>
            </m:oMath>
          </w:p>
        </w:tc>
        <w:tc>
          <w:tcPr/>
          <w:p>
            <w:pPr>
              <w:pStyle w:val="Compact"/>
              <w:jc w:val="right"/>
            </w:pPr>
            <w:r>
              <w:t xml:space="preserve">PSS reduction</w:t>
            </w:r>
          </w:p>
        </w:tc>
      </w:tr>
      <w:tr>
        <w:tc>
          <w:tcPr/>
          <w:p>
            <w:pPr>
              <w:pStyle w:val="Compact"/>
              <w:jc w:val="left"/>
            </w:pPr>
            <w:r>
              <w:t xml:space="preserve">Family</w:t>
            </w:r>
          </w:p>
        </w:tc>
        <w:tc>
          <w:tcPr/>
          <w:p>
            <w:pPr>
              <w:pStyle w:val="Compact"/>
              <w:jc w:val="left"/>
            </w:pPr>
            <w:r>
              <w:t xml:space="preserve">Mesh</w:t>
            </w:r>
          </w:p>
        </w:tc>
        <w:tc>
          <w:tcPr/>
          <w:p>
            <w:pPr>
              <w:pStyle w:val="Compact"/>
              <w:jc w:val="right"/>
            </w:pPr>
            <w:r>
              <w:t xml:space="preserve">ranks</w:t>
            </w:r>
          </w:p>
        </w:tc>
        <w:tc>
          <w:tcPr/>
          <w:p>
            <w:pPr>
              <w:pStyle w:val="Compact"/>
              <w:jc w:val="right"/>
            </w:pPr>
            <w:r>
              <w:t xml:space="preserve">nodes</w:t>
            </w:r>
          </w:p>
        </w:tc>
        <w:tc>
          <w:tcPr/>
          <w:p>
            <w:pPr>
              <w:pStyle w:val="Compact"/>
              <w:jc w:val="right"/>
            </w:pPr>
            <m:oMath>
              <m:sSub>
                <m:e>
                  <m:r>
                    <m:t>t</m:t>
                  </m:r>
                </m:e>
                <m:sub>
                  <m:r>
                    <m:t>E</m:t>
                  </m:r>
                </m:sub>
              </m:sSub>
            </m:oMath>
            <w:r>
              <w:t xml:space="preserve"> </w:t>
            </w:r>
            <w:r>
              <w:t xml:space="preserve">(s)</w:t>
            </w:r>
          </w:p>
        </w:tc>
        <w:tc>
          <w:tcPr/>
          <w:p>
            <w:pPr>
              <w:pStyle w:val="Compact"/>
              <w:jc w:val="right"/>
            </w:pPr>
            <m:oMath>
              <m:sSub>
                <m:e>
                  <m:r>
                    <m:t>t</m:t>
                  </m:r>
                </m:e>
                <m:sub>
                  <m:r>
                    <m:t>T</m:t>
                  </m:r>
                </m:sub>
              </m:sSub>
            </m:oMath>
            <w:r>
              <w:t xml:space="preserve"> </w:t>
            </w:r>
            <w:r>
              <w:t xml:space="preserve">(s)</w:t>
            </w:r>
          </w:p>
        </w:tc>
        <w:tc>
          <w:tcPr/>
          <w:p>
            <w:pPr>
              <w:pStyle w:val="Compact"/>
              <w:jc w:val="right"/>
            </w:pPr>
            <m:oMath>
              <m:sSub>
                <m:e>
                  <m:r>
                    <m:t>t</m:t>
                  </m:r>
                </m:e>
                <m:sub>
                  <m:r>
                    <m:t>T</m:t>
                  </m:r>
                </m:sub>
              </m:sSub>
              <m:r>
                <m:rPr>
                  <m:sty m:val="p"/>
                </m:rPr>
                <m:t>/</m:t>
              </m:r>
              <m:sSub>
                <m:e>
                  <m:r>
                    <m:t>t</m:t>
                  </m:r>
                </m:e>
                <m:sub>
                  <m:r>
                    <m:t>E</m:t>
                  </m:r>
                </m:sub>
              </m:sSub>
            </m:oMath>
          </w:p>
        </w:tc>
        <w:tc>
          <w:tcPr/>
          <w:p>
            <w:pPr>
              <w:pStyle w:val="Compact"/>
              <w:jc w:val="right"/>
            </w:pPr>
            <w:r>
              <w:t xml:space="preserve">PSS reduction</w:t>
            </w:r>
          </w:p>
        </w:tc>
        <w:trPr>
          <w:cantSplit/>
        </w:trPr>
      </w:tr>
      <w:tr>
        <w:tc>
          <w:tcPr/>
          <w:p>
            <w:pPr>
              <w:pStyle w:val="Compact"/>
              <w:jc w:val="left"/>
            </w:pPr>
            <w:r>
              <w:t xml:space="preserve">Prism6</w:t>
            </w:r>
          </w:p>
        </w:tc>
        <w:tc>
          <w:tcPr/>
          <w:p>
            <w:pPr>
              <w:pStyle w:val="Compact"/>
              <w:jc w:val="left"/>
            </w:pPr>
            <w:r>
              <w:t xml:space="preserve">iv10</w:t>
            </w:r>
          </w:p>
        </w:tc>
        <w:tc>
          <w:tcPr/>
          <w:p>
            <w:pPr>
              <w:pStyle w:val="Compact"/>
              <w:jc w:val="right"/>
            </w:pPr>
            <w:r>
              <w:t xml:space="preserve">1</w:t>
            </w:r>
          </w:p>
        </w:tc>
        <w:tc>
          <w:tcPr/>
          <w:p>
            <w:pPr>
              <w:pStyle w:val="Compact"/>
              <w:jc w:val="right"/>
            </w:pPr>
            <w:r>
              <w:t xml:space="preserve">745</w:t>
            </w:r>
          </w:p>
        </w:tc>
        <w:tc>
          <w:tcPr/>
          <w:p>
            <w:pPr>
              <w:pStyle w:val="Compact"/>
              <w:jc w:val="right"/>
            </w:pPr>
            <w:r>
              <w:t xml:space="preserve">0.743</w:t>
            </w:r>
          </w:p>
        </w:tc>
        <w:tc>
          <w:tcPr/>
          <w:p>
            <w:pPr>
              <w:pStyle w:val="Compact"/>
              <w:jc w:val="right"/>
            </w:pPr>
            <w:r>
              <w:t xml:space="preserve">7.772</w:t>
            </w:r>
          </w:p>
        </w:tc>
        <w:tc>
          <w:tcPr/>
          <w:p>
            <w:pPr>
              <w:pStyle w:val="Compact"/>
              <w:jc w:val="right"/>
            </w:pPr>
            <w:r>
              <w:t xml:space="preserve">10.47</w:t>
            </w:r>
          </w:p>
        </w:tc>
        <w:tc>
          <w:tcPr/>
          <w:p>
            <w:pPr>
              <w:pStyle w:val="Compact"/>
              <w:jc w:val="right"/>
            </w:pPr>
            <w:r>
              <w:t xml:space="preserve">15.6%</w:t>
            </w:r>
          </w:p>
        </w:tc>
        <w:trPr>
          <w:cantSplit/>
        </w:trPr>
      </w:tr>
      <w:tr>
        <w:tc>
          <w:tcPr/>
          <w:p>
            <w:pPr>
              <w:pStyle w:val="Compact"/>
              <w:jc w:val="left"/>
            </w:pPr>
            <w:r>
              <w:t xml:space="preserve">Prism6</w:t>
            </w:r>
          </w:p>
        </w:tc>
        <w:tc>
          <w:tcPr/>
          <w:p>
            <w:pPr>
              <w:pStyle w:val="Compact"/>
              <w:jc w:val="left"/>
            </w:pPr>
            <w:r>
              <w:t xml:space="preserve">iv20</w:t>
            </w:r>
          </w:p>
        </w:tc>
        <w:tc>
          <w:tcPr/>
          <w:p>
            <w:pPr>
              <w:pStyle w:val="Compact"/>
              <w:jc w:val="right"/>
            </w:pPr>
            <w:r>
              <w:t xml:space="preserve">1</w:t>
            </w:r>
          </w:p>
        </w:tc>
        <w:tc>
          <w:tcPr/>
          <w:p>
            <w:pPr>
              <w:pStyle w:val="Compact"/>
              <w:jc w:val="right"/>
            </w:pPr>
            <w:r>
              <w:t xml:space="preserve">4,752</w:t>
            </w:r>
          </w:p>
        </w:tc>
        <w:tc>
          <w:tcPr/>
          <w:p>
            <w:pPr>
              <w:pStyle w:val="Compact"/>
              <w:jc w:val="right"/>
            </w:pPr>
            <w:r>
              <w:t xml:space="preserve">11.752</w:t>
            </w:r>
          </w:p>
        </w:tc>
        <w:tc>
          <w:tcPr/>
          <w:p>
            <w:pPr>
              <w:pStyle w:val="Compact"/>
              <w:jc w:val="right"/>
            </w:pPr>
            <w:r>
              <w:t xml:space="preserve">122.166</w:t>
            </w:r>
          </w:p>
        </w:tc>
        <w:tc>
          <w:tcPr/>
          <w:p>
            <w:pPr>
              <w:pStyle w:val="Compact"/>
              <w:jc w:val="right"/>
            </w:pPr>
            <w:r>
              <w:t xml:space="preserve">10.40</w:t>
            </w:r>
          </w:p>
        </w:tc>
        <w:tc>
          <w:tcPr/>
          <w:p>
            <w:pPr>
              <w:pStyle w:val="Compact"/>
              <w:jc w:val="right"/>
            </w:pPr>
            <w:r>
              <w:t xml:space="preserve">44.1%</w:t>
            </w:r>
          </w:p>
        </w:tc>
        <w:trPr>
          <w:cantSplit/>
        </w:trPr>
      </w:tr>
      <w:tr>
        <w:tc>
          <w:tcPr/>
          <w:p>
            <w:pPr>
              <w:pStyle w:val="Compact"/>
              <w:jc w:val="left"/>
            </w:pPr>
            <w:r>
              <w:t xml:space="preserve">Prism6</w:t>
            </w:r>
          </w:p>
        </w:tc>
        <w:tc>
          <w:tcPr/>
          <w:p>
            <w:pPr>
              <w:pStyle w:val="Compact"/>
              <w:jc w:val="left"/>
            </w:pPr>
            <w:r>
              <w:t xml:space="preserve">iv40</w:t>
            </w:r>
          </w:p>
        </w:tc>
        <w:tc>
          <w:tcPr/>
          <w:p>
            <w:pPr>
              <w:pStyle w:val="Compact"/>
              <w:jc w:val="right"/>
            </w:pPr>
            <w:r>
              <w:t xml:space="preserve">8</w:t>
            </w:r>
          </w:p>
        </w:tc>
        <w:tc>
          <w:tcPr/>
          <w:p>
            <w:pPr>
              <w:pStyle w:val="Compact"/>
              <w:jc w:val="right"/>
            </w:pPr>
            <w:r>
              <w:t xml:space="preserve">33,694</w:t>
            </w:r>
          </w:p>
        </w:tc>
        <w:tc>
          <w:tcPr/>
          <w:p>
            <w:pPr>
              <w:pStyle w:val="Compact"/>
              <w:jc w:val="right"/>
            </w:pPr>
            <w:r>
              <w:t xml:space="preserve">29.943</w:t>
            </w:r>
          </w:p>
        </w:tc>
        <w:tc>
          <w:tcPr/>
          <w:p>
            <w:pPr>
              <w:pStyle w:val="Compact"/>
              <w:jc w:val="right"/>
            </w:pPr>
            <w:r>
              <w:t xml:space="preserve">280.974</w:t>
            </w:r>
          </w:p>
        </w:tc>
        <w:tc>
          <w:tcPr/>
          <w:p>
            <w:pPr>
              <w:pStyle w:val="Compact"/>
              <w:jc w:val="right"/>
            </w:pPr>
            <w:r>
              <w:t xml:space="preserve">9.38</w:t>
            </w:r>
          </w:p>
        </w:tc>
        <w:tc>
          <w:tcPr/>
          <w:p>
            <w:pPr>
              <w:pStyle w:val="Compact"/>
              <w:jc w:val="right"/>
            </w:pPr>
            <w:r>
              <w:t xml:space="preserve">48.7%</w:t>
            </w:r>
          </w:p>
        </w:tc>
        <w:trPr>
          <w:cantSplit/>
        </w:trPr>
      </w:tr>
      <w:tr>
        <w:tc>
          <w:tcPr/>
          <w:p>
            <w:pPr>
              <w:pStyle w:val="Compact"/>
              <w:jc w:val="left"/>
            </w:pPr>
            <w:r>
              <w:t xml:space="preserve">Prism6</w:t>
            </w:r>
          </w:p>
        </w:tc>
        <w:tc>
          <w:tcPr/>
          <w:p>
            <w:pPr>
              <w:pStyle w:val="Compact"/>
              <w:jc w:val="left"/>
            </w:pPr>
            <w:r>
              <w:t xml:space="preserve">iv80</w:t>
            </w:r>
          </w:p>
        </w:tc>
        <w:tc>
          <w:tcPr/>
          <w:p>
            <w:pPr>
              <w:pStyle w:val="Compact"/>
              <w:jc w:val="right"/>
            </w:pPr>
            <w:r>
              <w:t xml:space="preserve">32</w:t>
            </w:r>
          </w:p>
        </w:tc>
        <w:tc>
          <w:tcPr/>
          <w:p>
            <w:pPr>
              <w:pStyle w:val="Compact"/>
              <w:jc w:val="right"/>
            </w:pPr>
            <w:r>
              <w:t xml:space="preserve">252,780</w:t>
            </w:r>
          </w:p>
        </w:tc>
        <w:tc>
          <w:tcPr/>
          <w:p>
            <w:pPr>
              <w:pStyle w:val="Compact"/>
              <w:jc w:val="right"/>
            </w:pPr>
            <w:r>
              <w:t xml:space="preserve">176.211</w:t>
            </w:r>
          </w:p>
        </w:tc>
        <w:tc>
          <w:tcPr/>
          <w:p>
            <w:pPr>
              <w:pStyle w:val="Compact"/>
              <w:jc w:val="right"/>
            </w:pPr>
            <w:r>
              <w:t xml:space="preserve">1,260.767</w:t>
            </w:r>
          </w:p>
        </w:tc>
        <w:tc>
          <w:tcPr/>
          <w:p>
            <w:pPr>
              <w:pStyle w:val="Compact"/>
              <w:jc w:val="right"/>
            </w:pPr>
            <w:r>
              <w:t xml:space="preserve">7.15</w:t>
            </w:r>
          </w:p>
        </w:tc>
        <w:tc>
          <w:tcPr/>
          <w:p>
            <w:pPr>
              <w:pStyle w:val="Compact"/>
              <w:jc w:val="right"/>
            </w:pPr>
            <w:r>
              <w:t xml:space="preserve">42.3%</w:t>
            </w:r>
          </w:p>
        </w:tc>
        <w:trPr>
          <w:cantSplit/>
        </w:trPr>
      </w:tr>
      <w:tr>
        <w:tc>
          <w:tcPr/>
          <w:p>
            <w:pPr>
              <w:pStyle w:val="Compact"/>
              <w:jc w:val="left"/>
            </w:pPr>
            <w:r>
              <w:t xml:space="preserve">Hex8</w:t>
            </w:r>
          </w:p>
        </w:tc>
        <w:tc>
          <w:tcPr/>
          <w:p>
            <w:pPr>
              <w:pStyle w:val="Compact"/>
              <w:jc w:val="left"/>
            </w:pPr>
            <w:r>
              <w:t xml:space="preserve">iv10</w:t>
            </w:r>
          </w:p>
        </w:tc>
        <w:tc>
          <w:tcPr/>
          <w:p>
            <w:pPr>
              <w:pStyle w:val="Compact"/>
              <w:jc w:val="right"/>
            </w:pPr>
            <w:r>
              <w:t xml:space="preserve">1</w:t>
            </w:r>
          </w:p>
        </w:tc>
        <w:tc>
          <w:tcPr/>
          <w:p>
            <w:pPr>
              <w:pStyle w:val="Compact"/>
              <w:jc w:val="right"/>
            </w:pPr>
            <w:r>
              <w:t xml:space="preserve">1,331</w:t>
            </w:r>
          </w:p>
        </w:tc>
        <w:tc>
          <w:tcPr/>
          <w:p>
            <w:pPr>
              <w:pStyle w:val="Compact"/>
              <w:jc w:val="right"/>
            </w:pPr>
            <w:r>
              <w:t xml:space="preserve">1.422</w:t>
            </w:r>
          </w:p>
        </w:tc>
        <w:tc>
          <w:tcPr/>
          <w:p>
            <w:pPr>
              <w:pStyle w:val="Compact"/>
              <w:jc w:val="right"/>
            </w:pPr>
            <w:r>
              <w:t xml:space="preserve">10.703</w:t>
            </w:r>
          </w:p>
        </w:tc>
        <w:tc>
          <w:tcPr/>
          <w:p>
            <w:pPr>
              <w:pStyle w:val="Compact"/>
              <w:jc w:val="right"/>
            </w:pPr>
            <w:r>
              <w:t xml:space="preserve">7.53</w:t>
            </w:r>
          </w:p>
        </w:tc>
        <w:tc>
          <w:tcPr/>
          <w:p>
            <w:pPr>
              <w:pStyle w:val="Compact"/>
              <w:jc w:val="right"/>
            </w:pPr>
            <w:r>
              <w:t xml:space="preserve">16.7%</w:t>
            </w:r>
          </w:p>
        </w:tc>
        <w:trPr>
          <w:cantSplit/>
        </w:trPr>
      </w:tr>
      <w:tr>
        <w:tc>
          <w:tcPr/>
          <w:p>
            <w:pPr>
              <w:pStyle w:val="Compact"/>
              <w:jc w:val="left"/>
            </w:pPr>
            <w:r>
              <w:t xml:space="preserve">Hex8</w:t>
            </w:r>
          </w:p>
        </w:tc>
        <w:tc>
          <w:tcPr/>
          <w:p>
            <w:pPr>
              <w:pStyle w:val="Compact"/>
              <w:jc w:val="left"/>
            </w:pPr>
            <w:r>
              <w:t xml:space="preserve">iv20</w:t>
            </w:r>
          </w:p>
        </w:tc>
        <w:tc>
          <w:tcPr/>
          <w:p>
            <w:pPr>
              <w:pStyle w:val="Compact"/>
              <w:jc w:val="right"/>
            </w:pPr>
            <w:r>
              <w:t xml:space="preserve">1</w:t>
            </w:r>
          </w:p>
        </w:tc>
        <w:tc>
          <w:tcPr/>
          <w:p>
            <w:pPr>
              <w:pStyle w:val="Compact"/>
              <w:jc w:val="right"/>
            </w:pPr>
            <w:r>
              <w:t xml:space="preserve">9,261</w:t>
            </w:r>
          </w:p>
        </w:tc>
        <w:tc>
          <w:tcPr/>
          <w:p>
            <w:pPr>
              <w:pStyle w:val="Compact"/>
              <w:jc w:val="right"/>
            </w:pPr>
            <w:r>
              <w:t xml:space="preserve">23.578</w:t>
            </w:r>
          </w:p>
        </w:tc>
        <w:tc>
          <w:tcPr/>
          <w:p>
            <w:pPr>
              <w:pStyle w:val="Compact"/>
              <w:jc w:val="right"/>
            </w:pPr>
            <w:r>
              <w:t xml:space="preserve">190.532</w:t>
            </w:r>
          </w:p>
        </w:tc>
        <w:tc>
          <w:tcPr/>
          <w:p>
            <w:pPr>
              <w:pStyle w:val="Compact"/>
              <w:jc w:val="right"/>
            </w:pPr>
            <w:r>
              <w:t xml:space="preserve">8.08</w:t>
            </w:r>
          </w:p>
        </w:tc>
        <w:tc>
          <w:tcPr/>
          <w:p>
            <w:pPr>
              <w:pStyle w:val="Compact"/>
              <w:jc w:val="right"/>
            </w:pPr>
            <w:r>
              <w:t xml:space="preserve">41.2%</w:t>
            </w:r>
          </w:p>
        </w:tc>
        <w:trPr>
          <w:cantSplit/>
        </w:trPr>
      </w:tr>
      <w:tr>
        <w:tc>
          <w:tcPr/>
          <w:p>
            <w:pPr>
              <w:pStyle w:val="Compact"/>
              <w:jc w:val="left"/>
            </w:pPr>
            <w:r>
              <w:t xml:space="preserve">Hex8</w:t>
            </w:r>
          </w:p>
        </w:tc>
        <w:tc>
          <w:tcPr/>
          <w:p>
            <w:pPr>
              <w:pStyle w:val="Compact"/>
              <w:jc w:val="left"/>
            </w:pPr>
            <w:r>
              <w:t xml:space="preserve">iv40</w:t>
            </w:r>
          </w:p>
        </w:tc>
        <w:tc>
          <w:tcPr/>
          <w:p>
            <w:pPr>
              <w:pStyle w:val="Compact"/>
              <w:jc w:val="right"/>
            </w:pPr>
            <w:r>
              <w:t xml:space="preserve">8</w:t>
            </w:r>
          </w:p>
        </w:tc>
        <w:tc>
          <w:tcPr/>
          <w:p>
            <w:pPr>
              <w:pStyle w:val="Compact"/>
              <w:jc w:val="right"/>
            </w:pPr>
            <w:r>
              <w:t xml:space="preserve">68,921</w:t>
            </w:r>
          </w:p>
        </w:tc>
        <w:tc>
          <w:tcPr/>
          <w:p>
            <w:pPr>
              <w:pStyle w:val="Compact"/>
              <w:jc w:val="right"/>
            </w:pPr>
            <w:r>
              <w:t xml:space="preserve">56.384</w:t>
            </w:r>
          </w:p>
        </w:tc>
        <w:tc>
          <w:tcPr/>
          <w:p>
            <w:pPr>
              <w:pStyle w:val="Compact"/>
              <w:jc w:val="right"/>
            </w:pPr>
            <w:r>
              <w:t xml:space="preserve">384.079</w:t>
            </w:r>
          </w:p>
        </w:tc>
        <w:tc>
          <w:tcPr/>
          <w:p>
            <w:pPr>
              <w:pStyle w:val="Compact"/>
              <w:jc w:val="right"/>
            </w:pPr>
            <w:r>
              <w:t xml:space="preserve">6.81</w:t>
            </w:r>
          </w:p>
        </w:tc>
        <w:tc>
          <w:tcPr/>
          <w:p>
            <w:pPr>
              <w:pStyle w:val="Compact"/>
              <w:jc w:val="right"/>
            </w:pPr>
            <w:r>
              <w:t xml:space="preserve">42.9%</w:t>
            </w:r>
          </w:p>
        </w:tc>
        <w:trPr>
          <w:cantSplit/>
        </w:trPr>
      </w:tr>
      <w:tr>
        <w:tc>
          <w:tcPr/>
          <w:p>
            <w:pPr>
              <w:pStyle w:val="Compact"/>
              <w:jc w:val="left"/>
            </w:pPr>
            <w:r>
              <w:t xml:space="preserve">Hex8</w:t>
            </w:r>
          </w:p>
        </w:tc>
        <w:tc>
          <w:tcPr/>
          <w:p>
            <w:pPr>
              <w:pStyle w:val="Compact"/>
              <w:jc w:val="left"/>
            </w:pPr>
            <w:r>
              <w:t xml:space="preserve">iv80</w:t>
            </w:r>
          </w:p>
        </w:tc>
        <w:tc>
          <w:tcPr/>
          <w:p>
            <w:pPr>
              <w:pStyle w:val="Compact"/>
              <w:jc w:val="right"/>
            </w:pPr>
            <w:r>
              <w:t xml:space="preserve">32</w:t>
            </w:r>
          </w:p>
        </w:tc>
        <w:tc>
          <w:tcPr/>
          <w:p>
            <w:pPr>
              <w:pStyle w:val="Compact"/>
              <w:jc w:val="right"/>
            </w:pPr>
            <w:r>
              <w:t xml:space="preserve">531,441</w:t>
            </w:r>
          </w:p>
        </w:tc>
        <w:tc>
          <w:tcPr/>
          <w:p>
            <w:pPr>
              <w:pStyle w:val="Compact"/>
              <w:jc w:val="right"/>
            </w:pPr>
            <w:r>
              <w:t xml:space="preserve">352.152</w:t>
            </w:r>
          </w:p>
        </w:tc>
        <w:tc>
          <w:tcPr/>
          <w:p>
            <w:pPr>
              <w:pStyle w:val="Compact"/>
              <w:jc w:val="right"/>
            </w:pPr>
            <w:r>
              <w:t xml:space="preserve">1,738.351</w:t>
            </w:r>
          </w:p>
        </w:tc>
        <w:tc>
          <w:tcPr/>
          <w:p>
            <w:pPr>
              <w:pStyle w:val="Compact"/>
              <w:jc w:val="right"/>
            </w:pPr>
            <w:r>
              <w:t xml:space="preserve">4.94</w:t>
            </w:r>
          </w:p>
        </w:tc>
        <w:tc>
          <w:tcPr/>
          <w:p>
            <w:pPr>
              <w:pStyle w:val="Compact"/>
              <w:jc w:val="right"/>
            </w:pPr>
            <w:r>
              <w:t xml:space="preserve">34.7%</w:t>
            </w:r>
          </w:p>
        </w:tc>
        <w:trPr>
          <w:cantSplit/>
        </w:trPr>
      </w:tr>
      <w:tr>
        <w:tc>
          <w:tcPr/>
          <w:p>
            <w:pPr>
              <w:pStyle w:val="Compact"/>
              <w:jc w:val="left"/>
            </w:pPr>
            <w:r>
              <w:t xml:space="preserve">Tet4</w:t>
            </w:r>
          </w:p>
        </w:tc>
        <w:tc>
          <w:tcPr/>
          <w:p>
            <w:pPr>
              <w:pStyle w:val="Compact"/>
              <w:jc w:val="left"/>
            </w:pPr>
            <w:r>
              <w:t xml:space="preserve">iv10</w:t>
            </w:r>
          </w:p>
        </w:tc>
        <w:tc>
          <w:tcPr/>
          <w:p>
            <w:pPr>
              <w:pStyle w:val="Compact"/>
              <w:jc w:val="right"/>
            </w:pPr>
            <w:r>
              <w:t xml:space="preserve">1</w:t>
            </w:r>
          </w:p>
        </w:tc>
        <w:tc>
          <w:tcPr/>
          <w:p>
            <w:pPr>
              <w:pStyle w:val="Compact"/>
              <w:jc w:val="right"/>
            </w:pPr>
            <w:r>
              <w:t xml:space="preserve">1,331</w:t>
            </w:r>
          </w:p>
        </w:tc>
        <w:tc>
          <w:tcPr/>
          <w:p>
            <w:pPr>
              <w:pStyle w:val="Compact"/>
              <w:jc w:val="right"/>
            </w:pPr>
            <w:r>
              <w:t xml:space="preserve">1.825</w:t>
            </w:r>
          </w:p>
        </w:tc>
        <w:tc>
          <w:tcPr/>
          <w:p>
            <w:pPr>
              <w:pStyle w:val="Compact"/>
              <w:jc w:val="right"/>
            </w:pPr>
            <w:r>
              <w:t xml:space="preserve">31.681</w:t>
            </w:r>
          </w:p>
        </w:tc>
        <w:tc>
          <w:tcPr/>
          <w:p>
            <w:pPr>
              <w:pStyle w:val="Compact"/>
              <w:jc w:val="right"/>
            </w:pPr>
            <w:r>
              <w:t xml:space="preserve">17.36</w:t>
            </w:r>
          </w:p>
        </w:tc>
        <w:tc>
          <w:tcPr/>
          <w:p>
            <w:pPr>
              <w:pStyle w:val="Compact"/>
              <w:jc w:val="right"/>
            </w:pPr>
            <w:r>
              <w:t xml:space="preserve">40.8%</w:t>
            </w:r>
          </w:p>
        </w:tc>
        <w:trPr>
          <w:cantSplit/>
        </w:trPr>
      </w:tr>
      <w:tr>
        <w:tc>
          <w:tcPr/>
          <w:p>
            <w:pPr>
              <w:pStyle w:val="Compact"/>
              <w:jc w:val="left"/>
            </w:pPr>
            <w:r>
              <w:t xml:space="preserve">Tet4</w:t>
            </w:r>
          </w:p>
        </w:tc>
        <w:tc>
          <w:tcPr/>
          <w:p>
            <w:pPr>
              <w:pStyle w:val="Compact"/>
              <w:jc w:val="left"/>
            </w:pPr>
            <w:r>
              <w:t xml:space="preserve">iv20</w:t>
            </w:r>
          </w:p>
        </w:tc>
        <w:tc>
          <w:tcPr/>
          <w:p>
            <w:pPr>
              <w:pStyle w:val="Compact"/>
              <w:jc w:val="right"/>
            </w:pPr>
            <w:r>
              <w:t xml:space="preserve">1</w:t>
            </w:r>
          </w:p>
        </w:tc>
        <w:tc>
          <w:tcPr/>
          <w:p>
            <w:pPr>
              <w:pStyle w:val="Compact"/>
              <w:jc w:val="right"/>
            </w:pPr>
            <w:r>
              <w:t xml:space="preserve">9,261</w:t>
            </w:r>
          </w:p>
        </w:tc>
        <w:tc>
          <w:tcPr/>
          <w:p>
            <w:pPr>
              <w:pStyle w:val="Compact"/>
              <w:jc w:val="right"/>
            </w:pPr>
            <w:r>
              <w:t xml:space="preserve">32.385</w:t>
            </w:r>
          </w:p>
        </w:tc>
        <w:tc>
          <w:tcPr/>
          <w:p>
            <w:pPr>
              <w:pStyle w:val="Compact"/>
              <w:jc w:val="right"/>
            </w:pPr>
            <w:r>
              <w:t xml:space="preserve">540.866</w:t>
            </w:r>
          </w:p>
        </w:tc>
        <w:tc>
          <w:tcPr/>
          <w:p>
            <w:pPr>
              <w:pStyle w:val="Compact"/>
              <w:jc w:val="right"/>
            </w:pPr>
            <w:r>
              <w:t xml:space="preserve">16.70</w:t>
            </w:r>
          </w:p>
        </w:tc>
        <w:tc>
          <w:tcPr/>
          <w:p>
            <w:pPr>
              <w:pStyle w:val="Compact"/>
              <w:jc w:val="right"/>
            </w:pPr>
            <w:r>
              <w:t xml:space="preserve">66.5%</w:t>
            </w:r>
          </w:p>
        </w:tc>
        <w:trPr>
          <w:cantSplit/>
        </w:trPr>
      </w:tr>
      <w:tr>
        <w:tc>
          <w:tcPr/>
          <w:p>
            <w:pPr>
              <w:pStyle w:val="Compact"/>
              <w:jc w:val="left"/>
            </w:pPr>
            <w:r>
              <w:t xml:space="preserve">Tet4</w:t>
            </w:r>
          </w:p>
        </w:tc>
        <w:tc>
          <w:tcPr/>
          <w:p>
            <w:pPr>
              <w:pStyle w:val="Compact"/>
              <w:jc w:val="left"/>
            </w:pPr>
            <w:r>
              <w:t xml:space="preserve">iv40</w:t>
            </w:r>
          </w:p>
        </w:tc>
        <w:tc>
          <w:tcPr/>
          <w:p>
            <w:pPr>
              <w:pStyle w:val="Compact"/>
              <w:jc w:val="right"/>
            </w:pPr>
            <w:r>
              <w:t xml:space="preserve">8</w:t>
            </w:r>
          </w:p>
        </w:tc>
        <w:tc>
          <w:tcPr/>
          <w:p>
            <w:pPr>
              <w:pStyle w:val="Compact"/>
              <w:jc w:val="right"/>
            </w:pPr>
            <w:r>
              <w:t xml:space="preserve">68,921</w:t>
            </w:r>
          </w:p>
        </w:tc>
        <w:tc>
          <w:tcPr/>
          <w:p>
            <w:pPr>
              <w:pStyle w:val="Compact"/>
              <w:jc w:val="right"/>
            </w:pPr>
            <w:r>
              <w:t xml:space="preserve">76.646</w:t>
            </w:r>
          </w:p>
        </w:tc>
        <w:tc>
          <w:tcPr/>
          <w:p>
            <w:pPr>
              <w:pStyle w:val="Compact"/>
              <w:jc w:val="right"/>
            </w:pPr>
            <w:r>
              <w:t xml:space="preserve">1,123.901</w:t>
            </w:r>
          </w:p>
        </w:tc>
        <w:tc>
          <w:tcPr/>
          <w:p>
            <w:pPr>
              <w:pStyle w:val="Compact"/>
              <w:jc w:val="right"/>
            </w:pPr>
            <w:r>
              <w:t xml:space="preserve">14.66</w:t>
            </w:r>
          </w:p>
        </w:tc>
        <w:tc>
          <w:tcPr/>
          <w:p>
            <w:pPr>
              <w:pStyle w:val="Compact"/>
              <w:jc w:val="right"/>
            </w:pPr>
            <w:r>
              <w:t xml:space="preserve">65.5%</w:t>
            </w:r>
          </w:p>
        </w:tc>
        <w:trPr>
          <w:cantSplit/>
        </w:trPr>
      </w:tr>
      <w:tr>
        <w:tc>
          <w:tcPr/>
          <w:p>
            <w:pPr>
              <w:pStyle w:val="Compact"/>
              <w:jc w:val="left"/>
            </w:pPr>
            <w:r>
              <w:t xml:space="preserve">Tet4</w:t>
            </w:r>
          </w:p>
        </w:tc>
        <w:tc>
          <w:tcPr/>
          <w:p>
            <w:pPr>
              <w:pStyle w:val="Compact"/>
              <w:jc w:val="left"/>
            </w:pPr>
            <w:r>
              <w:t xml:space="preserve">iv80</w:t>
            </w:r>
          </w:p>
        </w:tc>
        <w:tc>
          <w:tcPr/>
          <w:p>
            <w:pPr>
              <w:pStyle w:val="Compact"/>
              <w:jc w:val="right"/>
            </w:pPr>
            <w:r>
              <w:t xml:space="preserve">32</w:t>
            </w:r>
          </w:p>
        </w:tc>
        <w:tc>
          <w:tcPr/>
          <w:p>
            <w:pPr>
              <w:pStyle w:val="Compact"/>
              <w:jc w:val="right"/>
            </w:pPr>
            <w:r>
              <w:t xml:space="preserve">531,441</w:t>
            </w:r>
          </w:p>
        </w:tc>
        <w:tc>
          <w:tcPr/>
          <w:p>
            <w:pPr>
              <w:pStyle w:val="Compact"/>
              <w:jc w:val="right"/>
            </w:pPr>
            <w:r>
              <w:t xml:space="preserve">412.866</w:t>
            </w:r>
          </w:p>
        </w:tc>
        <w:tc>
          <w:tcPr/>
          <w:p>
            <w:pPr>
              <w:pStyle w:val="Compact"/>
              <w:jc w:val="right"/>
            </w:pPr>
            <w:r>
              <w:t xml:space="preserve">4,866.953</w:t>
            </w:r>
          </w:p>
        </w:tc>
        <w:tc>
          <w:tcPr/>
          <w:p>
            <w:pPr>
              <w:pStyle w:val="Compact"/>
              <w:jc w:val="right"/>
            </w:pPr>
            <w:r>
              <w:t xml:space="preserve">11.79</w:t>
            </w:r>
          </w:p>
        </w:tc>
        <w:tc>
          <w:tcPr/>
          <w:p>
            <w:pPr>
              <w:pStyle w:val="Compact"/>
              <w:jc w:val="right"/>
            </w:pPr>
            <w:r>
              <w:t xml:space="preserve">55.3%</w:t>
            </w:r>
          </w:p>
        </w:tc>
        <w:trPr>
          <w:cantSplit/>
        </w:trPr>
      </w:tr>
    </w:tbl>
    <w:bookmarkEnd w:id="47"/>
    <w:bookmarkEnd w:id="48"/>
    <w:bookmarkEnd w:id="49"/>
    <w:bookmarkStart w:id="50" w:name="sec:limitations"/>
    <w:p>
      <w:pPr>
        <w:pStyle w:val="Heading1"/>
      </w:pPr>
      <w:r>
        <w:t xml:space="preserve">6. Limitations and required completion studies</w:t>
      </w:r>
    </w:p>
    <w:p>
      <w:pPr>
        <w:pStyle w:val="FirstParagraph"/>
      </w:pPr>
      <w:r>
        <w:t xml:space="preserve">The resource measurements and the absence of production quadrature storage are verified properties of the present implementation. The following items remain before this draft can support a broad journal claim:</w:t>
      </w:r>
    </w:p>
    <w:p>
      <w:pPr>
        <w:numPr>
          <w:ilvl w:val="0"/>
          <w:numId w:val="1003"/>
        </w:numPr>
      </w:pPr>
      <w:r>
        <w:t xml:space="preserve">Reconcile the thesis Tables 5.5–5.6 with archived meshes, solver revision, flux, CFL/time step, error component and norm definition. The thesis reports near-third-order results; the present repository sequence measures a different error and does not yet reproduce an equivalent convergence test.</w:t>
      </w:r>
    </w:p>
    <w:p>
      <w:pPr>
        <w:numPr>
          <w:ilvl w:val="0"/>
          <w:numId w:val="1003"/>
        </w:numPr>
      </w:pPr>
      <w:r>
        <w:t xml:space="preserve">Demonstrate asymptotic solution accuracy with a time-refinement study and more refined meshes; report</w:t>
      </w:r>
      <w:r>
        <w:t xml:space="preserve"> </w:t>
      </w:r>
      <m:oMath>
        <m:sSub>
          <m:e>
            <m:r>
              <m:t>L</m:t>
            </m:r>
          </m:e>
          <m:sub>
            <m:r>
              <m:t>1</m:t>
            </m:r>
          </m:sub>
        </m:sSub>
      </m:oMath>
      <w:r>
        <w:t xml:space="preserve">,</w:t>
      </w:r>
      <w:r>
        <w:t xml:space="preserve"> </w:t>
      </w:r>
      <m:oMath>
        <m:sSub>
          <m:e>
            <m:r>
              <m:t>L</m:t>
            </m:r>
          </m:e>
          <m:sub>
            <m:r>
              <m:t>2</m:t>
            </m:r>
          </m:sub>
        </m:sSub>
      </m:oMath>
      <w:r>
        <w:t xml:space="preserve"> </w:t>
      </w:r>
      <w:r>
        <w:t xml:space="preserve">and</w:t>
      </w:r>
      <w:r>
        <w:t xml:space="preserve"> </w:t>
      </w:r>
      <m:oMath>
        <m:sSub>
          <m:e>
            <m:r>
              <m:t>L</m:t>
            </m:r>
          </m:e>
          <m:sub>
            <m:r>
              <m:rPr>
                <m:sty m:val="p"/>
              </m:rPr>
              <m:t>∞</m:t>
            </m:r>
          </m:sub>
        </m:sSub>
      </m:oMath>
      <w:r>
        <w:t xml:space="preserve"> </w:t>
      </w:r>
      <w:r>
        <w:t xml:space="preserve">norms separately.</w:t>
      </w:r>
    </w:p>
    <w:p>
      <w:pPr>
        <w:numPr>
          <w:ilvl w:val="0"/>
          <w:numId w:val="1003"/>
        </w:numPr>
      </w:pPr>
      <w:r>
        <w:t xml:space="preserve">Repeat inviscid studies with the intended characteristic Roe flux and document all entropy fixes and dissipation choices. The current option called</w:t>
      </w:r>
      <w:r>
        <w:t xml:space="preserve"> </w:t>
      </w:r>
      <w:r>
        <w:rPr>
          <w:rStyle w:val="VerbatimChar"/>
        </w:rPr>
        <w:t xml:space="preserve">Roe_M2</w:t>
      </w:r>
      <w:r>
        <w:t xml:space="preserve"> </w:t>
      </w:r>
      <w:r>
        <w:t xml:space="preserve">follows a scalar local Lax–Friedrichs-type dissipation path and must not be described as standard Roe.</w:t>
      </w:r>
    </w:p>
    <w:p>
      <w:pPr>
        <w:numPr>
          <w:ilvl w:val="0"/>
          <w:numId w:val="1003"/>
        </w:numPr>
      </w:pPr>
      <w:r>
        <w:t xml:space="preserve">Verify viscous accuracy independently. The present differential treatment of inviscid volume/surface functionals does not by itself prove a third-order Navier–Stokes discretization.</w:t>
      </w:r>
    </w:p>
    <w:p>
      <w:pPr>
        <w:numPr>
          <w:ilvl w:val="0"/>
          <w:numId w:val="1003"/>
        </w:numPr>
      </w:pPr>
      <w:r>
        <w:t xml:space="preserve">Add shock, boundary, curved-geometry and weak/strong-scaling studies, with compiler, CPU/GPU, memory and MPI-affinity details sufficient for reproduction.</w:t>
      </w:r>
    </w:p>
    <w:p>
      <w:pPr>
        <w:pStyle w:val="FirstParagraph"/>
      </w:pPr>
      <w:r>
        <w:t xml:space="preserve">These limitations are not cosmetic qualifications. They distinguish the measured reduction of quadrature work from a claim about the asymptotic accuracy of every configuration. This is also consistent with the broader high-order unstructured-grid literature, where boundary treatment, nonlinear dissipation and reconstruction stencil quality must be validated jointly with formal polynomial consistency</w:t>
      </w:r>
      <w:r>
        <w:t xml:space="preserve"> </w:t>
      </w:r>
      <w:r>
        <w:t xml:space="preserve">[1,9,15]</w:t>
      </w:r>
      <w:r>
        <w:t xml:space="preserve">.</w:t>
      </w:r>
    </w:p>
    <w:bookmarkEnd w:id="50"/>
    <w:bookmarkStart w:id="51" w:name="sec:conclusion"/>
    <w:p>
      <w:pPr>
        <w:pStyle w:val="Heading1"/>
      </w:pPr>
      <w:r>
        <w:t xml:space="preserve">7. Conclusions</w:t>
      </w:r>
    </w:p>
    <w:p>
      <w:pPr>
        <w:pStyle w:val="FirstParagraph"/>
      </w:pPr>
      <w:r>
        <w:t xml:space="preserve">Ma’s thesis supplies the mathematical and algorithmic basis for gradient-only reconstruction and differential integration</w:t>
      </w:r>
      <w:r>
        <w:t xml:space="preserve"> </w:t>
      </w:r>
      <w:r>
        <w:t xml:space="preserve">[11]</w:t>
      </w:r>
      <w:r>
        <w:t xml:space="preserve">. The expanded derivation shows how zero-mean least squares, exact simplex moments and an</w:t>
      </w:r>
      <w:r>
        <w:t xml:space="preserve"> </w:t>
      </w:r>
      <m:oMath>
        <m:r>
          <m:t>O</m:t>
        </m:r>
        <m:d>
          <m:dPr>
            <m:begChr m:val="("/>
            <m:endChr m:val=")"/>
            <m:sepChr m:val=""/>
            <m:grow/>
          </m:dPr>
          <m:e>
            <m:sSup>
              <m:e>
                <m:r>
                  <m:t>h</m:t>
                </m:r>
              </m:e>
              <m:sup>
                <m:r>
                  <m:t>2</m:t>
                </m:r>
              </m:sup>
            </m:sSup>
          </m:e>
        </m:d>
      </m:oMath>
      <w:r>
        <w:t xml:space="preserve"> </w:t>
      </w:r>
      <w:r>
        <w:t xml:space="preserve">gradient approximation give a local</w:t>
      </w:r>
      <w:r>
        <w:t xml:space="preserve"> </w:t>
      </w:r>
      <m:oMath>
        <m:r>
          <m:t>O</m:t>
        </m:r>
        <m:d>
          <m:dPr>
            <m:begChr m:val="("/>
            <m:endChr m:val=")"/>
            <m:sepChr m:val=""/>
            <m:grow/>
          </m:dPr>
          <m:e>
            <m:sSup>
              <m:e>
                <m:r>
                  <m:t>h</m:t>
                </m:r>
              </m:e>
              <m:sup>
                <m:r>
                  <m:t>3</m:t>
                </m:r>
              </m:sup>
            </m:sSup>
          </m:e>
        </m:d>
      </m:oMath>
      <w:r>
        <w:t xml:space="preserve"> </w:t>
      </w:r>
      <w:r>
        <w:t xml:space="preserve">point-recovery error when cell averages are sufficiently accurate. Smooth nonlinear flux maps preserve the required value and derivative orders. A frozen macroface Roe matrix explains the reduced characteristic work, with separate qualifications for nonplanar geometry, limiting and viscous terms.</w:t>
      </w:r>
    </w:p>
    <w:p>
      <w:pPr>
        <w:pStyle w:val="BodyText"/>
      </w:pPr>
      <w:r>
        <w:t xml:space="preserve">A node-centred differential-integration finite-volume framework has been formulated and implemented for unstructured mixed-element meshes. A full quadratic least-squares reconstruction supplies gradients, while total-differential identities turn volume and macroface integrals into precomputed gradient weights. The production method stores no Gauss points and no quadratic reconstruction coefficients, and it uses one Riemann solve per primal-edge-associated macroface. An edge-owner MPI protocol makes that flux unique across partitions.</w:t>
      </w:r>
    </w:p>
    <w:p>
      <w:pPr>
        <w:pStyle w:val="BodyText"/>
      </w:pPr>
      <w:r>
        <w:t xml:space="preserve">The conventional-to-differential paired measurements show 4.94–17.36</w:t>
      </w:r>
      <m:oMath>
        <m:r>
          <m:rPr>
            <m:sty m:val="p"/>
          </m:rPr>
          <m:t>×</m:t>
        </m:r>
      </m:oMath>
      <w:r>
        <w:t xml:space="preserve"> </w:t>
      </w:r>
      <w:r>
        <w:t xml:space="preserve">faster marching and 15.6–66.5% lower aggregate PSS in the current inviscid periodic tests. Those efficiency results are substantial and directly traceable to the data representation. In contrast, the current</w:t>
      </w:r>
      <w:r>
        <w:t xml:space="preserve"> </w:t>
      </w:r>
      <m:oMath>
        <m:r>
          <m:t>t</m:t>
        </m:r>
        <m:r>
          <m:rPr>
            <m:sty m:val="p"/>
          </m:rPr>
          <m:t>=</m:t>
        </m:r>
        <m:r>
          <m:t>2</m:t>
        </m:r>
      </m:oMath>
      <w:r>
        <w:t xml:space="preserve"> </w:t>
      </w:r>
      <w:r>
        <w:t xml:space="preserve">convergence sequence shows decreasing errors without stable third-order asymptotics. The appropriate conclusion is therefore that the framework is an efficient, well-audited candidate for a third-order scheme, not that all accuracy requirements have already been met. The completion studies in Section 6 provide a concrete route from this manuscript draft to a submission-ready JCP article.</w:t>
      </w:r>
    </w:p>
    <w:p>
      <w:pPr>
        <w:pStyle w:val="BodyText"/>
      </w:pPr>
      <w:r>
        <w:t xml:space="preserve">The thesis’s separate</w:t>
      </w:r>
      <w:r>
        <w:t xml:space="preserve"> </w:t>
      </w:r>
      <m:oMath>
        <m:sSub>
          <m:e>
            <m:r>
              <m:t>L</m:t>
            </m:r>
          </m:e>
          <m:sub>
            <m:r>
              <m:t>1</m:t>
            </m:r>
          </m:sub>
        </m:sSub>
      </m:oMath>
      <w:r>
        <w:t xml:space="preserve"> </w:t>
      </w:r>
      <w:r>
        <w:t xml:space="preserve">datasets report rates near three, including 3.11, 3.04 and 3.07 for the extruded vortex. Its analytical count predicts 39.8% lower storage and a multiplication ratio of 10.31 for representative tetrahedral connectivity. These source results strengthen the method’s motivation and evidence base, while reproduction under matched settings remains necessary to explain the difference from the current repository convergence sequence.</w:t>
      </w:r>
    </w:p>
    <w:bookmarkEnd w:id="51"/>
    <w:bookmarkStart w:id="52" w:name="data-availability"/>
    <w:p>
      <w:pPr>
        <w:pStyle w:val="Heading1"/>
      </w:pPr>
      <w:r>
        <w:t xml:space="preserve">Data availability</w:t>
      </w:r>
    </w:p>
    <w:p>
      <w:pPr>
        <w:pStyle w:val="FirstParagraph"/>
      </w:pPr>
      <w:r>
        <w:t xml:space="preserve">The thesis source is Runzhi Ma,</w:t>
      </w:r>
      <w:r>
        <w:t xml:space="preserve"> </w:t>
      </w:r>
      <w:r>
        <w:rPr>
          <w:iCs/>
          <w:i/>
        </w:rPr>
        <w:t xml:space="preserve">Research on the Efficient Third-order Vertex-centered Finite Volume Method</w:t>
      </w:r>
      <w:r>
        <w:t xml:space="preserve">, Tsinghua University, April 2026, supplied by the author as a 94-page PDF. Its extracted numerical values are distributed here as</w:t>
      </w:r>
      <w:r>
        <w:t xml:space="preserve"> </w:t>
      </w:r>
      <w:r>
        <w:rPr>
          <w:rStyle w:val="VerbatimChar"/>
        </w:rPr>
        <w:t xml:space="preserve">thesis_reported_convergence.csv</w:t>
      </w:r>
      <w:r>
        <w:t xml:space="preserve">; the supplemental figure is a redraw from those values. Original solver outputs for the thesis tests were not supplied with the PDF. The accompanying source map records printed-page and PDF-page locations.</w:t>
      </w:r>
      <w:r>
        <w:t xml:space="preserve"> </w:t>
      </w:r>
      <w:r>
        <w:t xml:space="preserve">The algorithm implementation, case configurations, diagnostics and numerical summaries used in this draft are maintained in the DNDSR repository. The paired performance CSV is located at the repository root; the accuracy summaries are under</w:t>
      </w:r>
      <w:r>
        <w:t xml:space="preserve"> </w:t>
      </w:r>
      <w:r>
        <w:rPr>
          <w:rStyle w:val="VerbatimChar"/>
        </w:rPr>
        <w:t xml:space="preserve">docs/reports/ncfv_t2_cfl05_thesis_20260907</w:t>
      </w:r>
      <w:r>
        <w:t xml:space="preserve"> </w:t>
      </w:r>
      <w:r>
        <w:t xml:space="preserve">and</w:t>
      </w:r>
      <w:r>
        <w:t xml:space="preserve"> </w:t>
      </w:r>
      <w:r>
        <w:rPr>
          <w:rStyle w:val="VerbatimChar"/>
        </w:rPr>
        <w:t xml:space="preserve">docs/reports/ncfv_traditional_t2_cfl05_20260908</w:t>
      </w:r>
      <w:r>
        <w:t xml:space="preserve">. A public archival identifier and immutable revision should be added before submission.</w:t>
      </w:r>
    </w:p>
    <w:bookmarkEnd w:id="52"/>
    <w:bookmarkStart w:id="53" w:name="declaration-of-competing-interest"/>
    <w:p>
      <w:pPr>
        <w:pStyle w:val="Heading1"/>
      </w:pPr>
      <w:r>
        <w:t xml:space="preserve">Declaration of competing interest</w:t>
      </w:r>
    </w:p>
    <w:p>
      <w:pPr>
        <w:pStyle w:val="FirstParagraph"/>
      </w:pPr>
      <w:r>
        <w:t xml:space="preserve">The authors declare no competing financial interests or personal relationships that could have appeared to influence the work reported in this paper. Replace this placeholder with the authors’ approved declaration before submission.</w:t>
      </w:r>
    </w:p>
    <w:bookmarkEnd w:id="53"/>
    <w:bookmarkStart w:id="54" w:name="credit-authorship-contribution-statement"/>
    <w:p>
      <w:pPr>
        <w:pStyle w:val="Heading1"/>
      </w:pPr>
      <w:r>
        <w:t xml:space="preserve">CRediT authorship contribution statement</w:t>
      </w:r>
    </w:p>
    <w:p>
      <w:pPr>
        <w:pStyle w:val="FirstParagraph"/>
      </w:pPr>
      <w:r>
        <w:t xml:space="preserve">To be completed by the authors before submission.</w:t>
      </w:r>
    </w:p>
    <w:bookmarkEnd w:id="54"/>
    <w:bookmarkStart w:id="85" w:name="bibliography"/>
    <w:p>
      <w:pPr>
        <w:pStyle w:val="Heading1"/>
      </w:pPr>
      <w:r>
        <w:t xml:space="preserve">References</w:t>
      </w:r>
    </w:p>
    <w:bookmarkStart w:id="84" w:name="refs"/>
    <w:bookmarkStart w:id="56" w:name="ref-wang2007review"/>
    <w:p>
      <w:pPr>
        <w:pStyle w:val="Bibliography"/>
      </w:pPr>
      <w:r>
        <w:t xml:space="preserve">[1]</w:t>
      </w:r>
      <w:r>
        <w:t xml:space="preserve"> </w:t>
      </w:r>
      <w:r>
        <w:t xml:space="preserve">	</w:t>
      </w:r>
      <w:r>
        <w:t xml:space="preserve">Z. J. Wang. High-order methods for the</w:t>
      </w:r>
      <w:r>
        <w:t xml:space="preserve"> </w:t>
      </w:r>
      <w:r>
        <w:t xml:space="preserve">Euler</w:t>
      </w:r>
      <w:r>
        <w:t xml:space="preserve"> </w:t>
      </w:r>
      <w:r>
        <w:t xml:space="preserve">and</w:t>
      </w:r>
      <w:r>
        <w:t xml:space="preserve"> </w:t>
      </w:r>
      <w:r>
        <w:t xml:space="preserve">Navier–Stokes</w:t>
      </w:r>
      <w:r>
        <w:t xml:space="preserve"> </w:t>
      </w:r>
      <w:r>
        <w:t xml:space="preserve">equations on unstructured grids.</w:t>
      </w:r>
      <w:r>
        <w:t xml:space="preserve"> </w:t>
      </w:r>
      <w:r>
        <w:rPr>
          <w:iCs/>
          <w:i/>
        </w:rPr>
        <w:t xml:space="preserve">Progress in Aerospace Sciences</w:t>
      </w:r>
      <w:r>
        <w:t xml:space="preserve">, 43(1–3), 2007, 1–41.</w:t>
      </w:r>
      <w:r>
        <w:t xml:space="preserve"> </w:t>
      </w:r>
      <w:hyperlink r:id="rId55">
        <w:r>
          <w:rPr>
            <w:rStyle w:val="Hyperlink"/>
          </w:rPr>
          <w:t xml:space="preserve">https://doi.org/10.1016/j.paerosci.2007.05.001</w:t>
        </w:r>
      </w:hyperlink>
    </w:p>
    <w:bookmarkEnd w:id="56"/>
    <w:bookmarkStart w:id="58" w:name="ref-barth1990"/>
    <w:p>
      <w:pPr>
        <w:pStyle w:val="Bibliography"/>
      </w:pPr>
      <w:r>
        <w:t xml:space="preserve">[2]</w:t>
      </w:r>
      <w:r>
        <w:t xml:space="preserve"> </w:t>
      </w:r>
      <w:r>
        <w:t xml:space="preserve">	</w:t>
      </w:r>
      <w:r>
        <w:t xml:space="preserve">T. J. Barth, P. O. Frederickson. Higher order solution of the</w:t>
      </w:r>
      <w:r>
        <w:t xml:space="preserve"> </w:t>
      </w:r>
      <w:r>
        <w:t xml:space="preserve">Euler</w:t>
      </w:r>
      <w:r>
        <w:t xml:space="preserve"> </w:t>
      </w:r>
      <w:r>
        <w:t xml:space="preserve">equations on unstructured grids using quadratic reconstruction.</w:t>
      </w:r>
      <w:r>
        <w:t xml:space="preserve"> </w:t>
      </w:r>
      <w:r>
        <w:rPr>
          <w:iCs/>
          <w:i/>
        </w:rPr>
        <w:t xml:space="preserve">28th aerospace sciences meeting</w:t>
      </w:r>
      <w:r>
        <w:t xml:space="preserve">, 1990.</w:t>
      </w:r>
      <w:r>
        <w:t xml:space="preserve"> </w:t>
      </w:r>
      <w:hyperlink r:id="rId57">
        <w:r>
          <w:rPr>
            <w:rStyle w:val="Hyperlink"/>
          </w:rPr>
          <w:t xml:space="preserve">https://doi.org/10.2514/6.1990-13</w:t>
        </w:r>
      </w:hyperlink>
    </w:p>
    <w:bookmarkEnd w:id="58"/>
    <w:bookmarkStart w:id="60" w:name="ref-ollivier2002"/>
    <w:p>
      <w:pPr>
        <w:pStyle w:val="Bibliography"/>
      </w:pPr>
      <w:r>
        <w:t xml:space="preserve">[3]</w:t>
      </w:r>
      <w:r>
        <w:t xml:space="preserve"> </w:t>
      </w:r>
      <w:r>
        <w:t xml:space="preserve">	</w:t>
      </w:r>
      <w:r>
        <w:t xml:space="preserve">C. F. Ollivier-Gooch, M. Van Altena. A high-order-accurate unstructured mesh finite-volume scheme for the advection–diffusion equation.</w:t>
      </w:r>
      <w:r>
        <w:t xml:space="preserve"> </w:t>
      </w:r>
      <w:r>
        <w:rPr>
          <w:iCs/>
          <w:i/>
        </w:rPr>
        <w:t xml:space="preserve">Journal of Computational Physics</w:t>
      </w:r>
      <w:r>
        <w:t xml:space="preserve">, 181(2), 2002, 729–752.</w:t>
      </w:r>
      <w:r>
        <w:t xml:space="preserve"> </w:t>
      </w:r>
      <w:hyperlink r:id="rId59">
        <w:r>
          <w:rPr>
            <w:rStyle w:val="Hyperlink"/>
          </w:rPr>
          <w:t xml:space="preserve">https://doi.org/10.1006/jcph.2002.7159</w:t>
        </w:r>
      </w:hyperlink>
    </w:p>
    <w:bookmarkEnd w:id="60"/>
    <w:bookmarkStart w:id="62" w:name="ref-dumbser2007"/>
    <w:p>
      <w:pPr>
        <w:pStyle w:val="Bibliography"/>
      </w:pPr>
      <w:r>
        <w:t xml:space="preserve">[4]</w:t>
      </w:r>
      <w:r>
        <w:t xml:space="preserve"> </w:t>
      </w:r>
      <w:r>
        <w:t xml:space="preserve">	</w:t>
      </w:r>
      <w:r>
        <w:t xml:space="preserve">M. Dumbser, M. Käser, V. A. Titarev, E. F. Toro. Quadrature-free non-oscillatory finite volume schemes on unstructured meshes for nonlinear hyperbolic systems.</w:t>
      </w:r>
      <w:r>
        <w:t xml:space="preserve"> </w:t>
      </w:r>
      <w:r>
        <w:rPr>
          <w:iCs/>
          <w:i/>
        </w:rPr>
        <w:t xml:space="preserve">Journal of Computational Physics</w:t>
      </w:r>
      <w:r>
        <w:t xml:space="preserve">, 226(1), 2007, 204–243.</w:t>
      </w:r>
      <w:r>
        <w:t xml:space="preserve"> </w:t>
      </w:r>
      <w:hyperlink r:id="rId61">
        <w:r>
          <w:rPr>
            <w:rStyle w:val="Hyperlink"/>
          </w:rPr>
          <w:t xml:space="preserve">https://doi.org/10.1016/j.jcp.2007.04.004</w:t>
        </w:r>
      </w:hyperlink>
    </w:p>
    <w:bookmarkEnd w:id="62"/>
    <w:bookmarkStart w:id="64" w:name="ref-wang2002sv"/>
    <w:p>
      <w:pPr>
        <w:pStyle w:val="Bibliography"/>
      </w:pPr>
      <w:r>
        <w:t xml:space="preserve">[5]</w:t>
      </w:r>
      <w:r>
        <w:t xml:space="preserve"> </w:t>
      </w:r>
      <w:r>
        <w:t xml:space="preserve">	</w:t>
      </w:r>
      <w:r>
        <w:t xml:space="preserve">Z. J. Wang. Spectral (finite) volume method for conservation laws on unstructured grids.</w:t>
      </w:r>
      <w:r>
        <w:t xml:space="preserve"> </w:t>
      </w:r>
      <w:r>
        <w:t xml:space="preserve">B</w:t>
      </w:r>
      <w:r>
        <w:t xml:space="preserve">asic formulation.</w:t>
      </w:r>
      <w:r>
        <w:t xml:space="preserve"> </w:t>
      </w:r>
      <w:r>
        <w:rPr>
          <w:iCs/>
          <w:i/>
        </w:rPr>
        <w:t xml:space="preserve">Journal of Computational Physics</w:t>
      </w:r>
      <w:r>
        <w:t xml:space="preserve">, 178(1), 2002, 210–251.</w:t>
      </w:r>
      <w:r>
        <w:t xml:space="preserve"> </w:t>
      </w:r>
      <w:hyperlink r:id="rId63">
        <w:r>
          <w:rPr>
            <w:rStyle w:val="Hyperlink"/>
          </w:rPr>
          <w:t xml:space="preserve">https://doi.org/10.1006/jcph.2002.7041</w:t>
        </w:r>
      </w:hyperlink>
    </w:p>
    <w:bookmarkEnd w:id="64"/>
    <w:bookmarkStart w:id="66" w:name="ref-harris2008"/>
    <w:p>
      <w:pPr>
        <w:pStyle w:val="Bibliography"/>
      </w:pPr>
      <w:r>
        <w:t xml:space="preserve">[6]</w:t>
      </w:r>
      <w:r>
        <w:t xml:space="preserve"> </w:t>
      </w:r>
      <w:r>
        <w:t xml:space="preserve">	</w:t>
      </w:r>
      <w:r>
        <w:t xml:space="preserve">R. Harris, Z. J. Wang, Y. Liu. Efficient quadrature-free high-order spectral volume method on unstructured grids:</w:t>
      </w:r>
      <w:r>
        <w:t xml:space="preserve"> </w:t>
      </w:r>
      <w:r>
        <w:t xml:space="preserve">T</w:t>
      </w:r>
      <w:r>
        <w:t xml:space="preserve">heory and</w:t>
      </w:r>
      <w:r>
        <w:t xml:space="preserve"> </w:t>
      </w:r>
      <w:r>
        <w:t xml:space="preserve">2D</w:t>
      </w:r>
      <w:r>
        <w:t xml:space="preserve"> </w:t>
      </w:r>
      <w:r>
        <w:t xml:space="preserve">implementation.</w:t>
      </w:r>
      <w:r>
        <w:t xml:space="preserve"> </w:t>
      </w:r>
      <w:r>
        <w:rPr>
          <w:iCs/>
          <w:i/>
        </w:rPr>
        <w:t xml:space="preserve">Journal of Computational Physics</w:t>
      </w:r>
      <w:r>
        <w:t xml:space="preserve">, 227(3), 2008, 1620–1642.</w:t>
      </w:r>
      <w:r>
        <w:t xml:space="preserve"> </w:t>
      </w:r>
      <w:hyperlink r:id="rId65">
        <w:r>
          <w:rPr>
            <w:rStyle w:val="Hyperlink"/>
          </w:rPr>
          <w:t xml:space="preserve">https://doi.org/10.1016/j.jcp.2007.09.012</w:t>
        </w:r>
      </w:hyperlink>
    </w:p>
    <w:bookmarkEnd w:id="66"/>
    <w:bookmarkStart w:id="68" w:name="ref-pont2017"/>
    <w:p>
      <w:pPr>
        <w:pStyle w:val="Bibliography"/>
      </w:pPr>
      <w:r>
        <w:t xml:space="preserve">[7]</w:t>
      </w:r>
      <w:r>
        <w:t xml:space="preserve"> </w:t>
      </w:r>
      <w:r>
        <w:t xml:space="preserve">	</w:t>
      </w:r>
      <w:r>
        <w:t xml:space="preserve">G. Pont, P. Brenner, P. Cinnella, B. Maugars, J.-C. Robinet. Multiple-correction hybrid</w:t>
      </w:r>
      <w:r>
        <w:t xml:space="preserve"> </w:t>
      </w:r>
      <m:oMath>
        <m:r>
          <m:t>k</m:t>
        </m:r>
      </m:oMath>
      <w:r>
        <w:t xml:space="preserve">-exact schemes for high-order compressible</w:t>
      </w:r>
      <w:r>
        <w:t xml:space="preserve"> </w:t>
      </w:r>
      <w:r>
        <w:t xml:space="preserve">RANS–LES</w:t>
      </w:r>
      <w:r>
        <w:t xml:space="preserve"> </w:t>
      </w:r>
      <w:r>
        <w:t xml:space="preserve">simulations on fully unstructured grids.</w:t>
      </w:r>
      <w:r>
        <w:t xml:space="preserve"> </w:t>
      </w:r>
      <w:r>
        <w:rPr>
          <w:iCs/>
          <w:i/>
        </w:rPr>
        <w:t xml:space="preserve">Journal of Computational Physics</w:t>
      </w:r>
      <w:r>
        <w:t xml:space="preserve">, 350, 2017, 45–83.</w:t>
      </w:r>
      <w:r>
        <w:t xml:space="preserve"> </w:t>
      </w:r>
      <w:hyperlink r:id="rId67">
        <w:r>
          <w:rPr>
            <w:rStyle w:val="Hyperlink"/>
          </w:rPr>
          <w:t xml:space="preserve">https://doi.org/10.1016/j.jcp.2017.08.036</w:t>
        </w:r>
      </w:hyperlink>
    </w:p>
    <w:bookmarkEnd w:id="68"/>
    <w:bookmarkStart w:id="70" w:name="ref-wang2017"/>
    <w:p>
      <w:pPr>
        <w:pStyle w:val="Bibliography"/>
      </w:pPr>
      <w:r>
        <w:t xml:space="preserve">[8]</w:t>
      </w:r>
      <w:r>
        <w:t xml:space="preserve"> </w:t>
      </w:r>
      <w:r>
        <w:t xml:space="preserve">	</w:t>
      </w:r>
      <w:r>
        <w:t xml:space="preserve">Q. Wang, Y.-X. Ren, J. Pan, W. Li. Compact high order finite volume method on unstructured grids</w:t>
      </w:r>
      <w:r>
        <w:t xml:space="preserve"> </w:t>
      </w:r>
      <w:r>
        <w:t xml:space="preserve">III</w:t>
      </w:r>
      <w:r>
        <w:t xml:space="preserve">:</w:t>
      </w:r>
      <w:r>
        <w:t xml:space="preserve"> </w:t>
      </w:r>
      <w:r>
        <w:t xml:space="preserve">V</w:t>
      </w:r>
      <w:r>
        <w:t xml:space="preserve">ariational reconstruction.</w:t>
      </w:r>
      <w:r>
        <w:t xml:space="preserve"> </w:t>
      </w:r>
      <w:r>
        <w:rPr>
          <w:iCs/>
          <w:i/>
        </w:rPr>
        <w:t xml:space="preserve">Journal of Computational Physics</w:t>
      </w:r>
      <w:r>
        <w:t xml:space="preserve">, 337, 2017, 1–26.</w:t>
      </w:r>
      <w:r>
        <w:t xml:space="preserve"> </w:t>
      </w:r>
      <w:hyperlink r:id="rId69">
        <w:r>
          <w:rPr>
            <w:rStyle w:val="Hyperlink"/>
          </w:rPr>
          <w:t xml:space="preserve">https://doi.org/10.1016/j.jcp.2017.02.031</w:t>
        </w:r>
      </w:hyperlink>
    </w:p>
    <w:bookmarkEnd w:id="70"/>
    <w:bookmarkStart w:id="72" w:name="ref-setzwein2021"/>
    <w:p>
      <w:pPr>
        <w:pStyle w:val="Bibliography"/>
      </w:pPr>
      <w:r>
        <w:t xml:space="preserve">[9]</w:t>
      </w:r>
      <w:r>
        <w:t xml:space="preserve"> </w:t>
      </w:r>
      <w:r>
        <w:t xml:space="preserve">	</w:t>
      </w:r>
      <w:r>
        <w:t xml:space="preserve">F. Setzwein, P. Ess, P. Gerlinger. An implicit high-order</w:t>
      </w:r>
      <w:r>
        <w:t xml:space="preserve"> </w:t>
      </w:r>
      <m:oMath>
        <m:r>
          <m:t>k</m:t>
        </m:r>
      </m:oMath>
      <w:r>
        <w:t xml:space="preserve">-exact finite-volume approach on vertex-centered unstructured grids for incompressible flows.</w:t>
      </w:r>
      <w:r>
        <w:t xml:space="preserve"> </w:t>
      </w:r>
      <w:r>
        <w:rPr>
          <w:iCs/>
          <w:i/>
        </w:rPr>
        <w:t xml:space="preserve">Journal of Computational Physics</w:t>
      </w:r>
      <w:r>
        <w:t xml:space="preserve">, 446, 2021, 110629.</w:t>
      </w:r>
      <w:r>
        <w:t xml:space="preserve"> </w:t>
      </w:r>
      <w:hyperlink r:id="rId71">
        <w:r>
          <w:rPr>
            <w:rStyle w:val="Hyperlink"/>
          </w:rPr>
          <w:t xml:space="preserve">https://doi.org/10.1016/j.jcp.2021.110629</w:t>
        </w:r>
      </w:hyperlink>
    </w:p>
    <w:bookmarkEnd w:id="72"/>
    <w:bookmarkStart w:id="74" w:name="ref-setzwein2022"/>
    <w:p>
      <w:pPr>
        <w:pStyle w:val="Bibliography"/>
      </w:pPr>
      <w:r>
        <w:t xml:space="preserve">[10]</w:t>
      </w:r>
      <w:r>
        <w:t xml:space="preserve"> </w:t>
      </w:r>
      <w:r>
        <w:t xml:space="preserve">	</w:t>
      </w:r>
      <w:r>
        <w:t xml:space="preserve">F. Setzwein, P. Ess, P. Gerlinger. Adaptive numerical dissipation control for high-order</w:t>
      </w:r>
      <w:r>
        <w:t xml:space="preserve"> </w:t>
      </w:r>
      <m:oMath>
        <m:r>
          <m:t>k</m:t>
        </m:r>
      </m:oMath>
      <w:r>
        <w:t xml:space="preserve">-exact reconstruction schemes on vertex-centered unstructured grids using artificial neural networks.</w:t>
      </w:r>
      <w:r>
        <w:t xml:space="preserve"> </w:t>
      </w:r>
      <w:r>
        <w:rPr>
          <w:iCs/>
          <w:i/>
        </w:rPr>
        <w:t xml:space="preserve">Journal of Computational Physics</w:t>
      </w:r>
      <w:r>
        <w:t xml:space="preserve">, 471, 2022, 111633.</w:t>
      </w:r>
      <w:r>
        <w:t xml:space="preserve"> </w:t>
      </w:r>
      <w:hyperlink r:id="rId73">
        <w:r>
          <w:rPr>
            <w:rStyle w:val="Hyperlink"/>
          </w:rPr>
          <w:t xml:space="preserve">https://doi.org/10.1016/j.jcp.2022.111633</w:t>
        </w:r>
      </w:hyperlink>
    </w:p>
    <w:bookmarkEnd w:id="74"/>
    <w:bookmarkStart w:id="75" w:name="ref-ma2026thesis"/>
    <w:p>
      <w:pPr>
        <w:pStyle w:val="Bibliography"/>
      </w:pPr>
      <w:r>
        <w:t xml:space="preserve">[11]</w:t>
      </w:r>
      <w:r>
        <w:t xml:space="preserve"> </w:t>
      </w:r>
      <w:r>
        <w:t xml:space="preserve">	</w:t>
      </w:r>
      <w:r>
        <w:t xml:space="preserve">R. Ma. Research on the efficient third-order vertex-centered finite volume method. Master's thesis, Tsinghua University, 2026. In Chinese; author-supplied thesis, Chapters 3–5</w:t>
      </w:r>
    </w:p>
    <w:bookmarkEnd w:id="75"/>
    <w:bookmarkStart w:id="77" w:name="ref-liu1998"/>
    <w:p>
      <w:pPr>
        <w:pStyle w:val="Bibliography"/>
      </w:pPr>
      <w:r>
        <w:t xml:space="preserve">[12]</w:t>
      </w:r>
      <w:r>
        <w:t xml:space="preserve"> </w:t>
      </w:r>
      <w:r>
        <w:t xml:space="preserve">	</w:t>
      </w:r>
      <w:r>
        <w:t xml:space="preserve">Y. Liu, M. Vinokur. Exact integrations of polynomials and symmetric quadrature formulas over arbitrary polyhedral grids.</w:t>
      </w:r>
      <w:r>
        <w:t xml:space="preserve"> </w:t>
      </w:r>
      <w:r>
        <w:rPr>
          <w:iCs/>
          <w:i/>
        </w:rPr>
        <w:t xml:space="preserve">Journal of Computational Physics</w:t>
      </w:r>
      <w:r>
        <w:t xml:space="preserve">, 140(1), 1998, 122–147.</w:t>
      </w:r>
      <w:r>
        <w:t xml:space="preserve"> </w:t>
      </w:r>
      <w:hyperlink r:id="rId76">
        <w:r>
          <w:rPr>
            <w:rStyle w:val="Hyperlink"/>
          </w:rPr>
          <w:t xml:space="preserve">https://doi.org/10.1006/jcph.1998.5884</w:t>
        </w:r>
      </w:hyperlink>
    </w:p>
    <w:bookmarkEnd w:id="77"/>
    <w:bookmarkStart w:id="79" w:name="ref-nishikawa2023"/>
    <w:p>
      <w:pPr>
        <w:pStyle w:val="Bibliography"/>
      </w:pPr>
      <w:r>
        <w:t xml:space="preserve">[13]</w:t>
      </w:r>
      <w:r>
        <w:t xml:space="preserve"> </w:t>
      </w:r>
      <w:r>
        <w:t xml:space="preserve">	</w:t>
      </w:r>
      <w:r>
        <w:t xml:space="preserve">H. Nishikawa, J. A. White. An efficient quadratic interpolation scheme for a third-order cell-centered finite-volume method on tetrahedral grids.</w:t>
      </w:r>
      <w:r>
        <w:t xml:space="preserve"> </w:t>
      </w:r>
      <w:r>
        <w:rPr>
          <w:iCs/>
          <w:i/>
        </w:rPr>
        <w:t xml:space="preserve">Journal of Computational Physics</w:t>
      </w:r>
      <w:r>
        <w:t xml:space="preserve">, 490, 2023, 112324.</w:t>
      </w:r>
      <w:r>
        <w:t xml:space="preserve"> </w:t>
      </w:r>
      <w:hyperlink r:id="rId78">
        <w:r>
          <w:rPr>
            <w:rStyle w:val="Hyperlink"/>
          </w:rPr>
          <w:t xml:space="preserve">https://doi.org/10.1016/j.jcp.2023.112324</w:t>
        </w:r>
      </w:hyperlink>
    </w:p>
    <w:bookmarkEnd w:id="79"/>
    <w:bookmarkStart w:id="81" w:name="ref-roe1981"/>
    <w:p>
      <w:pPr>
        <w:pStyle w:val="Bibliography"/>
      </w:pPr>
      <w:r>
        <w:t xml:space="preserve">[14]</w:t>
      </w:r>
      <w:r>
        <w:t xml:space="preserve"> </w:t>
      </w:r>
      <w:r>
        <w:t xml:space="preserve">	</w:t>
      </w:r>
      <w:r>
        <w:t xml:space="preserve">P. L. Roe. Approximate</w:t>
      </w:r>
      <w:r>
        <w:t xml:space="preserve"> </w:t>
      </w:r>
      <w:r>
        <w:t xml:space="preserve">Riemann</w:t>
      </w:r>
      <w:r>
        <w:t xml:space="preserve"> </w:t>
      </w:r>
      <w:r>
        <w:t xml:space="preserve">solvers, parameter vectors, and difference schemes.</w:t>
      </w:r>
      <w:r>
        <w:t xml:space="preserve"> </w:t>
      </w:r>
      <w:r>
        <w:rPr>
          <w:iCs/>
          <w:i/>
        </w:rPr>
        <w:t xml:space="preserve">Journal of Computational Physics</w:t>
      </w:r>
      <w:r>
        <w:t xml:space="preserve">, 43(2), 1981, 357–372.</w:t>
      </w:r>
      <w:r>
        <w:t xml:space="preserve"> </w:t>
      </w:r>
      <w:hyperlink r:id="rId80">
        <w:r>
          <w:rPr>
            <w:rStyle w:val="Hyperlink"/>
          </w:rPr>
          <w:t xml:space="preserve">https://doi.org/10.1016/0021-9991(81)90128-5</w:t>
        </w:r>
      </w:hyperlink>
    </w:p>
    <w:bookmarkEnd w:id="81"/>
    <w:bookmarkStart w:id="83" w:name="ref-chen2022"/>
    <w:p>
      <w:pPr>
        <w:pStyle w:val="Bibliography"/>
      </w:pPr>
      <w:r>
        <w:t xml:space="preserve">[15]</w:t>
      </w:r>
      <w:r>
        <w:t xml:space="preserve"> </w:t>
      </w:r>
      <w:r>
        <w:t xml:space="preserve">	</w:t>
      </w:r>
      <w:r>
        <w:t xml:space="preserve">Z. Chen, F. Zhang, J. Liu, B. Chen. A vertex-based reconstruction for cell-centered finite-volume discretization on unstructured grids.</w:t>
      </w:r>
      <w:r>
        <w:t xml:space="preserve"> </w:t>
      </w:r>
      <w:r>
        <w:rPr>
          <w:iCs/>
          <w:i/>
        </w:rPr>
        <w:t xml:space="preserve">Journal of Computational Physics</w:t>
      </w:r>
      <w:r>
        <w:t xml:space="preserve">, 451, 2022, 110827.</w:t>
      </w:r>
      <w:r>
        <w:t xml:space="preserve"> </w:t>
      </w:r>
      <w:hyperlink r:id="rId82">
        <w:r>
          <w:rPr>
            <w:rStyle w:val="Hyperlink"/>
          </w:rPr>
          <w:t xml:space="preserve">https://doi.org/10.1016/j.jcp.2021.110827</w:t>
        </w:r>
      </w:hyperlink>
    </w:p>
    <w:bookmarkEnd w:id="83"/>
    <w:bookmarkEnd w:id="84"/>
    <w:bookmarkEnd w:id="85"/>
    <w:sectPr>
      <w:pgSz w:w="11906" w:h="16838"/>
      <w:pgMar w:top="1389" w:right="1389" w:bottom="1389" w:left="13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ascii="Times New Roman" w:hAnsi="Times New Roman" w:cs="Times New Roman"/>
        <w:sz w:val="22"/>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hAnsi="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hyperlink" Id="rId76" Target="https://doi.org/10.1006/jcph.1998.5884" TargetMode="External" /><Relationship Type="http://schemas.openxmlformats.org/officeDocument/2006/relationships/hyperlink" Id="rId63" Target="https://doi.org/10.1006/jcph.2002.7041" TargetMode="External" /><Relationship Type="http://schemas.openxmlformats.org/officeDocument/2006/relationships/hyperlink" Id="rId59" Target="https://doi.org/10.1006/jcph.2002.7159" TargetMode="External" /><Relationship Type="http://schemas.openxmlformats.org/officeDocument/2006/relationships/hyperlink" Id="rId80" Target="https://doi.org/10.1016/0021-9991(81)90128-5" TargetMode="External" /><Relationship Type="http://schemas.openxmlformats.org/officeDocument/2006/relationships/hyperlink" Id="rId61" Target="https://doi.org/10.1016/j.jcp.2007.04.004" TargetMode="External" /><Relationship Type="http://schemas.openxmlformats.org/officeDocument/2006/relationships/hyperlink" Id="rId65" Target="https://doi.org/10.1016/j.jcp.2007.09.012" TargetMode="External" /><Relationship Type="http://schemas.openxmlformats.org/officeDocument/2006/relationships/hyperlink" Id="rId69" Target="https://doi.org/10.1016/j.jcp.2017.02.031" TargetMode="External" /><Relationship Type="http://schemas.openxmlformats.org/officeDocument/2006/relationships/hyperlink" Id="rId67" Target="https://doi.org/10.1016/j.jcp.2017.08.036" TargetMode="External" /><Relationship Type="http://schemas.openxmlformats.org/officeDocument/2006/relationships/hyperlink" Id="rId71" Target="https://doi.org/10.1016/j.jcp.2021.110629" TargetMode="External" /><Relationship Type="http://schemas.openxmlformats.org/officeDocument/2006/relationships/hyperlink" Id="rId82" Target="https://doi.org/10.1016/j.jcp.2021.110827" TargetMode="External" /><Relationship Type="http://schemas.openxmlformats.org/officeDocument/2006/relationships/hyperlink" Id="rId73" Target="https://doi.org/10.1016/j.jcp.2022.111633" TargetMode="External" /><Relationship Type="http://schemas.openxmlformats.org/officeDocument/2006/relationships/hyperlink" Id="rId78" Target="https://doi.org/10.1016/j.jcp.2023.112324" TargetMode="External" /><Relationship Type="http://schemas.openxmlformats.org/officeDocument/2006/relationships/hyperlink" Id="rId55" Target="https://doi.org/10.1016/j.paerosci.2007.05.001" TargetMode="External" /><Relationship Type="http://schemas.openxmlformats.org/officeDocument/2006/relationships/hyperlink" Id="rId57" Target="https://doi.org/10.2514/6.1990-13"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06/jcph.1998.5884" TargetMode="External" /><Relationship Type="http://schemas.openxmlformats.org/officeDocument/2006/relationships/hyperlink" Id="rId63" Target="https://doi.org/10.1006/jcph.2002.7041" TargetMode="External" /><Relationship Type="http://schemas.openxmlformats.org/officeDocument/2006/relationships/hyperlink" Id="rId59" Target="https://doi.org/10.1006/jcph.2002.7159" TargetMode="External" /><Relationship Type="http://schemas.openxmlformats.org/officeDocument/2006/relationships/hyperlink" Id="rId80" Target="https://doi.org/10.1016/0021-9991(81)90128-5" TargetMode="External" /><Relationship Type="http://schemas.openxmlformats.org/officeDocument/2006/relationships/hyperlink" Id="rId61" Target="https://doi.org/10.1016/j.jcp.2007.04.004" TargetMode="External" /><Relationship Type="http://schemas.openxmlformats.org/officeDocument/2006/relationships/hyperlink" Id="rId65" Target="https://doi.org/10.1016/j.jcp.2007.09.012" TargetMode="External" /><Relationship Type="http://schemas.openxmlformats.org/officeDocument/2006/relationships/hyperlink" Id="rId69" Target="https://doi.org/10.1016/j.jcp.2017.02.031" TargetMode="External" /><Relationship Type="http://schemas.openxmlformats.org/officeDocument/2006/relationships/hyperlink" Id="rId67" Target="https://doi.org/10.1016/j.jcp.2017.08.036" TargetMode="External" /><Relationship Type="http://schemas.openxmlformats.org/officeDocument/2006/relationships/hyperlink" Id="rId71" Target="https://doi.org/10.1016/j.jcp.2021.110629" TargetMode="External" /><Relationship Type="http://schemas.openxmlformats.org/officeDocument/2006/relationships/hyperlink" Id="rId82" Target="https://doi.org/10.1016/j.jcp.2021.110827" TargetMode="External" /><Relationship Type="http://schemas.openxmlformats.org/officeDocument/2006/relationships/hyperlink" Id="rId73" Target="https://doi.org/10.1016/j.jcp.2022.111633" TargetMode="External" /><Relationship Type="http://schemas.openxmlformats.org/officeDocument/2006/relationships/hyperlink" Id="rId78" Target="https://doi.org/10.1016/j.jcp.2023.112324" TargetMode="External" /><Relationship Type="http://schemas.openxmlformats.org/officeDocument/2006/relationships/hyperlink" Id="rId55" Target="https://doi.org/10.1016/j.paerosci.2007.05.001" TargetMode="External" /><Relationship Type="http://schemas.openxmlformats.org/officeDocument/2006/relationships/hyperlink" Id="rId57" Target="https://doi.org/10.2514/6.1990-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differential-integration node-centred finite-volume framework for efficient high-order reconstruction on unstructured meshes</dc:title>
  <dc:creator>Author names and affiliations to be inserted</dc:creator>
  <cp:keywords/>
  <dcterms:created xsi:type="dcterms:W3CDTF">2026-09-15T03:48:18Z</dcterms:created>
  <dcterms:modified xsi:type="dcterms:W3CDTF">2026-09-15T03:48:18Z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numeric.csl</vt:lpwstr>
  </property>
  <property fmtid="{D5CDD505-2E9C-101B-9397-08002B2CF9AE}" pid="4" name="date">
    <vt:lpwstr>15 September 2026</vt:lpwstr>
  </property>
  <property fmtid="{D5CDD505-2E9C-101B-9397-08002B2CF9AE}" pid="5" name="reference-section-title">
    <vt:lpwstr>References</vt:lpwstr>
  </property>
</Properties>
</file>