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94E5" w14:textId="77777777" w:rsidR="00B17889" w:rsidRPr="00B17889" w:rsidRDefault="00B17889" w:rsidP="00B17889">
      <w:r w:rsidRPr="00B17889">
        <w:t>Shard Node Selection</w:t>
      </w:r>
    </w:p>
    <w:p w14:paraId="4E9012B2" w14:textId="77777777" w:rsidR="00B17889" w:rsidRPr="00B17889" w:rsidRDefault="00B17889" w:rsidP="00B17889">
      <w:r w:rsidRPr="00B17889">
        <w:t>Primary Shard Selection Process</w:t>
      </w:r>
    </w:p>
    <w:p w14:paraId="2C06842A" w14:textId="082A1A19" w:rsidR="0021233F" w:rsidRDefault="00B17889" w:rsidP="00B17889">
      <w:r w:rsidRPr="00B17889">
        <w:t>In MongoDB, the primary shard for a new database is selected by the mongos process. The selection is based on identifying the shard with the least amount of data, as determined by the totalSize field from the listDatabases command. This approach aims to balance the load across the cluster by distributing databases to shards with more available capacity</w:t>
      </w:r>
    </w:p>
    <w:p w14:paraId="0B9C0D6B" w14:textId="77777777" w:rsidR="00B17889" w:rsidRPr="00B17889" w:rsidRDefault="00B17889" w:rsidP="00B17889">
      <w:r w:rsidRPr="00B17889">
        <w:t>Technical Criteria and Considerations</w:t>
      </w:r>
    </w:p>
    <w:p w14:paraId="7CBB7891" w14:textId="77777777" w:rsidR="00B17889" w:rsidRPr="00B17889" w:rsidRDefault="00B17889" w:rsidP="00B17889">
      <w:pPr>
        <w:numPr>
          <w:ilvl w:val="0"/>
          <w:numId w:val="1"/>
        </w:numPr>
      </w:pPr>
      <w:r w:rsidRPr="00B17889">
        <w:rPr>
          <w:b/>
          <w:bCs/>
        </w:rPr>
        <w:t>Data Size</w:t>
      </w:r>
      <w:r w:rsidRPr="00B17889">
        <w:t>: The primary criterion for selecting a primary shard is the current data size on each shard. The shard with the least data is chosen to ensure even distribution of data across the cluster.</w:t>
      </w:r>
    </w:p>
    <w:p w14:paraId="224687F1" w14:textId="77777777" w:rsidR="00B17889" w:rsidRDefault="00B17889" w:rsidP="00B17889"/>
    <w:p w14:paraId="49D7E59A" w14:textId="77777777" w:rsidR="00B17889" w:rsidRPr="00B17889" w:rsidRDefault="00B17889" w:rsidP="00B17889">
      <w:r w:rsidRPr="00B17889">
        <w:t>Multi-Tenancy Options</w:t>
      </w:r>
    </w:p>
    <w:p w14:paraId="7A902500" w14:textId="77777777" w:rsidR="00B17889" w:rsidRPr="00B17889" w:rsidRDefault="00B17889" w:rsidP="00B17889">
      <w:r w:rsidRPr="00B17889">
        <w:t>Impact of Dedicated Shards in Multi-Tenant Clusters</w:t>
      </w:r>
    </w:p>
    <w:p w14:paraId="06E87A59" w14:textId="77777777" w:rsidR="00B17889" w:rsidRPr="00B17889" w:rsidRDefault="00B17889" w:rsidP="00B17889">
      <w:r w:rsidRPr="00B17889">
        <w:t>In a multi-tenant sharded cluster, assigning dedicated shards to each tenant can help segregate loads effectively. However, onboarding and offboarding tenants can impact overall cluster performance:</w:t>
      </w:r>
    </w:p>
    <w:p w14:paraId="1FAA59DD" w14:textId="77777777" w:rsidR="00B17889" w:rsidRPr="00B17889" w:rsidRDefault="00B17889" w:rsidP="00B17889">
      <w:pPr>
        <w:numPr>
          <w:ilvl w:val="0"/>
          <w:numId w:val="2"/>
        </w:numPr>
      </w:pPr>
      <w:r w:rsidRPr="00B17889">
        <w:rPr>
          <w:b/>
          <w:bCs/>
        </w:rPr>
        <w:t>Onboarding Tenants</w:t>
      </w:r>
      <w:r w:rsidRPr="00B17889">
        <w:t>: Adding new tenants may require redistributing existing data or adding new shards, which can temporarily increase load and affect performance.</w:t>
      </w:r>
    </w:p>
    <w:p w14:paraId="6546293B" w14:textId="77777777" w:rsidR="00B17889" w:rsidRPr="00B17889" w:rsidRDefault="00B17889" w:rsidP="00B17889">
      <w:pPr>
        <w:numPr>
          <w:ilvl w:val="0"/>
          <w:numId w:val="2"/>
        </w:numPr>
      </w:pPr>
      <w:r w:rsidRPr="00B17889">
        <w:rPr>
          <w:b/>
          <w:bCs/>
        </w:rPr>
        <w:t>Offboarding Tenants</w:t>
      </w:r>
      <w:r w:rsidRPr="00B17889">
        <w:t>: Removing tenants involves migrating their data off the dedicated shard, which can also affect performance due to data movement operations.</w:t>
      </w:r>
    </w:p>
    <w:p w14:paraId="69BF3975" w14:textId="77777777" w:rsidR="00B17889" w:rsidRPr="00B17889" w:rsidRDefault="00B17889" w:rsidP="00B17889">
      <w:r w:rsidRPr="00B17889">
        <w:t>Strategies for Multi-Tenancy</w:t>
      </w:r>
    </w:p>
    <w:p w14:paraId="4A307F8D" w14:textId="1C9AFAF3" w:rsidR="00A91D41" w:rsidRDefault="00B17889" w:rsidP="00B17889">
      <w:pPr>
        <w:numPr>
          <w:ilvl w:val="0"/>
          <w:numId w:val="3"/>
        </w:numPr>
      </w:pPr>
      <w:r w:rsidRPr="00B17889">
        <w:rPr>
          <w:b/>
          <w:bCs/>
        </w:rPr>
        <w:t>Database per Tenant</w:t>
      </w:r>
      <w:r w:rsidRPr="00B17889">
        <w:t>: Each tenant has a separate database, providing strong isolation but potentially increasing overhead due to multiple connections and memory usage</w:t>
      </w:r>
    </w:p>
    <w:p w14:paraId="51CAAE9C" w14:textId="77777777" w:rsidR="00A91D41" w:rsidRDefault="00A91D41" w:rsidP="00B17889"/>
    <w:p w14:paraId="0824593C" w14:textId="77777777" w:rsidR="00A91D41" w:rsidRDefault="00A91D41" w:rsidP="00B17889"/>
    <w:p w14:paraId="4BED980F" w14:textId="77777777" w:rsidR="00A91D41" w:rsidRDefault="00A91D41" w:rsidP="00B17889"/>
    <w:p w14:paraId="1AE922C0" w14:textId="77777777" w:rsidR="00A91D41" w:rsidRDefault="00A91D41" w:rsidP="00B17889"/>
    <w:tbl>
      <w:tblPr>
        <w:tblpPr w:leftFromText="180" w:rightFromText="180" w:horzAnchor="margin" w:tblpY="-10032"/>
        <w:tblW w:w="9574" w:type="dxa"/>
        <w:tblCellSpacing w:w="15" w:type="dxa"/>
        <w:tblCellMar>
          <w:top w:w="15" w:type="dxa"/>
          <w:left w:w="15" w:type="dxa"/>
          <w:bottom w:w="15" w:type="dxa"/>
          <w:right w:w="15" w:type="dxa"/>
        </w:tblCellMar>
        <w:tblLook w:val="04A0" w:firstRow="1" w:lastRow="0" w:firstColumn="1" w:lastColumn="0" w:noHBand="0" w:noVBand="1"/>
      </w:tblPr>
      <w:tblGrid>
        <w:gridCol w:w="1830"/>
        <w:gridCol w:w="2734"/>
        <w:gridCol w:w="5010"/>
      </w:tblGrid>
      <w:tr w:rsidR="00A91D41" w:rsidRPr="00A91D41" w14:paraId="481A512B" w14:textId="77777777" w:rsidTr="00A91D41">
        <w:trPr>
          <w:trHeight w:val="450"/>
          <w:tblHeader/>
          <w:tblCellSpacing w:w="15" w:type="dxa"/>
        </w:trPr>
        <w:tc>
          <w:tcPr>
            <w:tcW w:w="0" w:type="auto"/>
            <w:vAlign w:val="center"/>
            <w:hideMark/>
          </w:tcPr>
          <w:p w14:paraId="78AF405F" w14:textId="77777777" w:rsidR="00A91D41" w:rsidRPr="00A91D41" w:rsidRDefault="00A91D41" w:rsidP="00A91D41">
            <w:pPr>
              <w:rPr>
                <w:b/>
                <w:bCs/>
              </w:rPr>
            </w:pPr>
            <w:r w:rsidRPr="00A91D41">
              <w:rPr>
                <w:b/>
                <w:bCs/>
              </w:rPr>
              <w:lastRenderedPageBreak/>
              <w:t>Feature</w:t>
            </w:r>
          </w:p>
        </w:tc>
        <w:tc>
          <w:tcPr>
            <w:tcW w:w="0" w:type="auto"/>
            <w:vAlign w:val="center"/>
            <w:hideMark/>
          </w:tcPr>
          <w:p w14:paraId="76457D16" w14:textId="77777777" w:rsidR="00A91D41" w:rsidRPr="00A91D41" w:rsidRDefault="00A91D41" w:rsidP="00A91D41">
            <w:pPr>
              <w:rPr>
                <w:b/>
                <w:bCs/>
              </w:rPr>
            </w:pPr>
            <w:r w:rsidRPr="00A91D41">
              <w:rPr>
                <w:b/>
                <w:bCs/>
              </w:rPr>
              <w:t>Pros</w:t>
            </w:r>
          </w:p>
        </w:tc>
        <w:tc>
          <w:tcPr>
            <w:tcW w:w="0" w:type="auto"/>
            <w:vAlign w:val="center"/>
            <w:hideMark/>
          </w:tcPr>
          <w:p w14:paraId="62DCB50B" w14:textId="77777777" w:rsidR="00A91D41" w:rsidRPr="00A91D41" w:rsidRDefault="00A91D41" w:rsidP="00A91D41">
            <w:pPr>
              <w:rPr>
                <w:b/>
                <w:bCs/>
              </w:rPr>
            </w:pPr>
            <w:r w:rsidRPr="00A91D41">
              <w:rPr>
                <w:b/>
                <w:bCs/>
              </w:rPr>
              <w:t>Cons</w:t>
            </w:r>
          </w:p>
        </w:tc>
      </w:tr>
      <w:tr w:rsidR="00A91D41" w:rsidRPr="00A91D41" w14:paraId="4890BDDA" w14:textId="77777777" w:rsidTr="00A91D41">
        <w:trPr>
          <w:trHeight w:val="1035"/>
          <w:tblCellSpacing w:w="15" w:type="dxa"/>
        </w:trPr>
        <w:tc>
          <w:tcPr>
            <w:tcW w:w="0" w:type="auto"/>
            <w:vAlign w:val="center"/>
            <w:hideMark/>
          </w:tcPr>
          <w:p w14:paraId="34A8C739" w14:textId="77777777" w:rsidR="00A91D41" w:rsidRPr="00A91D41" w:rsidRDefault="00A91D41" w:rsidP="00A91D41">
            <w:r w:rsidRPr="00A91D41">
              <w:rPr>
                <w:b/>
                <w:bCs/>
              </w:rPr>
              <w:t>Tenant Isolation with Dedicated Zones</w:t>
            </w:r>
          </w:p>
        </w:tc>
        <w:tc>
          <w:tcPr>
            <w:tcW w:w="0" w:type="auto"/>
            <w:vAlign w:val="center"/>
            <w:hideMark/>
          </w:tcPr>
          <w:p w14:paraId="49EF9F10" w14:textId="77777777" w:rsidR="00A91D41" w:rsidRPr="00A91D41" w:rsidRDefault="00A91D41" w:rsidP="00A91D41">
            <w:r w:rsidRPr="00A91D41">
              <w:t>- Ensures physical and logical separation of tenant data, improving data security and compliance.</w:t>
            </w:r>
          </w:p>
        </w:tc>
        <w:tc>
          <w:tcPr>
            <w:tcW w:w="0" w:type="auto"/>
            <w:vAlign w:val="center"/>
            <w:hideMark/>
          </w:tcPr>
          <w:p w14:paraId="08B5FBFD" w14:textId="77777777" w:rsidR="00A91D41" w:rsidRPr="00A91D41" w:rsidRDefault="00A91D41" w:rsidP="00A91D41">
            <w:r w:rsidRPr="00A91D41">
              <w:t>- Can lead to resource underutilization if some tenant zones have low data volume or traffic.</w:t>
            </w:r>
          </w:p>
        </w:tc>
      </w:tr>
      <w:tr w:rsidR="00A91D41" w:rsidRPr="00A91D41" w14:paraId="20C6AACF" w14:textId="77777777" w:rsidTr="00A91D41">
        <w:trPr>
          <w:trHeight w:val="1023"/>
          <w:tblCellSpacing w:w="15" w:type="dxa"/>
        </w:trPr>
        <w:tc>
          <w:tcPr>
            <w:tcW w:w="0" w:type="auto"/>
            <w:vAlign w:val="center"/>
            <w:hideMark/>
          </w:tcPr>
          <w:p w14:paraId="73D01CB9" w14:textId="77777777" w:rsidR="00A91D41" w:rsidRPr="00A91D41" w:rsidRDefault="00A91D41" w:rsidP="00A91D41"/>
        </w:tc>
        <w:tc>
          <w:tcPr>
            <w:tcW w:w="0" w:type="auto"/>
            <w:vAlign w:val="center"/>
            <w:hideMark/>
          </w:tcPr>
          <w:p w14:paraId="11EADED2" w14:textId="1FF87F8B" w:rsidR="00A91D41" w:rsidRPr="00A91D41" w:rsidRDefault="00A91D41" w:rsidP="00A91D41"/>
        </w:tc>
        <w:tc>
          <w:tcPr>
            <w:tcW w:w="0" w:type="auto"/>
            <w:vAlign w:val="center"/>
            <w:hideMark/>
          </w:tcPr>
          <w:p w14:paraId="7A72CA45" w14:textId="77777777" w:rsidR="00A91D41" w:rsidRPr="00A91D41" w:rsidRDefault="00A91D41" w:rsidP="00A91D41">
            <w:r w:rsidRPr="00A91D41">
              <w:t>- Manual intervention may be required to redistribute zones as tenants grow or shrink.</w:t>
            </w:r>
          </w:p>
        </w:tc>
      </w:tr>
      <w:tr w:rsidR="00A91D41" w:rsidRPr="00A91D41" w14:paraId="2192A0AF" w14:textId="77777777" w:rsidTr="00A91D41">
        <w:trPr>
          <w:trHeight w:val="450"/>
          <w:tblCellSpacing w:w="15" w:type="dxa"/>
        </w:trPr>
        <w:tc>
          <w:tcPr>
            <w:tcW w:w="0" w:type="auto"/>
            <w:vAlign w:val="center"/>
            <w:hideMark/>
          </w:tcPr>
          <w:p w14:paraId="009396DA" w14:textId="77777777" w:rsidR="00A91D41" w:rsidRPr="00A91D41" w:rsidRDefault="00A91D41" w:rsidP="00A91D41"/>
        </w:tc>
        <w:tc>
          <w:tcPr>
            <w:tcW w:w="0" w:type="auto"/>
            <w:vAlign w:val="center"/>
          </w:tcPr>
          <w:p w14:paraId="390EDFE5" w14:textId="1B41BB15" w:rsidR="00A91D41" w:rsidRPr="00A91D41" w:rsidRDefault="00A91D41" w:rsidP="00A91D41"/>
        </w:tc>
        <w:tc>
          <w:tcPr>
            <w:tcW w:w="0" w:type="auto"/>
            <w:vAlign w:val="center"/>
          </w:tcPr>
          <w:p w14:paraId="0AB01E9A" w14:textId="43B2E853" w:rsidR="00A91D41" w:rsidRPr="00A91D41" w:rsidRDefault="00A91D41" w:rsidP="00A91D41"/>
        </w:tc>
      </w:tr>
      <w:tr w:rsidR="00A91D41" w:rsidRPr="00A91D41" w14:paraId="298B5324" w14:textId="77777777" w:rsidTr="00A91D41">
        <w:trPr>
          <w:trHeight w:val="1035"/>
          <w:tblCellSpacing w:w="15" w:type="dxa"/>
        </w:trPr>
        <w:tc>
          <w:tcPr>
            <w:tcW w:w="0" w:type="auto"/>
            <w:vAlign w:val="center"/>
            <w:hideMark/>
          </w:tcPr>
          <w:p w14:paraId="112B2FE5" w14:textId="77777777" w:rsidR="00A91D41" w:rsidRPr="00A91D41" w:rsidRDefault="00A91D41" w:rsidP="00A91D41"/>
        </w:tc>
        <w:tc>
          <w:tcPr>
            <w:tcW w:w="0" w:type="auto"/>
            <w:vAlign w:val="center"/>
            <w:hideMark/>
          </w:tcPr>
          <w:p w14:paraId="40D92142" w14:textId="77777777" w:rsidR="00A91D41" w:rsidRPr="00A91D41" w:rsidRDefault="00A91D41" w:rsidP="00A91D41">
            <w:r w:rsidRPr="00A91D41">
              <w:t>- Enhances customization and optimization for specific tenant workloads.</w:t>
            </w:r>
          </w:p>
        </w:tc>
        <w:tc>
          <w:tcPr>
            <w:tcW w:w="0" w:type="auto"/>
            <w:vAlign w:val="center"/>
            <w:hideMark/>
          </w:tcPr>
          <w:p w14:paraId="64DDBC3D" w14:textId="77777777" w:rsidR="00A91D41" w:rsidRPr="00A91D41" w:rsidRDefault="00A91D41" w:rsidP="00A91D41">
            <w:r w:rsidRPr="00A91D41">
              <w:t>- Uneven data distribution across zones can lead to hotspot issues.</w:t>
            </w:r>
          </w:p>
        </w:tc>
      </w:tr>
      <w:tr w:rsidR="00A91D41" w:rsidRPr="00A91D41" w14:paraId="7E785BB6" w14:textId="77777777" w:rsidTr="00A91D41">
        <w:trPr>
          <w:trHeight w:val="1035"/>
          <w:tblCellSpacing w:w="15" w:type="dxa"/>
        </w:trPr>
        <w:tc>
          <w:tcPr>
            <w:tcW w:w="0" w:type="auto"/>
            <w:vAlign w:val="center"/>
            <w:hideMark/>
          </w:tcPr>
          <w:p w14:paraId="610163E4" w14:textId="77777777" w:rsidR="00A91D41" w:rsidRPr="00A91D41" w:rsidRDefault="00A91D41" w:rsidP="00A91D41">
            <w:r w:rsidRPr="00A91D41">
              <w:rPr>
                <w:b/>
                <w:bCs/>
              </w:rPr>
              <w:t>Geographical Control</w:t>
            </w:r>
          </w:p>
        </w:tc>
        <w:tc>
          <w:tcPr>
            <w:tcW w:w="0" w:type="auto"/>
            <w:vAlign w:val="center"/>
            <w:hideMark/>
          </w:tcPr>
          <w:p w14:paraId="0D621D8A" w14:textId="77777777" w:rsidR="00A91D41" w:rsidRPr="00A91D41" w:rsidRDefault="00A91D41" w:rsidP="00A91D41">
            <w:r w:rsidRPr="00A91D41">
              <w:t>- Allows you to place tenants' data closer to their geographical location, improving latency.</w:t>
            </w:r>
          </w:p>
        </w:tc>
        <w:tc>
          <w:tcPr>
            <w:tcW w:w="0" w:type="auto"/>
            <w:vAlign w:val="center"/>
            <w:hideMark/>
          </w:tcPr>
          <w:p w14:paraId="0813E657" w14:textId="77777777" w:rsidR="00A91D41" w:rsidRPr="00A91D41" w:rsidRDefault="00A91D41" w:rsidP="00A91D41">
            <w:r w:rsidRPr="00A91D41">
              <w:t>- Managing multiple zones across different geographies increases administrative overhead.</w:t>
            </w:r>
          </w:p>
        </w:tc>
      </w:tr>
      <w:tr w:rsidR="00A91D41" w:rsidRPr="00A91D41" w14:paraId="6B59D1C2" w14:textId="77777777" w:rsidTr="00A91D41">
        <w:trPr>
          <w:trHeight w:val="1023"/>
          <w:tblCellSpacing w:w="15" w:type="dxa"/>
        </w:trPr>
        <w:tc>
          <w:tcPr>
            <w:tcW w:w="0" w:type="auto"/>
            <w:vAlign w:val="center"/>
            <w:hideMark/>
          </w:tcPr>
          <w:p w14:paraId="6A635997" w14:textId="77777777" w:rsidR="00A91D41" w:rsidRPr="00A91D41" w:rsidRDefault="00A91D41" w:rsidP="00A91D41"/>
        </w:tc>
        <w:tc>
          <w:tcPr>
            <w:tcW w:w="0" w:type="auto"/>
            <w:vAlign w:val="center"/>
            <w:hideMark/>
          </w:tcPr>
          <w:p w14:paraId="0070D518" w14:textId="77777777" w:rsidR="00A91D41" w:rsidRPr="00A91D41" w:rsidRDefault="00A91D41" w:rsidP="00A91D41">
            <w:r w:rsidRPr="00A91D41">
              <w:t>- Better regulatory compliance by keeping tenant data within specific regions or jurisdictions.</w:t>
            </w:r>
          </w:p>
        </w:tc>
        <w:tc>
          <w:tcPr>
            <w:tcW w:w="0" w:type="auto"/>
            <w:vAlign w:val="center"/>
            <w:hideMark/>
          </w:tcPr>
          <w:p w14:paraId="03ABA807" w14:textId="77777777" w:rsidR="00A91D41" w:rsidRPr="00A91D41" w:rsidRDefault="00A91D41" w:rsidP="00A91D41">
            <w:r w:rsidRPr="00A91D41">
              <w:t>- Cross-zone migrations for tenants can be complex and require downtime or operational overhead.</w:t>
            </w:r>
          </w:p>
        </w:tc>
      </w:tr>
      <w:tr w:rsidR="00340E9C" w:rsidRPr="00A91D41" w14:paraId="316E2ED3" w14:textId="77777777" w:rsidTr="00A91D41">
        <w:trPr>
          <w:trHeight w:val="1328"/>
          <w:tblCellSpacing w:w="15" w:type="dxa"/>
        </w:trPr>
        <w:tc>
          <w:tcPr>
            <w:tcW w:w="0" w:type="auto"/>
            <w:vAlign w:val="center"/>
            <w:hideMark/>
          </w:tcPr>
          <w:p w14:paraId="6FD0F42C" w14:textId="77777777" w:rsidR="00340E9C" w:rsidRPr="00A91D41" w:rsidRDefault="00340E9C" w:rsidP="00340E9C">
            <w:r w:rsidRPr="00A91D41">
              <w:rPr>
                <w:b/>
                <w:bCs/>
              </w:rPr>
              <w:t>Resource Allocation per Tenant</w:t>
            </w:r>
          </w:p>
        </w:tc>
        <w:tc>
          <w:tcPr>
            <w:tcW w:w="0" w:type="auto"/>
            <w:vAlign w:val="center"/>
            <w:hideMark/>
          </w:tcPr>
          <w:p w14:paraId="3E341DC4" w14:textId="77777777" w:rsidR="00340E9C" w:rsidRPr="00A91D41" w:rsidRDefault="00340E9C" w:rsidP="00340E9C">
            <w:r w:rsidRPr="00A91D41">
              <w:t>- Allows allocating specific compute, storage, and network resources for tenants based on needs.</w:t>
            </w:r>
          </w:p>
        </w:tc>
        <w:tc>
          <w:tcPr>
            <w:tcW w:w="0" w:type="auto"/>
            <w:vAlign w:val="center"/>
            <w:hideMark/>
          </w:tcPr>
          <w:p w14:paraId="7066C3B0" w14:textId="7CBFED30" w:rsidR="00340E9C" w:rsidRPr="00A91D41" w:rsidRDefault="00340E9C" w:rsidP="00340E9C">
            <w:r>
              <w:t>-</w:t>
            </w:r>
            <w:r w:rsidRPr="006C41BA">
              <w:t>Assigning dedicated resources to individual tenant zones can lead to resource over-provisioning, where certain tenants may not fully utilize the resources allocated to their zone, resulting in inefficiencies and higher operational costs.</w:t>
            </w:r>
          </w:p>
        </w:tc>
      </w:tr>
      <w:tr w:rsidR="00340E9C" w:rsidRPr="00A91D41" w14:paraId="4A472CDF" w14:textId="77777777" w:rsidTr="00A91D41">
        <w:trPr>
          <w:trHeight w:val="1035"/>
          <w:tblCellSpacing w:w="15" w:type="dxa"/>
        </w:trPr>
        <w:tc>
          <w:tcPr>
            <w:tcW w:w="0" w:type="auto"/>
            <w:vAlign w:val="center"/>
            <w:hideMark/>
          </w:tcPr>
          <w:p w14:paraId="6B07201A" w14:textId="77777777" w:rsidR="00340E9C" w:rsidRPr="00A91D41" w:rsidRDefault="00340E9C" w:rsidP="00340E9C"/>
        </w:tc>
        <w:tc>
          <w:tcPr>
            <w:tcW w:w="0" w:type="auto"/>
            <w:vAlign w:val="center"/>
            <w:hideMark/>
          </w:tcPr>
          <w:p w14:paraId="0B678248" w14:textId="77777777" w:rsidR="00340E9C" w:rsidRPr="00A91D41" w:rsidRDefault="00340E9C" w:rsidP="00340E9C">
            <w:r w:rsidRPr="00A91D41">
              <w:t>- Facilitates fine-tuning resources per tenant for scaling, performance, and cost control.</w:t>
            </w:r>
          </w:p>
        </w:tc>
        <w:tc>
          <w:tcPr>
            <w:tcW w:w="0" w:type="auto"/>
            <w:vAlign w:val="center"/>
            <w:hideMark/>
          </w:tcPr>
          <w:p w14:paraId="1CFDA8F3" w14:textId="77777777" w:rsidR="00340E9C" w:rsidRPr="00A91D41" w:rsidRDefault="00340E9C" w:rsidP="00340E9C">
            <w:r w:rsidRPr="00A91D41">
              <w:t>- Difficult to dynamically reallocate resources between zones without migration or downtime.</w:t>
            </w:r>
          </w:p>
        </w:tc>
      </w:tr>
      <w:tr w:rsidR="00340E9C" w:rsidRPr="00A91D41" w14:paraId="0AEAB453" w14:textId="77777777" w:rsidTr="00A91D41">
        <w:trPr>
          <w:trHeight w:val="1035"/>
          <w:tblCellSpacing w:w="15" w:type="dxa"/>
        </w:trPr>
        <w:tc>
          <w:tcPr>
            <w:tcW w:w="0" w:type="auto"/>
            <w:vAlign w:val="center"/>
            <w:hideMark/>
          </w:tcPr>
          <w:p w14:paraId="27914280" w14:textId="77777777" w:rsidR="00340E9C" w:rsidRPr="00A91D41" w:rsidRDefault="00340E9C" w:rsidP="00340E9C">
            <w:r w:rsidRPr="00A91D41">
              <w:rPr>
                <w:b/>
                <w:bCs/>
              </w:rPr>
              <w:t>Tenant Expansion Flexibility</w:t>
            </w:r>
          </w:p>
        </w:tc>
        <w:tc>
          <w:tcPr>
            <w:tcW w:w="0" w:type="auto"/>
            <w:vAlign w:val="center"/>
            <w:hideMark/>
          </w:tcPr>
          <w:p w14:paraId="0AB0FA07" w14:textId="77777777" w:rsidR="00340E9C" w:rsidRPr="00A91D41" w:rsidRDefault="00340E9C" w:rsidP="00340E9C">
            <w:r w:rsidRPr="00A91D41">
              <w:t>- Simplifies tenant onboarding, allowing tenants to be easily assigned to new zones.</w:t>
            </w:r>
          </w:p>
        </w:tc>
        <w:tc>
          <w:tcPr>
            <w:tcW w:w="0" w:type="auto"/>
            <w:vAlign w:val="center"/>
            <w:hideMark/>
          </w:tcPr>
          <w:p w14:paraId="427483A2" w14:textId="77777777" w:rsidR="00340E9C" w:rsidRPr="00A91D41" w:rsidRDefault="00340E9C" w:rsidP="00340E9C">
            <w:r w:rsidRPr="00A91D41">
              <w:t>- Expansion to new zones might involve moving data, which can result in downtime or complex processes.</w:t>
            </w:r>
          </w:p>
        </w:tc>
      </w:tr>
      <w:tr w:rsidR="00340E9C" w:rsidRPr="00A91D41" w14:paraId="3636A199" w14:textId="77777777" w:rsidTr="00A91D41">
        <w:trPr>
          <w:trHeight w:val="1035"/>
          <w:tblCellSpacing w:w="15" w:type="dxa"/>
        </w:trPr>
        <w:tc>
          <w:tcPr>
            <w:tcW w:w="0" w:type="auto"/>
            <w:vAlign w:val="center"/>
            <w:hideMark/>
          </w:tcPr>
          <w:p w14:paraId="691478CA" w14:textId="77777777" w:rsidR="00340E9C" w:rsidRPr="00A91D41" w:rsidRDefault="00340E9C" w:rsidP="00340E9C"/>
        </w:tc>
        <w:tc>
          <w:tcPr>
            <w:tcW w:w="0" w:type="auto"/>
            <w:vAlign w:val="center"/>
            <w:hideMark/>
          </w:tcPr>
          <w:p w14:paraId="516AD6C4" w14:textId="77777777" w:rsidR="00340E9C" w:rsidRPr="00A91D41" w:rsidRDefault="00340E9C" w:rsidP="00340E9C">
            <w:r w:rsidRPr="00A91D41">
              <w:t xml:space="preserve">- Supports easy scaling for tenants with growing data or </w:t>
            </w:r>
            <w:r w:rsidRPr="00A91D41">
              <w:lastRenderedPageBreak/>
              <w:t>traffic by adjusting zone capacity.</w:t>
            </w:r>
          </w:p>
        </w:tc>
        <w:tc>
          <w:tcPr>
            <w:tcW w:w="0" w:type="auto"/>
            <w:vAlign w:val="center"/>
            <w:hideMark/>
          </w:tcPr>
          <w:p w14:paraId="0ABE00F0" w14:textId="77777777" w:rsidR="00340E9C" w:rsidRPr="00A91D41" w:rsidRDefault="00340E9C" w:rsidP="00340E9C">
            <w:r w:rsidRPr="00A91D41">
              <w:lastRenderedPageBreak/>
              <w:t>- Complex scaling architecture and monitoring are required to ensure all zones are optimized.</w:t>
            </w:r>
          </w:p>
        </w:tc>
      </w:tr>
      <w:tr w:rsidR="00340E9C" w:rsidRPr="00A91D41" w14:paraId="2A1926BA" w14:textId="77777777" w:rsidTr="00A91D41">
        <w:trPr>
          <w:trHeight w:val="1035"/>
          <w:tblCellSpacing w:w="15" w:type="dxa"/>
        </w:trPr>
        <w:tc>
          <w:tcPr>
            <w:tcW w:w="0" w:type="auto"/>
            <w:vAlign w:val="center"/>
          </w:tcPr>
          <w:p w14:paraId="6BD94AFB" w14:textId="21F0966B" w:rsidR="00340E9C" w:rsidRPr="006E33DA" w:rsidRDefault="00340E9C" w:rsidP="00340E9C">
            <w:pPr>
              <w:rPr>
                <w:b/>
                <w:bCs/>
              </w:rPr>
            </w:pPr>
            <w:r w:rsidRPr="006E33DA">
              <w:rPr>
                <w:b/>
                <w:bCs/>
              </w:rPr>
              <w:t>Primary Shard Selection</w:t>
            </w:r>
          </w:p>
        </w:tc>
        <w:tc>
          <w:tcPr>
            <w:tcW w:w="0" w:type="auto"/>
            <w:vAlign w:val="center"/>
          </w:tcPr>
          <w:p w14:paraId="656C3542" w14:textId="77777777" w:rsidR="00340E9C" w:rsidRDefault="00340E9C" w:rsidP="00340E9C">
            <w:r w:rsidRPr="006E33DA">
              <w:t>- Ensures balanced distribution of databases across shards.</w:t>
            </w:r>
          </w:p>
          <w:p w14:paraId="5948DCBF" w14:textId="77777777" w:rsidR="00340E9C" w:rsidRDefault="00340E9C" w:rsidP="00340E9C"/>
          <w:p w14:paraId="78AD12BE" w14:textId="77777777" w:rsidR="00340E9C" w:rsidRDefault="00340E9C" w:rsidP="00340E9C">
            <w:r w:rsidRPr="006E33DA">
              <w:t>- Optimizes resource utilization by selecting shards with more capacity.</w:t>
            </w:r>
          </w:p>
          <w:p w14:paraId="0A1E8097" w14:textId="3A374533" w:rsidR="00340E9C" w:rsidRPr="006E33DA" w:rsidRDefault="00340E9C" w:rsidP="00340E9C">
            <w:r w:rsidRPr="006E33DA">
              <w:t>- Supports high availability and fault tolerance through replica sets.</w:t>
            </w:r>
          </w:p>
        </w:tc>
        <w:tc>
          <w:tcPr>
            <w:tcW w:w="0" w:type="auto"/>
            <w:vAlign w:val="center"/>
          </w:tcPr>
          <w:p w14:paraId="2C3B5709" w14:textId="77777777" w:rsidR="00340E9C" w:rsidRDefault="00340E9C" w:rsidP="00340E9C">
            <w:r w:rsidRPr="006E33DA">
              <w:t>- Limited control over initial placement of databases.</w:t>
            </w:r>
            <w:r>
              <w:br/>
            </w:r>
            <w:r>
              <w:br/>
            </w:r>
          </w:p>
          <w:p w14:paraId="23624B37" w14:textId="77777777" w:rsidR="00340E9C" w:rsidRDefault="00340E9C" w:rsidP="00340E9C">
            <w:r w:rsidRPr="006E33DA">
              <w:t>- Potential need for manual intervention if rebalancing is required.</w:t>
            </w:r>
          </w:p>
          <w:p w14:paraId="4F37C8A4" w14:textId="5B4975DC" w:rsidR="00340E9C" w:rsidRPr="00A91D41" w:rsidRDefault="00340E9C" w:rsidP="00340E9C"/>
        </w:tc>
      </w:tr>
      <w:tr w:rsidR="00340E9C" w:rsidRPr="00A91D41" w14:paraId="22920D5E" w14:textId="77777777" w:rsidTr="00A91D41">
        <w:trPr>
          <w:trHeight w:val="1035"/>
          <w:tblCellSpacing w:w="15" w:type="dxa"/>
        </w:trPr>
        <w:tc>
          <w:tcPr>
            <w:tcW w:w="0" w:type="auto"/>
            <w:vAlign w:val="center"/>
          </w:tcPr>
          <w:p w14:paraId="7C6F2E5D" w14:textId="1CC5FCA8" w:rsidR="00340E9C" w:rsidRPr="00A91D41" w:rsidRDefault="00340E9C" w:rsidP="00340E9C"/>
        </w:tc>
        <w:tc>
          <w:tcPr>
            <w:tcW w:w="0" w:type="auto"/>
            <w:vAlign w:val="center"/>
          </w:tcPr>
          <w:p w14:paraId="50529C52" w14:textId="77777777" w:rsidR="00340E9C" w:rsidRPr="00A91D41" w:rsidRDefault="00340E9C" w:rsidP="00340E9C"/>
        </w:tc>
        <w:tc>
          <w:tcPr>
            <w:tcW w:w="0" w:type="auto"/>
            <w:vAlign w:val="center"/>
          </w:tcPr>
          <w:p w14:paraId="0C43DD6B" w14:textId="18FBF6B5" w:rsidR="00340E9C" w:rsidRPr="00A91D41" w:rsidRDefault="00340E9C" w:rsidP="00340E9C"/>
        </w:tc>
      </w:tr>
      <w:tr w:rsidR="00340E9C" w:rsidRPr="00A91D41" w14:paraId="08DADC04" w14:textId="77777777" w:rsidTr="00A91D41">
        <w:trPr>
          <w:trHeight w:val="1035"/>
          <w:tblCellSpacing w:w="15" w:type="dxa"/>
        </w:trPr>
        <w:tc>
          <w:tcPr>
            <w:tcW w:w="0" w:type="auto"/>
            <w:vAlign w:val="center"/>
          </w:tcPr>
          <w:p w14:paraId="72AEECEC" w14:textId="77777777" w:rsidR="00340E9C" w:rsidRPr="00A91D41" w:rsidRDefault="00340E9C" w:rsidP="00340E9C"/>
        </w:tc>
        <w:tc>
          <w:tcPr>
            <w:tcW w:w="0" w:type="auto"/>
            <w:vAlign w:val="center"/>
          </w:tcPr>
          <w:p w14:paraId="3BC40003" w14:textId="77777777" w:rsidR="00340E9C" w:rsidRPr="00A91D41" w:rsidRDefault="00340E9C" w:rsidP="00340E9C"/>
        </w:tc>
        <w:tc>
          <w:tcPr>
            <w:tcW w:w="0" w:type="auto"/>
            <w:vAlign w:val="center"/>
          </w:tcPr>
          <w:p w14:paraId="69414AAE" w14:textId="77777777" w:rsidR="00340E9C" w:rsidRPr="00A91D41" w:rsidRDefault="00340E9C" w:rsidP="00340E9C"/>
        </w:tc>
      </w:tr>
    </w:tbl>
    <w:p w14:paraId="41A262EB" w14:textId="5EA4A2E2" w:rsidR="00B17889" w:rsidRPr="006E33DA" w:rsidRDefault="00B17889" w:rsidP="00B17889">
      <w:pPr>
        <w:rPr>
          <w:b/>
          <w:bCs/>
        </w:rPr>
      </w:pPr>
    </w:p>
    <w:sectPr w:rsidR="00B17889" w:rsidRPr="006E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9048E"/>
    <w:multiLevelType w:val="multilevel"/>
    <w:tmpl w:val="F70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CA2"/>
    <w:multiLevelType w:val="multilevel"/>
    <w:tmpl w:val="1F1C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62C49"/>
    <w:multiLevelType w:val="multilevel"/>
    <w:tmpl w:val="424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191024"/>
    <w:multiLevelType w:val="multilevel"/>
    <w:tmpl w:val="AC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053354">
    <w:abstractNumId w:val="3"/>
  </w:num>
  <w:num w:numId="2" w16cid:durableId="1327397232">
    <w:abstractNumId w:val="2"/>
  </w:num>
  <w:num w:numId="3" w16cid:durableId="1557932534">
    <w:abstractNumId w:val="0"/>
  </w:num>
  <w:num w:numId="4" w16cid:durableId="57123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89"/>
    <w:rsid w:val="0021233F"/>
    <w:rsid w:val="00340E9C"/>
    <w:rsid w:val="003E167D"/>
    <w:rsid w:val="006C41BA"/>
    <w:rsid w:val="006E33DA"/>
    <w:rsid w:val="007977D7"/>
    <w:rsid w:val="00A91D41"/>
    <w:rsid w:val="00B17889"/>
    <w:rsid w:val="00DC4E2A"/>
    <w:rsid w:val="00F3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E07D"/>
  <w15:chartTrackingRefBased/>
  <w15:docId w15:val="{EB57F3A1-F742-429F-B4BE-DC74BFE3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89"/>
    <w:rPr>
      <w:rFonts w:eastAsiaTheme="majorEastAsia" w:cstheme="majorBidi"/>
      <w:color w:val="272727" w:themeColor="text1" w:themeTint="D8"/>
    </w:rPr>
  </w:style>
  <w:style w:type="paragraph" w:styleId="Title">
    <w:name w:val="Title"/>
    <w:basedOn w:val="Normal"/>
    <w:next w:val="Normal"/>
    <w:link w:val="TitleChar"/>
    <w:uiPriority w:val="10"/>
    <w:qFormat/>
    <w:rsid w:val="00B1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89"/>
    <w:pPr>
      <w:spacing w:before="160"/>
      <w:jc w:val="center"/>
    </w:pPr>
    <w:rPr>
      <w:i/>
      <w:iCs/>
      <w:color w:val="404040" w:themeColor="text1" w:themeTint="BF"/>
    </w:rPr>
  </w:style>
  <w:style w:type="character" w:customStyle="1" w:styleId="QuoteChar">
    <w:name w:val="Quote Char"/>
    <w:basedOn w:val="DefaultParagraphFont"/>
    <w:link w:val="Quote"/>
    <w:uiPriority w:val="29"/>
    <w:rsid w:val="00B17889"/>
    <w:rPr>
      <w:i/>
      <w:iCs/>
      <w:color w:val="404040" w:themeColor="text1" w:themeTint="BF"/>
    </w:rPr>
  </w:style>
  <w:style w:type="paragraph" w:styleId="ListParagraph">
    <w:name w:val="List Paragraph"/>
    <w:basedOn w:val="Normal"/>
    <w:uiPriority w:val="34"/>
    <w:qFormat/>
    <w:rsid w:val="00B17889"/>
    <w:pPr>
      <w:ind w:left="720"/>
      <w:contextualSpacing/>
    </w:pPr>
  </w:style>
  <w:style w:type="character" w:styleId="IntenseEmphasis">
    <w:name w:val="Intense Emphasis"/>
    <w:basedOn w:val="DefaultParagraphFont"/>
    <w:uiPriority w:val="21"/>
    <w:qFormat/>
    <w:rsid w:val="00B17889"/>
    <w:rPr>
      <w:i/>
      <w:iCs/>
      <w:color w:val="0F4761" w:themeColor="accent1" w:themeShade="BF"/>
    </w:rPr>
  </w:style>
  <w:style w:type="paragraph" w:styleId="IntenseQuote">
    <w:name w:val="Intense Quote"/>
    <w:basedOn w:val="Normal"/>
    <w:next w:val="Normal"/>
    <w:link w:val="IntenseQuoteChar"/>
    <w:uiPriority w:val="30"/>
    <w:qFormat/>
    <w:rsid w:val="00B17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89"/>
    <w:rPr>
      <w:i/>
      <w:iCs/>
      <w:color w:val="0F4761" w:themeColor="accent1" w:themeShade="BF"/>
    </w:rPr>
  </w:style>
  <w:style w:type="character" w:styleId="IntenseReference">
    <w:name w:val="Intense Reference"/>
    <w:basedOn w:val="DefaultParagraphFont"/>
    <w:uiPriority w:val="32"/>
    <w:qFormat/>
    <w:rsid w:val="00B17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0035">
      <w:bodyDiv w:val="1"/>
      <w:marLeft w:val="0"/>
      <w:marRight w:val="0"/>
      <w:marTop w:val="0"/>
      <w:marBottom w:val="0"/>
      <w:divBdr>
        <w:top w:val="none" w:sz="0" w:space="0" w:color="auto"/>
        <w:left w:val="none" w:sz="0" w:space="0" w:color="auto"/>
        <w:bottom w:val="none" w:sz="0" w:space="0" w:color="auto"/>
        <w:right w:val="none" w:sz="0" w:space="0" w:color="auto"/>
      </w:divBdr>
    </w:div>
    <w:div w:id="74057545">
      <w:bodyDiv w:val="1"/>
      <w:marLeft w:val="0"/>
      <w:marRight w:val="0"/>
      <w:marTop w:val="0"/>
      <w:marBottom w:val="0"/>
      <w:divBdr>
        <w:top w:val="none" w:sz="0" w:space="0" w:color="auto"/>
        <w:left w:val="none" w:sz="0" w:space="0" w:color="auto"/>
        <w:bottom w:val="none" w:sz="0" w:space="0" w:color="auto"/>
        <w:right w:val="none" w:sz="0" w:space="0" w:color="auto"/>
      </w:divBdr>
    </w:div>
    <w:div w:id="118112646">
      <w:bodyDiv w:val="1"/>
      <w:marLeft w:val="0"/>
      <w:marRight w:val="0"/>
      <w:marTop w:val="0"/>
      <w:marBottom w:val="0"/>
      <w:divBdr>
        <w:top w:val="none" w:sz="0" w:space="0" w:color="auto"/>
        <w:left w:val="none" w:sz="0" w:space="0" w:color="auto"/>
        <w:bottom w:val="none" w:sz="0" w:space="0" w:color="auto"/>
        <w:right w:val="none" w:sz="0" w:space="0" w:color="auto"/>
      </w:divBdr>
    </w:div>
    <w:div w:id="119960173">
      <w:bodyDiv w:val="1"/>
      <w:marLeft w:val="0"/>
      <w:marRight w:val="0"/>
      <w:marTop w:val="0"/>
      <w:marBottom w:val="0"/>
      <w:divBdr>
        <w:top w:val="none" w:sz="0" w:space="0" w:color="auto"/>
        <w:left w:val="none" w:sz="0" w:space="0" w:color="auto"/>
        <w:bottom w:val="none" w:sz="0" w:space="0" w:color="auto"/>
        <w:right w:val="none" w:sz="0" w:space="0" w:color="auto"/>
      </w:divBdr>
    </w:div>
    <w:div w:id="435489402">
      <w:bodyDiv w:val="1"/>
      <w:marLeft w:val="0"/>
      <w:marRight w:val="0"/>
      <w:marTop w:val="0"/>
      <w:marBottom w:val="0"/>
      <w:divBdr>
        <w:top w:val="none" w:sz="0" w:space="0" w:color="auto"/>
        <w:left w:val="none" w:sz="0" w:space="0" w:color="auto"/>
        <w:bottom w:val="none" w:sz="0" w:space="0" w:color="auto"/>
        <w:right w:val="none" w:sz="0" w:space="0" w:color="auto"/>
      </w:divBdr>
    </w:div>
    <w:div w:id="556474753">
      <w:bodyDiv w:val="1"/>
      <w:marLeft w:val="0"/>
      <w:marRight w:val="0"/>
      <w:marTop w:val="0"/>
      <w:marBottom w:val="0"/>
      <w:divBdr>
        <w:top w:val="none" w:sz="0" w:space="0" w:color="auto"/>
        <w:left w:val="none" w:sz="0" w:space="0" w:color="auto"/>
        <w:bottom w:val="none" w:sz="0" w:space="0" w:color="auto"/>
        <w:right w:val="none" w:sz="0" w:space="0" w:color="auto"/>
      </w:divBdr>
    </w:div>
    <w:div w:id="769202206">
      <w:bodyDiv w:val="1"/>
      <w:marLeft w:val="0"/>
      <w:marRight w:val="0"/>
      <w:marTop w:val="0"/>
      <w:marBottom w:val="0"/>
      <w:divBdr>
        <w:top w:val="none" w:sz="0" w:space="0" w:color="auto"/>
        <w:left w:val="none" w:sz="0" w:space="0" w:color="auto"/>
        <w:bottom w:val="none" w:sz="0" w:space="0" w:color="auto"/>
        <w:right w:val="none" w:sz="0" w:space="0" w:color="auto"/>
      </w:divBdr>
    </w:div>
    <w:div w:id="770706264">
      <w:bodyDiv w:val="1"/>
      <w:marLeft w:val="0"/>
      <w:marRight w:val="0"/>
      <w:marTop w:val="0"/>
      <w:marBottom w:val="0"/>
      <w:divBdr>
        <w:top w:val="none" w:sz="0" w:space="0" w:color="auto"/>
        <w:left w:val="none" w:sz="0" w:space="0" w:color="auto"/>
        <w:bottom w:val="none" w:sz="0" w:space="0" w:color="auto"/>
        <w:right w:val="none" w:sz="0" w:space="0" w:color="auto"/>
      </w:divBdr>
    </w:div>
    <w:div w:id="950942390">
      <w:bodyDiv w:val="1"/>
      <w:marLeft w:val="0"/>
      <w:marRight w:val="0"/>
      <w:marTop w:val="0"/>
      <w:marBottom w:val="0"/>
      <w:divBdr>
        <w:top w:val="none" w:sz="0" w:space="0" w:color="auto"/>
        <w:left w:val="none" w:sz="0" w:space="0" w:color="auto"/>
        <w:bottom w:val="none" w:sz="0" w:space="0" w:color="auto"/>
        <w:right w:val="none" w:sz="0" w:space="0" w:color="auto"/>
      </w:divBdr>
    </w:div>
    <w:div w:id="964896565">
      <w:bodyDiv w:val="1"/>
      <w:marLeft w:val="0"/>
      <w:marRight w:val="0"/>
      <w:marTop w:val="0"/>
      <w:marBottom w:val="0"/>
      <w:divBdr>
        <w:top w:val="none" w:sz="0" w:space="0" w:color="auto"/>
        <w:left w:val="none" w:sz="0" w:space="0" w:color="auto"/>
        <w:bottom w:val="none" w:sz="0" w:space="0" w:color="auto"/>
        <w:right w:val="none" w:sz="0" w:space="0" w:color="auto"/>
      </w:divBdr>
    </w:div>
    <w:div w:id="1147017457">
      <w:bodyDiv w:val="1"/>
      <w:marLeft w:val="0"/>
      <w:marRight w:val="0"/>
      <w:marTop w:val="0"/>
      <w:marBottom w:val="0"/>
      <w:divBdr>
        <w:top w:val="none" w:sz="0" w:space="0" w:color="auto"/>
        <w:left w:val="none" w:sz="0" w:space="0" w:color="auto"/>
        <w:bottom w:val="none" w:sz="0" w:space="0" w:color="auto"/>
        <w:right w:val="none" w:sz="0" w:space="0" w:color="auto"/>
      </w:divBdr>
      <w:divsChild>
        <w:div w:id="132408250">
          <w:marLeft w:val="0"/>
          <w:marRight w:val="0"/>
          <w:marTop w:val="0"/>
          <w:marBottom w:val="0"/>
          <w:divBdr>
            <w:top w:val="single" w:sz="2" w:space="0" w:color="auto"/>
            <w:left w:val="single" w:sz="2" w:space="4" w:color="auto"/>
            <w:bottom w:val="single" w:sz="2" w:space="0" w:color="auto"/>
            <w:right w:val="single" w:sz="2" w:space="4" w:color="auto"/>
          </w:divBdr>
        </w:div>
        <w:div w:id="1138106328">
          <w:marLeft w:val="0"/>
          <w:marRight w:val="0"/>
          <w:marTop w:val="0"/>
          <w:marBottom w:val="0"/>
          <w:divBdr>
            <w:top w:val="single" w:sz="2" w:space="0" w:color="auto"/>
            <w:left w:val="single" w:sz="2" w:space="4" w:color="auto"/>
            <w:bottom w:val="single" w:sz="2" w:space="0" w:color="auto"/>
            <w:right w:val="single" w:sz="2" w:space="4" w:color="auto"/>
          </w:divBdr>
        </w:div>
        <w:div w:id="893463893">
          <w:marLeft w:val="0"/>
          <w:marRight w:val="0"/>
          <w:marTop w:val="0"/>
          <w:marBottom w:val="0"/>
          <w:divBdr>
            <w:top w:val="single" w:sz="2" w:space="0" w:color="auto"/>
            <w:left w:val="single" w:sz="2" w:space="4" w:color="auto"/>
            <w:bottom w:val="single" w:sz="2" w:space="0" w:color="auto"/>
            <w:right w:val="single" w:sz="2" w:space="4" w:color="auto"/>
          </w:divBdr>
        </w:div>
        <w:div w:id="260309116">
          <w:marLeft w:val="0"/>
          <w:marRight w:val="0"/>
          <w:marTop w:val="0"/>
          <w:marBottom w:val="0"/>
          <w:divBdr>
            <w:top w:val="single" w:sz="2" w:space="0" w:color="auto"/>
            <w:left w:val="single" w:sz="2" w:space="4" w:color="auto"/>
            <w:bottom w:val="single" w:sz="2" w:space="0" w:color="auto"/>
            <w:right w:val="single" w:sz="2" w:space="4" w:color="auto"/>
          </w:divBdr>
        </w:div>
        <w:div w:id="1404379296">
          <w:marLeft w:val="0"/>
          <w:marRight w:val="0"/>
          <w:marTop w:val="0"/>
          <w:marBottom w:val="0"/>
          <w:divBdr>
            <w:top w:val="single" w:sz="2" w:space="0" w:color="auto"/>
            <w:left w:val="single" w:sz="2" w:space="4" w:color="auto"/>
            <w:bottom w:val="single" w:sz="2" w:space="0" w:color="auto"/>
            <w:right w:val="single" w:sz="2" w:space="4" w:color="auto"/>
          </w:divBdr>
        </w:div>
        <w:div w:id="2004237607">
          <w:marLeft w:val="0"/>
          <w:marRight w:val="0"/>
          <w:marTop w:val="0"/>
          <w:marBottom w:val="0"/>
          <w:divBdr>
            <w:top w:val="single" w:sz="2" w:space="0" w:color="auto"/>
            <w:left w:val="single" w:sz="2" w:space="4" w:color="auto"/>
            <w:bottom w:val="single" w:sz="2" w:space="0" w:color="auto"/>
            <w:right w:val="single" w:sz="2" w:space="4" w:color="auto"/>
          </w:divBdr>
        </w:div>
      </w:divsChild>
    </w:div>
    <w:div w:id="1383864516">
      <w:bodyDiv w:val="1"/>
      <w:marLeft w:val="0"/>
      <w:marRight w:val="0"/>
      <w:marTop w:val="0"/>
      <w:marBottom w:val="0"/>
      <w:divBdr>
        <w:top w:val="none" w:sz="0" w:space="0" w:color="auto"/>
        <w:left w:val="none" w:sz="0" w:space="0" w:color="auto"/>
        <w:bottom w:val="none" w:sz="0" w:space="0" w:color="auto"/>
        <w:right w:val="none" w:sz="0" w:space="0" w:color="auto"/>
      </w:divBdr>
      <w:divsChild>
        <w:div w:id="1211572648">
          <w:marLeft w:val="0"/>
          <w:marRight w:val="0"/>
          <w:marTop w:val="0"/>
          <w:marBottom w:val="0"/>
          <w:divBdr>
            <w:top w:val="single" w:sz="2" w:space="0" w:color="auto"/>
            <w:left w:val="single" w:sz="2" w:space="4" w:color="auto"/>
            <w:bottom w:val="single" w:sz="2" w:space="0" w:color="auto"/>
            <w:right w:val="single" w:sz="2" w:space="4" w:color="auto"/>
          </w:divBdr>
        </w:div>
        <w:div w:id="1672101256">
          <w:marLeft w:val="0"/>
          <w:marRight w:val="0"/>
          <w:marTop w:val="0"/>
          <w:marBottom w:val="0"/>
          <w:divBdr>
            <w:top w:val="single" w:sz="2" w:space="0" w:color="auto"/>
            <w:left w:val="single" w:sz="2" w:space="4" w:color="auto"/>
            <w:bottom w:val="single" w:sz="2" w:space="0" w:color="auto"/>
            <w:right w:val="single" w:sz="2" w:space="4" w:color="auto"/>
          </w:divBdr>
        </w:div>
        <w:div w:id="1463963145">
          <w:marLeft w:val="0"/>
          <w:marRight w:val="0"/>
          <w:marTop w:val="0"/>
          <w:marBottom w:val="0"/>
          <w:divBdr>
            <w:top w:val="single" w:sz="2" w:space="0" w:color="auto"/>
            <w:left w:val="single" w:sz="2" w:space="4" w:color="auto"/>
            <w:bottom w:val="single" w:sz="2" w:space="0" w:color="auto"/>
            <w:right w:val="single" w:sz="2" w:space="4" w:color="auto"/>
          </w:divBdr>
        </w:div>
        <w:div w:id="2049716660">
          <w:marLeft w:val="0"/>
          <w:marRight w:val="0"/>
          <w:marTop w:val="0"/>
          <w:marBottom w:val="0"/>
          <w:divBdr>
            <w:top w:val="single" w:sz="2" w:space="0" w:color="auto"/>
            <w:left w:val="single" w:sz="2" w:space="4" w:color="auto"/>
            <w:bottom w:val="single" w:sz="2" w:space="0" w:color="auto"/>
            <w:right w:val="single" w:sz="2" w:space="4" w:color="auto"/>
          </w:divBdr>
        </w:div>
        <w:div w:id="1887834587">
          <w:marLeft w:val="0"/>
          <w:marRight w:val="0"/>
          <w:marTop w:val="0"/>
          <w:marBottom w:val="0"/>
          <w:divBdr>
            <w:top w:val="single" w:sz="2" w:space="0" w:color="auto"/>
            <w:left w:val="single" w:sz="2" w:space="4" w:color="auto"/>
            <w:bottom w:val="single" w:sz="2" w:space="0" w:color="auto"/>
            <w:right w:val="single" w:sz="2" w:space="4" w:color="auto"/>
          </w:divBdr>
        </w:div>
        <w:div w:id="415709516">
          <w:marLeft w:val="0"/>
          <w:marRight w:val="0"/>
          <w:marTop w:val="0"/>
          <w:marBottom w:val="0"/>
          <w:divBdr>
            <w:top w:val="single" w:sz="2" w:space="0" w:color="auto"/>
            <w:left w:val="single" w:sz="2" w:space="4" w:color="auto"/>
            <w:bottom w:val="single" w:sz="2" w:space="0" w:color="auto"/>
            <w:right w:val="single" w:sz="2" w:space="4" w:color="auto"/>
          </w:divBdr>
        </w:div>
      </w:divsChild>
    </w:div>
    <w:div w:id="1547521856">
      <w:bodyDiv w:val="1"/>
      <w:marLeft w:val="0"/>
      <w:marRight w:val="0"/>
      <w:marTop w:val="0"/>
      <w:marBottom w:val="0"/>
      <w:divBdr>
        <w:top w:val="none" w:sz="0" w:space="0" w:color="auto"/>
        <w:left w:val="none" w:sz="0" w:space="0" w:color="auto"/>
        <w:bottom w:val="none" w:sz="0" w:space="0" w:color="auto"/>
        <w:right w:val="none" w:sz="0" w:space="0" w:color="auto"/>
      </w:divBdr>
    </w:div>
    <w:div w:id="1580751870">
      <w:bodyDiv w:val="1"/>
      <w:marLeft w:val="0"/>
      <w:marRight w:val="0"/>
      <w:marTop w:val="0"/>
      <w:marBottom w:val="0"/>
      <w:divBdr>
        <w:top w:val="none" w:sz="0" w:space="0" w:color="auto"/>
        <w:left w:val="none" w:sz="0" w:space="0" w:color="auto"/>
        <w:bottom w:val="none" w:sz="0" w:space="0" w:color="auto"/>
        <w:right w:val="none" w:sz="0" w:space="0" w:color="auto"/>
      </w:divBdr>
    </w:div>
    <w:div w:id="1664815346">
      <w:bodyDiv w:val="1"/>
      <w:marLeft w:val="0"/>
      <w:marRight w:val="0"/>
      <w:marTop w:val="0"/>
      <w:marBottom w:val="0"/>
      <w:divBdr>
        <w:top w:val="none" w:sz="0" w:space="0" w:color="auto"/>
        <w:left w:val="none" w:sz="0" w:space="0" w:color="auto"/>
        <w:bottom w:val="none" w:sz="0" w:space="0" w:color="auto"/>
        <w:right w:val="none" w:sz="0" w:space="0" w:color="auto"/>
      </w:divBdr>
    </w:div>
    <w:div w:id="1762022056">
      <w:bodyDiv w:val="1"/>
      <w:marLeft w:val="0"/>
      <w:marRight w:val="0"/>
      <w:marTop w:val="0"/>
      <w:marBottom w:val="0"/>
      <w:divBdr>
        <w:top w:val="none" w:sz="0" w:space="0" w:color="auto"/>
        <w:left w:val="none" w:sz="0" w:space="0" w:color="auto"/>
        <w:bottom w:val="none" w:sz="0" w:space="0" w:color="auto"/>
        <w:right w:val="none" w:sz="0" w:space="0" w:color="auto"/>
      </w:divBdr>
    </w:div>
    <w:div w:id="1889955875">
      <w:bodyDiv w:val="1"/>
      <w:marLeft w:val="0"/>
      <w:marRight w:val="0"/>
      <w:marTop w:val="0"/>
      <w:marBottom w:val="0"/>
      <w:divBdr>
        <w:top w:val="none" w:sz="0" w:space="0" w:color="auto"/>
        <w:left w:val="none" w:sz="0" w:space="0" w:color="auto"/>
        <w:bottom w:val="none" w:sz="0" w:space="0" w:color="auto"/>
        <w:right w:val="none" w:sz="0" w:space="0" w:color="auto"/>
      </w:divBdr>
    </w:div>
    <w:div w:id="2035689759">
      <w:bodyDiv w:val="1"/>
      <w:marLeft w:val="0"/>
      <w:marRight w:val="0"/>
      <w:marTop w:val="0"/>
      <w:marBottom w:val="0"/>
      <w:divBdr>
        <w:top w:val="none" w:sz="0" w:space="0" w:color="auto"/>
        <w:left w:val="none" w:sz="0" w:space="0" w:color="auto"/>
        <w:bottom w:val="none" w:sz="0" w:space="0" w:color="auto"/>
        <w:right w:val="none" w:sz="0" w:space="0" w:color="auto"/>
      </w:divBdr>
    </w:div>
    <w:div w:id="2041542686">
      <w:bodyDiv w:val="1"/>
      <w:marLeft w:val="0"/>
      <w:marRight w:val="0"/>
      <w:marTop w:val="0"/>
      <w:marBottom w:val="0"/>
      <w:divBdr>
        <w:top w:val="none" w:sz="0" w:space="0" w:color="auto"/>
        <w:left w:val="none" w:sz="0" w:space="0" w:color="auto"/>
        <w:bottom w:val="none" w:sz="0" w:space="0" w:color="auto"/>
        <w:right w:val="none" w:sz="0" w:space="0" w:color="auto"/>
      </w:divBdr>
    </w:div>
    <w:div w:id="206066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Ganga Das Argula</dc:creator>
  <cp:keywords/>
  <dc:description/>
  <cp:lastModifiedBy>Akshay Ganga Das Argula</cp:lastModifiedBy>
  <cp:revision>4</cp:revision>
  <dcterms:created xsi:type="dcterms:W3CDTF">2024-10-09T20:38:00Z</dcterms:created>
  <dcterms:modified xsi:type="dcterms:W3CDTF">2024-10-09T21:09:00Z</dcterms:modified>
</cp:coreProperties>
</file>