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CE" w:rsidRDefault="005D3F6B" w:rsidP="005D3F6B">
      <w:pPr>
        <w:jc w:val="center"/>
        <w:rPr>
          <w:b/>
          <w:sz w:val="36"/>
          <w:szCs w:val="36"/>
          <w:lang w:val="en-US"/>
        </w:rPr>
      </w:pPr>
      <w:r w:rsidRPr="005D3F6B">
        <w:rPr>
          <w:b/>
          <w:sz w:val="36"/>
          <w:szCs w:val="36"/>
          <w:lang w:val="en-US"/>
        </w:rPr>
        <w:t>FUNNEL DEBUGGING VIA PROMPT BASED DEBUGGING</w:t>
      </w:r>
    </w:p>
    <w:tbl>
      <w:tblPr>
        <w:tblStyle w:val="TableGrid"/>
        <w:tblW w:w="9347" w:type="dxa"/>
        <w:tblLook w:val="04A0" w:firstRow="1" w:lastRow="0" w:firstColumn="1" w:lastColumn="0" w:noHBand="0" w:noVBand="1"/>
      </w:tblPr>
      <w:tblGrid>
        <w:gridCol w:w="1990"/>
        <w:gridCol w:w="1839"/>
        <w:gridCol w:w="3347"/>
        <w:gridCol w:w="2171"/>
      </w:tblGrid>
      <w:tr w:rsidR="005D3F6B" w:rsidTr="005D3F6B">
        <w:trPr>
          <w:trHeight w:val="1228"/>
        </w:trPr>
        <w:tc>
          <w:tcPr>
            <w:tcW w:w="1990" w:type="dxa"/>
          </w:tcPr>
          <w:p w:rsidR="005D3F6B" w:rsidRDefault="005D3F6B" w:rsidP="005D3F6B">
            <w:pPr>
              <w:jc w:val="center"/>
              <w:rPr>
                <w:b/>
                <w:sz w:val="36"/>
                <w:szCs w:val="36"/>
                <w:lang w:val="en-US"/>
              </w:rPr>
            </w:pPr>
            <w:r>
              <w:rPr>
                <w:b/>
                <w:sz w:val="36"/>
                <w:szCs w:val="36"/>
                <w:lang w:val="en-US"/>
              </w:rPr>
              <w:t>Stage wise movement</w:t>
            </w:r>
          </w:p>
        </w:tc>
        <w:tc>
          <w:tcPr>
            <w:tcW w:w="1839" w:type="dxa"/>
          </w:tcPr>
          <w:p w:rsidR="005D3F6B" w:rsidRDefault="005D3F6B" w:rsidP="005D3F6B">
            <w:pPr>
              <w:jc w:val="center"/>
              <w:rPr>
                <w:b/>
                <w:sz w:val="36"/>
                <w:szCs w:val="36"/>
                <w:lang w:val="en-US"/>
              </w:rPr>
            </w:pPr>
            <w:r>
              <w:rPr>
                <w:b/>
                <w:sz w:val="36"/>
                <w:szCs w:val="36"/>
                <w:lang w:val="en-US"/>
              </w:rPr>
              <w:t>Response Rate</w:t>
            </w:r>
          </w:p>
        </w:tc>
        <w:tc>
          <w:tcPr>
            <w:tcW w:w="3347" w:type="dxa"/>
          </w:tcPr>
          <w:p w:rsidR="005D3F6B" w:rsidRDefault="005D3F6B" w:rsidP="005D3F6B">
            <w:pPr>
              <w:rPr>
                <w:b/>
                <w:sz w:val="36"/>
                <w:szCs w:val="36"/>
                <w:lang w:val="en-US"/>
              </w:rPr>
            </w:pPr>
            <w:r>
              <w:rPr>
                <w:b/>
                <w:sz w:val="36"/>
                <w:szCs w:val="36"/>
                <w:lang w:val="en-US"/>
              </w:rPr>
              <w:t xml:space="preserve">Drop off reason(hypothetical) </w:t>
            </w:r>
          </w:p>
        </w:tc>
        <w:tc>
          <w:tcPr>
            <w:tcW w:w="2171" w:type="dxa"/>
          </w:tcPr>
          <w:p w:rsidR="005D3F6B" w:rsidRDefault="005D3F6B" w:rsidP="005D3F6B">
            <w:pPr>
              <w:jc w:val="center"/>
              <w:rPr>
                <w:b/>
                <w:sz w:val="36"/>
                <w:szCs w:val="36"/>
                <w:lang w:val="en-US"/>
              </w:rPr>
            </w:pPr>
            <w:r>
              <w:rPr>
                <w:b/>
                <w:sz w:val="36"/>
                <w:szCs w:val="36"/>
                <w:lang w:val="en-US"/>
              </w:rPr>
              <w:t>Campaign message summary</w:t>
            </w:r>
          </w:p>
        </w:tc>
      </w:tr>
      <w:tr w:rsidR="005D3F6B" w:rsidRPr="005D3F6B" w:rsidTr="005D3F6B">
        <w:trPr>
          <w:trHeight w:val="804"/>
        </w:trPr>
        <w:tc>
          <w:tcPr>
            <w:tcW w:w="1990" w:type="dxa"/>
          </w:tcPr>
          <w:p w:rsidR="005D3F6B" w:rsidRPr="005D3F6B" w:rsidRDefault="005D3F6B" w:rsidP="005D3F6B">
            <w:pPr>
              <w:jc w:val="center"/>
              <w:rPr>
                <w:sz w:val="32"/>
                <w:szCs w:val="32"/>
                <w:lang w:val="en-US"/>
              </w:rPr>
            </w:pPr>
            <w:r w:rsidRPr="005D3F6B">
              <w:rPr>
                <w:sz w:val="32"/>
                <w:szCs w:val="32"/>
                <w:lang w:val="en-US"/>
              </w:rPr>
              <w:t>Lead(1000)-MQL(20)</w:t>
            </w:r>
          </w:p>
        </w:tc>
        <w:tc>
          <w:tcPr>
            <w:tcW w:w="1839" w:type="dxa"/>
          </w:tcPr>
          <w:p w:rsidR="005D3F6B" w:rsidRPr="005D3F6B" w:rsidRDefault="005D3F6B" w:rsidP="005D3F6B">
            <w:pPr>
              <w:jc w:val="center"/>
              <w:rPr>
                <w:sz w:val="32"/>
                <w:szCs w:val="32"/>
                <w:lang w:val="en-US"/>
              </w:rPr>
            </w:pPr>
            <w:r w:rsidRPr="005D3F6B">
              <w:rPr>
                <w:sz w:val="32"/>
                <w:szCs w:val="32"/>
                <w:lang w:val="en-US"/>
              </w:rPr>
              <w:t>2%</w:t>
            </w:r>
          </w:p>
        </w:tc>
        <w:tc>
          <w:tcPr>
            <w:tcW w:w="3347" w:type="dxa"/>
          </w:tcPr>
          <w:p w:rsidR="005D3F6B" w:rsidRPr="005D3F6B" w:rsidRDefault="005D3F6B" w:rsidP="005D3F6B">
            <w:pPr>
              <w:jc w:val="center"/>
              <w:rPr>
                <w:sz w:val="32"/>
                <w:szCs w:val="32"/>
                <w:lang w:val="en-US"/>
              </w:rPr>
            </w:pPr>
            <w:r w:rsidRPr="005D3F6B">
              <w:rPr>
                <w:sz w:val="32"/>
                <w:szCs w:val="32"/>
                <w:lang w:val="en-US"/>
              </w:rPr>
              <w:t>Low open Rate</w:t>
            </w:r>
          </w:p>
        </w:tc>
        <w:tc>
          <w:tcPr>
            <w:tcW w:w="2171" w:type="dxa"/>
          </w:tcPr>
          <w:p w:rsidR="005D3F6B" w:rsidRPr="005D3F6B" w:rsidRDefault="005D3F6B" w:rsidP="005D3F6B">
            <w:pPr>
              <w:jc w:val="center"/>
              <w:rPr>
                <w:sz w:val="32"/>
                <w:szCs w:val="32"/>
                <w:lang w:val="en-US"/>
              </w:rPr>
            </w:pPr>
            <w:r w:rsidRPr="005D3F6B">
              <w:rPr>
                <w:sz w:val="32"/>
                <w:szCs w:val="32"/>
                <w:lang w:val="en-US"/>
              </w:rPr>
              <w:t>Subject line is too long</w:t>
            </w:r>
          </w:p>
        </w:tc>
      </w:tr>
      <w:tr w:rsidR="005D3F6B" w:rsidRPr="005D3F6B" w:rsidTr="005D3F6B">
        <w:trPr>
          <w:trHeight w:val="1607"/>
        </w:trPr>
        <w:tc>
          <w:tcPr>
            <w:tcW w:w="1990" w:type="dxa"/>
          </w:tcPr>
          <w:p w:rsidR="005D3F6B" w:rsidRPr="005D3F6B" w:rsidRDefault="005D3F6B" w:rsidP="005D3F6B">
            <w:pPr>
              <w:jc w:val="center"/>
              <w:rPr>
                <w:sz w:val="32"/>
                <w:szCs w:val="32"/>
                <w:lang w:val="en-US"/>
              </w:rPr>
            </w:pPr>
            <w:r w:rsidRPr="005D3F6B">
              <w:rPr>
                <w:sz w:val="32"/>
                <w:szCs w:val="32"/>
                <w:lang w:val="en-US"/>
              </w:rPr>
              <w:t>MQL(500)-SQL(10)</w:t>
            </w:r>
          </w:p>
        </w:tc>
        <w:tc>
          <w:tcPr>
            <w:tcW w:w="1839" w:type="dxa"/>
          </w:tcPr>
          <w:p w:rsidR="005D3F6B" w:rsidRPr="005D3F6B" w:rsidRDefault="005D3F6B" w:rsidP="005D3F6B">
            <w:pPr>
              <w:jc w:val="center"/>
              <w:rPr>
                <w:sz w:val="32"/>
                <w:szCs w:val="32"/>
                <w:lang w:val="en-US"/>
              </w:rPr>
            </w:pPr>
            <w:r w:rsidRPr="005D3F6B">
              <w:rPr>
                <w:sz w:val="32"/>
                <w:szCs w:val="32"/>
                <w:lang w:val="en-US"/>
              </w:rPr>
              <w:t>2%</w:t>
            </w:r>
          </w:p>
        </w:tc>
        <w:tc>
          <w:tcPr>
            <w:tcW w:w="3347" w:type="dxa"/>
          </w:tcPr>
          <w:p w:rsidR="005D3F6B" w:rsidRPr="005D3F6B" w:rsidRDefault="005D3F6B" w:rsidP="005D3F6B">
            <w:pPr>
              <w:jc w:val="center"/>
              <w:rPr>
                <w:sz w:val="32"/>
                <w:szCs w:val="32"/>
                <w:lang w:val="en-US"/>
              </w:rPr>
            </w:pPr>
            <w:r w:rsidRPr="005D3F6B">
              <w:rPr>
                <w:sz w:val="32"/>
                <w:szCs w:val="32"/>
                <w:lang w:val="en-US"/>
              </w:rPr>
              <w:t>High  interest, low trust</w:t>
            </w:r>
          </w:p>
        </w:tc>
        <w:tc>
          <w:tcPr>
            <w:tcW w:w="2171" w:type="dxa"/>
          </w:tcPr>
          <w:p w:rsidR="005D3F6B" w:rsidRPr="005D3F6B" w:rsidRDefault="005D3F6B" w:rsidP="005D3F6B">
            <w:pPr>
              <w:jc w:val="center"/>
              <w:rPr>
                <w:sz w:val="32"/>
                <w:szCs w:val="32"/>
                <w:lang w:val="en-US"/>
              </w:rPr>
            </w:pPr>
            <w:r w:rsidRPr="005D3F6B">
              <w:rPr>
                <w:sz w:val="32"/>
                <w:szCs w:val="32"/>
                <w:lang w:val="en-US"/>
              </w:rPr>
              <w:t>Leads the click but don’t book meting</w:t>
            </w:r>
          </w:p>
        </w:tc>
      </w:tr>
      <w:tr w:rsidR="005D3F6B" w:rsidRPr="005D3F6B" w:rsidTr="005D3F6B">
        <w:trPr>
          <w:trHeight w:val="1630"/>
        </w:trPr>
        <w:tc>
          <w:tcPr>
            <w:tcW w:w="1990" w:type="dxa"/>
          </w:tcPr>
          <w:p w:rsidR="005D3F6B" w:rsidRPr="005D3F6B" w:rsidRDefault="005D3F6B" w:rsidP="005D3F6B">
            <w:pPr>
              <w:jc w:val="center"/>
              <w:rPr>
                <w:sz w:val="32"/>
                <w:szCs w:val="32"/>
                <w:lang w:val="en-US"/>
              </w:rPr>
            </w:pPr>
            <w:r w:rsidRPr="005D3F6B">
              <w:rPr>
                <w:sz w:val="32"/>
                <w:szCs w:val="32"/>
                <w:lang w:val="en-US"/>
              </w:rPr>
              <w:t>SQL(10)-CLEINT(2)</w:t>
            </w:r>
          </w:p>
        </w:tc>
        <w:tc>
          <w:tcPr>
            <w:tcW w:w="1839" w:type="dxa"/>
          </w:tcPr>
          <w:p w:rsidR="005D3F6B" w:rsidRPr="005D3F6B" w:rsidRDefault="005D3F6B" w:rsidP="005D3F6B">
            <w:pPr>
              <w:jc w:val="center"/>
              <w:rPr>
                <w:sz w:val="32"/>
                <w:szCs w:val="32"/>
                <w:lang w:val="en-US"/>
              </w:rPr>
            </w:pPr>
            <w:r w:rsidRPr="005D3F6B">
              <w:rPr>
                <w:sz w:val="32"/>
                <w:szCs w:val="32"/>
                <w:lang w:val="en-US"/>
              </w:rPr>
              <w:t>2%</w:t>
            </w:r>
          </w:p>
        </w:tc>
        <w:tc>
          <w:tcPr>
            <w:tcW w:w="3347" w:type="dxa"/>
          </w:tcPr>
          <w:p w:rsidR="005D3F6B" w:rsidRPr="005D3F6B" w:rsidRDefault="005D3F6B" w:rsidP="005D3F6B">
            <w:pPr>
              <w:jc w:val="center"/>
              <w:rPr>
                <w:sz w:val="32"/>
                <w:szCs w:val="32"/>
                <w:lang w:val="en-US"/>
              </w:rPr>
            </w:pPr>
            <w:r w:rsidRPr="005D3F6B">
              <w:rPr>
                <w:sz w:val="32"/>
                <w:szCs w:val="32"/>
                <w:lang w:val="en-US"/>
              </w:rPr>
              <w:t>Price shock/No urgency</w:t>
            </w:r>
          </w:p>
        </w:tc>
        <w:tc>
          <w:tcPr>
            <w:tcW w:w="2171" w:type="dxa"/>
          </w:tcPr>
          <w:p w:rsidR="005D3F6B" w:rsidRPr="005D3F6B" w:rsidRDefault="005D3F6B" w:rsidP="005D3F6B">
            <w:pPr>
              <w:jc w:val="center"/>
              <w:rPr>
                <w:sz w:val="32"/>
                <w:szCs w:val="32"/>
                <w:lang w:val="en-US"/>
              </w:rPr>
            </w:pPr>
            <w:r w:rsidRPr="005D3F6B">
              <w:rPr>
                <w:sz w:val="32"/>
                <w:szCs w:val="32"/>
                <w:lang w:val="en-US"/>
              </w:rPr>
              <w:t>Have meeting but not signed contracts</w:t>
            </w:r>
          </w:p>
        </w:tc>
      </w:tr>
      <w:tr w:rsidR="005D3F6B" w:rsidTr="005D3F6B">
        <w:trPr>
          <w:trHeight w:val="402"/>
        </w:trPr>
        <w:tc>
          <w:tcPr>
            <w:tcW w:w="1990" w:type="dxa"/>
          </w:tcPr>
          <w:p w:rsidR="005D3F6B" w:rsidRDefault="005D3F6B" w:rsidP="005D3F6B">
            <w:pPr>
              <w:jc w:val="center"/>
              <w:rPr>
                <w:b/>
                <w:sz w:val="36"/>
                <w:szCs w:val="36"/>
                <w:lang w:val="en-US"/>
              </w:rPr>
            </w:pPr>
          </w:p>
        </w:tc>
        <w:tc>
          <w:tcPr>
            <w:tcW w:w="1839" w:type="dxa"/>
          </w:tcPr>
          <w:p w:rsidR="005D3F6B" w:rsidRDefault="005D3F6B" w:rsidP="005D3F6B">
            <w:pPr>
              <w:jc w:val="center"/>
              <w:rPr>
                <w:b/>
                <w:sz w:val="36"/>
                <w:szCs w:val="36"/>
                <w:lang w:val="en-US"/>
              </w:rPr>
            </w:pPr>
          </w:p>
        </w:tc>
        <w:tc>
          <w:tcPr>
            <w:tcW w:w="3347" w:type="dxa"/>
          </w:tcPr>
          <w:p w:rsidR="005D3F6B" w:rsidRDefault="005D3F6B" w:rsidP="005D3F6B">
            <w:pPr>
              <w:jc w:val="center"/>
              <w:rPr>
                <w:b/>
                <w:sz w:val="36"/>
                <w:szCs w:val="36"/>
                <w:lang w:val="en-US"/>
              </w:rPr>
            </w:pPr>
          </w:p>
        </w:tc>
        <w:tc>
          <w:tcPr>
            <w:tcW w:w="2171" w:type="dxa"/>
          </w:tcPr>
          <w:p w:rsidR="005D3F6B" w:rsidRDefault="005D3F6B" w:rsidP="005D3F6B">
            <w:pPr>
              <w:jc w:val="center"/>
              <w:rPr>
                <w:b/>
                <w:sz w:val="36"/>
                <w:szCs w:val="36"/>
                <w:lang w:val="en-US"/>
              </w:rPr>
            </w:pPr>
          </w:p>
        </w:tc>
      </w:tr>
    </w:tbl>
    <w:p w:rsidR="005D3F6B" w:rsidRDefault="005D3F6B" w:rsidP="005D3F6B">
      <w:pPr>
        <w:rPr>
          <w:b/>
          <w:sz w:val="36"/>
          <w:szCs w:val="36"/>
          <w:lang w:val="en-US"/>
        </w:rPr>
      </w:pPr>
    </w:p>
    <w:p w:rsidR="005D3F6B" w:rsidRDefault="005D3F6B" w:rsidP="007A46DE">
      <w:pPr>
        <w:rPr>
          <w:sz w:val="32"/>
          <w:szCs w:val="32"/>
          <w:lang w:val="en-US"/>
        </w:rPr>
      </w:pPr>
      <w:r w:rsidRPr="005D3F6B">
        <w:rPr>
          <w:sz w:val="32"/>
          <w:szCs w:val="32"/>
          <w:lang w:val="en-US"/>
        </w:rPr>
        <w:t>Scenario 1: High Lead gen, Low engagement – Headline issue</w:t>
      </w:r>
    </w:p>
    <w:p w:rsidR="007A46DE" w:rsidRDefault="007A46DE" w:rsidP="007A46D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Diagnosis: The “Attention” Stage is </w:t>
      </w:r>
      <w:proofErr w:type="gramStart"/>
      <w:r>
        <w:rPr>
          <w:sz w:val="32"/>
          <w:szCs w:val="32"/>
          <w:lang w:val="en-US"/>
        </w:rPr>
        <w:t>failing .</w:t>
      </w:r>
      <w:proofErr w:type="gramEnd"/>
      <w:r>
        <w:rPr>
          <w:sz w:val="32"/>
          <w:szCs w:val="32"/>
          <w:lang w:val="en-US"/>
        </w:rPr>
        <w:t xml:space="preserve"> People are not opening the mail</w:t>
      </w:r>
    </w:p>
    <w:p w:rsidR="007A46DE" w:rsidRDefault="007A46DE" w:rsidP="007A46D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Layer of Failure: wrong tone </w:t>
      </w:r>
    </w:p>
    <w:p w:rsidR="007A46DE" w:rsidRDefault="007A46DE" w:rsidP="007A46D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Scenario 2: High </w:t>
      </w:r>
      <w:proofErr w:type="spellStart"/>
      <w:r>
        <w:rPr>
          <w:sz w:val="32"/>
          <w:szCs w:val="32"/>
          <w:lang w:val="en-US"/>
        </w:rPr>
        <w:t>MQL</w:t>
      </w:r>
      <w:proofErr w:type="gramStart"/>
      <w:r>
        <w:rPr>
          <w:sz w:val="32"/>
          <w:szCs w:val="32"/>
          <w:lang w:val="en-US"/>
        </w:rPr>
        <w:t>,Low</w:t>
      </w:r>
      <w:proofErr w:type="spellEnd"/>
      <w:proofErr w:type="gramEnd"/>
      <w:r>
        <w:rPr>
          <w:sz w:val="32"/>
          <w:szCs w:val="32"/>
          <w:lang w:val="en-US"/>
        </w:rPr>
        <w:t xml:space="preserve"> SQL – Misfit in trust building</w:t>
      </w:r>
    </w:p>
    <w:p w:rsidR="007A46DE" w:rsidRDefault="007A46DE" w:rsidP="007A46D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Diagnosis: People are interested but they don’t trust the company so much to call</w:t>
      </w:r>
    </w:p>
    <w:p w:rsidR="007A46DE" w:rsidRDefault="007A46DE" w:rsidP="007A46D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Layer of failure: Not enough proof </w:t>
      </w:r>
    </w:p>
    <w:p w:rsidR="007A46DE" w:rsidRDefault="007A46DE" w:rsidP="007A46DE">
      <w:pPr>
        <w:jc w:val="center"/>
        <w:rPr>
          <w:b/>
          <w:sz w:val="32"/>
          <w:szCs w:val="32"/>
          <w:lang w:val="en-US"/>
        </w:rPr>
      </w:pPr>
      <w:r w:rsidRPr="007A46DE">
        <w:rPr>
          <w:b/>
          <w:sz w:val="32"/>
          <w:szCs w:val="32"/>
          <w:lang w:val="en-US"/>
        </w:rPr>
        <w:t>Fix Prompt</w:t>
      </w:r>
    </w:p>
    <w:p w:rsidR="007A46DE" w:rsidRPr="007A46DE" w:rsidRDefault="0094029C" w:rsidP="007A46D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I’m </w:t>
      </w:r>
      <w:r w:rsidR="007A46DE" w:rsidRPr="007A46DE">
        <w:rPr>
          <w:sz w:val="32"/>
          <w:szCs w:val="32"/>
          <w:lang w:val="en-US"/>
        </w:rPr>
        <w:t>fixing an outbound email using a funnel-level debugging approach.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lastRenderedPageBreak/>
        <w:t>I’ve identifie</w:t>
      </w:r>
      <w:r w:rsidR="0094029C">
        <w:rPr>
          <w:sz w:val="32"/>
          <w:szCs w:val="32"/>
          <w:lang w:val="en-US"/>
        </w:rPr>
        <w:t xml:space="preserve">d two failure </w:t>
      </w:r>
      <w:proofErr w:type="gramStart"/>
      <w:r w:rsidR="0094029C">
        <w:rPr>
          <w:sz w:val="32"/>
          <w:szCs w:val="32"/>
          <w:lang w:val="en-US"/>
        </w:rPr>
        <w:t>scenarios  Write</w:t>
      </w:r>
      <w:proofErr w:type="gramEnd"/>
      <w:r w:rsidR="0094029C">
        <w:rPr>
          <w:sz w:val="32"/>
          <w:szCs w:val="32"/>
          <w:lang w:val="en-US"/>
        </w:rPr>
        <w:t xml:space="preserve"> the email again as follows</w:t>
      </w:r>
      <w:bookmarkStart w:id="0" w:name="_GoBack"/>
      <w:bookmarkEnd w:id="0"/>
      <w:r w:rsidR="0094029C">
        <w:rPr>
          <w:sz w:val="32"/>
          <w:szCs w:val="32"/>
          <w:lang w:val="en-US"/>
        </w:rPr>
        <w:tab/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b/>
          <w:bCs/>
          <w:sz w:val="32"/>
          <w:szCs w:val="32"/>
          <w:lang w:val="en-US"/>
        </w:rPr>
        <w:t>Scenario 1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t>Observation: High lead generation but low engagement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t xml:space="preserve">Diagnosis: The </w:t>
      </w:r>
      <w:r w:rsidRPr="007A46DE">
        <w:rPr>
          <w:i/>
          <w:iCs/>
          <w:sz w:val="32"/>
          <w:szCs w:val="32"/>
          <w:lang w:val="en-US"/>
        </w:rPr>
        <w:t>Attention</w:t>
      </w:r>
      <w:r w:rsidRPr="007A46DE">
        <w:rPr>
          <w:sz w:val="32"/>
          <w:szCs w:val="32"/>
          <w:lang w:val="en-US"/>
        </w:rPr>
        <w:t xml:space="preserve"> stage is breaking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t>Root cause: Wrong tone in the subject line and opening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t>What to fix: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t>Make the headline sharper and more technical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t>Use a clear system-level observation relevant to a D2C CTO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b/>
          <w:bCs/>
          <w:sz w:val="32"/>
          <w:szCs w:val="32"/>
          <w:lang w:val="en-US"/>
        </w:rPr>
        <w:t>Scenario 2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t>Observation: High MQL but low SQL</w:t>
      </w:r>
    </w:p>
    <w:p w:rsidR="007A46DE" w:rsidRPr="007A46DE" w:rsidRDefault="001F7117" w:rsidP="007A46D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Diagnosis: </w:t>
      </w:r>
      <w:r w:rsidR="007A46DE" w:rsidRPr="007A46DE">
        <w:rPr>
          <w:i/>
          <w:iCs/>
          <w:sz w:val="32"/>
          <w:szCs w:val="32"/>
          <w:lang w:val="en-US"/>
        </w:rPr>
        <w:t>trust</w:t>
      </w:r>
      <w:r w:rsidR="007A46DE" w:rsidRPr="007A46DE">
        <w:rPr>
          <w:sz w:val="32"/>
          <w:szCs w:val="32"/>
          <w:lang w:val="en-US"/>
        </w:rPr>
        <w:t xml:space="preserve"> stage is breaking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t>Root cause: Lack of context and authority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t>What to fix: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t>Add industry context, benchmarks, and credibility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t>Show that similar D2C teams already use this approach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t>No stats, no hype, no exaggerated claims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b/>
          <w:bCs/>
          <w:sz w:val="32"/>
          <w:szCs w:val="32"/>
          <w:lang w:val="en-US"/>
        </w:rPr>
        <w:t>Requirements for the rewrite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t>Use the AIDCA structure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t>Max 150 words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t>Technical, CTO-level tone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t>Outcome-focused, not feature-focused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lastRenderedPageBreak/>
        <w:t>Include authority, industry reference, and scarcity</w:t>
      </w:r>
    </w:p>
    <w:p w:rsidR="007A46DE" w:rsidRPr="007A46DE" w:rsidRDefault="007A46DE" w:rsidP="007A46DE">
      <w:pPr>
        <w:rPr>
          <w:sz w:val="32"/>
          <w:szCs w:val="32"/>
          <w:lang w:val="en-US"/>
        </w:rPr>
      </w:pPr>
      <w:r w:rsidRPr="007A46DE">
        <w:rPr>
          <w:sz w:val="32"/>
          <w:szCs w:val="32"/>
          <w:lang w:val="en-US"/>
        </w:rPr>
        <w:t xml:space="preserve">Scarcity line: </w:t>
      </w:r>
      <w:r w:rsidRPr="007A46DE">
        <w:rPr>
          <w:i/>
          <w:iCs/>
          <w:sz w:val="32"/>
          <w:szCs w:val="32"/>
          <w:lang w:val="en-US"/>
        </w:rPr>
        <w:t xml:space="preserve">We only </w:t>
      </w:r>
      <w:proofErr w:type="spellStart"/>
      <w:r w:rsidRPr="007A46DE">
        <w:rPr>
          <w:i/>
          <w:iCs/>
          <w:sz w:val="32"/>
          <w:szCs w:val="32"/>
          <w:lang w:val="en-US"/>
        </w:rPr>
        <w:t>onboard</w:t>
      </w:r>
      <w:proofErr w:type="spellEnd"/>
      <w:r w:rsidRPr="007A46DE">
        <w:rPr>
          <w:i/>
          <w:iCs/>
          <w:sz w:val="32"/>
          <w:szCs w:val="32"/>
          <w:lang w:val="en-US"/>
        </w:rPr>
        <w:t xml:space="preserve"> two D2C partners per month. Two spots left.</w:t>
      </w:r>
    </w:p>
    <w:p w:rsidR="007A46DE" w:rsidRPr="007A46DE" w:rsidRDefault="007A46DE" w:rsidP="007A46DE">
      <w:pPr>
        <w:jc w:val="center"/>
        <w:rPr>
          <w:b/>
          <w:sz w:val="32"/>
          <w:szCs w:val="32"/>
          <w:lang w:val="en-US"/>
        </w:rPr>
      </w:pPr>
    </w:p>
    <w:sectPr w:rsidR="007A46DE" w:rsidRPr="007A4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7FA2" w:rsidRDefault="00327FA2" w:rsidP="005D3F6B">
      <w:pPr>
        <w:spacing w:after="0" w:line="240" w:lineRule="auto"/>
      </w:pPr>
      <w:r>
        <w:separator/>
      </w:r>
    </w:p>
  </w:endnote>
  <w:endnote w:type="continuationSeparator" w:id="0">
    <w:p w:rsidR="00327FA2" w:rsidRDefault="00327FA2" w:rsidP="005D3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7FA2" w:rsidRDefault="00327FA2" w:rsidP="005D3F6B">
      <w:pPr>
        <w:spacing w:after="0" w:line="240" w:lineRule="auto"/>
      </w:pPr>
      <w:r>
        <w:separator/>
      </w:r>
    </w:p>
  </w:footnote>
  <w:footnote w:type="continuationSeparator" w:id="0">
    <w:p w:rsidR="00327FA2" w:rsidRDefault="00327FA2" w:rsidP="005D3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C790C"/>
    <w:multiLevelType w:val="multilevel"/>
    <w:tmpl w:val="34BC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C25413"/>
    <w:multiLevelType w:val="multilevel"/>
    <w:tmpl w:val="4020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9A255F"/>
    <w:multiLevelType w:val="multilevel"/>
    <w:tmpl w:val="C30C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F6B"/>
    <w:rsid w:val="001F7117"/>
    <w:rsid w:val="0025269E"/>
    <w:rsid w:val="00327FA2"/>
    <w:rsid w:val="00512FC7"/>
    <w:rsid w:val="005D3F6B"/>
    <w:rsid w:val="007A46DE"/>
    <w:rsid w:val="0094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3F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F6B"/>
  </w:style>
  <w:style w:type="paragraph" w:styleId="Footer">
    <w:name w:val="footer"/>
    <w:basedOn w:val="Normal"/>
    <w:link w:val="FooterChar"/>
    <w:uiPriority w:val="99"/>
    <w:unhideWhenUsed/>
    <w:rsid w:val="005D3F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F6B"/>
  </w:style>
  <w:style w:type="table" w:styleId="TableGrid">
    <w:name w:val="Table Grid"/>
    <w:basedOn w:val="TableNormal"/>
    <w:uiPriority w:val="59"/>
    <w:rsid w:val="005D3F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A4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46DE"/>
    <w:rPr>
      <w:b/>
      <w:bCs/>
    </w:rPr>
  </w:style>
  <w:style w:type="character" w:styleId="Emphasis">
    <w:name w:val="Emphasis"/>
    <w:basedOn w:val="DefaultParagraphFont"/>
    <w:uiPriority w:val="20"/>
    <w:qFormat/>
    <w:rsid w:val="007A46D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3F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F6B"/>
  </w:style>
  <w:style w:type="paragraph" w:styleId="Footer">
    <w:name w:val="footer"/>
    <w:basedOn w:val="Normal"/>
    <w:link w:val="FooterChar"/>
    <w:uiPriority w:val="99"/>
    <w:unhideWhenUsed/>
    <w:rsid w:val="005D3F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F6B"/>
  </w:style>
  <w:style w:type="table" w:styleId="TableGrid">
    <w:name w:val="Table Grid"/>
    <w:basedOn w:val="TableNormal"/>
    <w:uiPriority w:val="59"/>
    <w:rsid w:val="005D3F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A4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A46DE"/>
    <w:rPr>
      <w:b/>
      <w:bCs/>
    </w:rPr>
  </w:style>
  <w:style w:type="character" w:styleId="Emphasis">
    <w:name w:val="Emphasis"/>
    <w:basedOn w:val="DefaultParagraphFont"/>
    <w:uiPriority w:val="20"/>
    <w:qFormat/>
    <w:rsid w:val="007A46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32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2026-01-03T06:18:00Z</dcterms:created>
  <dcterms:modified xsi:type="dcterms:W3CDTF">2026-01-03T06:18:00Z</dcterms:modified>
</cp:coreProperties>
</file>