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6"/>
        <w:tblW w:w="137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5"/>
        <w:gridCol w:w="9732"/>
        <w:gridCol w:w="240"/>
      </w:tblGrid>
      <w:tr>
        <w:trPr/>
        <w:tc>
          <w:tcPr>
            <w:tcW w:w="3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bookmarkStart w:id="0" w:name="__DdeLink__1781_1409059622"/>
            <w:bookmarkStart w:id="1" w:name="__DdeLink__1768_1409059622"/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spring.sql.init.mode</w:t>
            </w:r>
            <w:bookmarkEnd w:id="0"/>
            <w:bookmarkEnd w:id="1"/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Використовується для визначення режиму виконання SQL-скриптів під час ініціалізації бази даних. Цей параметр дозволяє контролювати, коли і які SQL-скрипти будуть виконані під час створення або оновлення бази даних.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bookmarkStart w:id="2" w:name="__DdeLink__1770_1409059622"/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always</w:t>
            </w:r>
            <w:bookmarkEnd w:id="2"/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: За цього режиму SQL-скрипти завжди виконуються при створенні або оновленні бази даних. Це означає, що кожного разу, коли додаток запускається або перезапускається, SQL-скрипти будуть виконані.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bookmarkStart w:id="3" w:name="__DdeLink__1772_1409059622"/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embedded</w:t>
            </w:r>
            <w:bookmarkEnd w:id="3"/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: Цей режим використовується для вбудованих баз даних, таких як H2. SQL-скрипти виконуються лише у випадку, коли база даних створюється або оновлюється з нуля.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never: SQL-скрипти не будуть виконуватися автоматично ніколи. Ви повинні вручну виконати їх або використовувати інші механізми для виконання.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Наприклад, у режимі розробки ви, можливо, хочете використовувати `always`, щоб забезпечити, що ваша база даних завжди має правильну схему і дані. У режимі продакшн може бути більш доцільним використання `never`, оскільки ви хочете контролювати вручну процес виконання SQL-скриптів.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 xml:space="preserve">   </w:t>
            </w: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 xml:space="preserve">Цей параметр визначає, яким чином виконувати SQL-скрипти із файлів під час ініціалізації бази даних. Він має такі можливі значення: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always: Виконувати SQL-скрипти завжди, незалежно від того, який режим (`none`, `embed`, `script`) використовується для бази даних.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embedded: Виконувати SQL-скрипти, якщо база даних запускається в режимі вбудованої бази даних (наприклад, H2).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script: Виконувати SQL-скрипти, незалежно від типу бази даних, але тільки якщо вказано режим `always` або `embedded`.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none: Не виконувати SQL-скрипти незалежно від типу бази даних.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Параметр `spring.sql.init.mode` впливає на виконання SQL-скриптів, включаючи `data.sql`, при ініціалізації бази даних. Цей параметр приймає такі значення: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1. `</w:t>
            </w:r>
            <w:bookmarkStart w:id="4" w:name="__DdeLink__1774_1409059622"/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never</w:t>
            </w:r>
            <w:bookmarkEnd w:id="4"/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`: Скрипти не будуть виконані, незалежно від їх наявності.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2. `always`: Скрипти завжди будуть виконані під час ініціалізації бази даних.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3. `embedded`: Скрипти будуть виконані тільки для вбудованих баз даних.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Якщо ви використовуєте `spring.sql.init.mode=always` і маєте `data.sql` файл у відповідному місці (зазвичай в `src/main/resources`), то SQL-запити з цього файлу будуть виконані під час ініціалізації бази даних, незалежно від того, яка база даних використовується.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  <w:t>Важливо розуміти, як цей параметр впливає на ваш проект і вибирати підходящий режим в залежності від сценарію використання.</w:t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`spring.sql.init.mode` та `spring.datasource.initialization-mode` - це два різних параметри, які використовуються для ініціалізації бази даних при запуску Spring додатка. Ось їх різниця: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1. `spring.sql.init.mode`: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2. `spring.datasource.initialization-mode`: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  </w:t>
            </w: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Цей параметр вказує, коли і як виконувати скрипти із файлів для ініціалізації бази даних. Він має такі можливі значення: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  </w:t>
            </w: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- `always`: Виконувати скрипти при кожному запуску додатка.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  </w:t>
            </w: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- `embedded`: Виконувати скрипти тільки в тому випадку, якщо використовується вбудована база даних (наприклад, H2).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  </w:t>
            </w: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- `never`: Ніколи не виконувати скрипти.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Отже, різниця полягає у тому, що `spring.sql.init.mode` контролює, коли виконувати SQL-скрипти, незалежно від типу бази даних, а `spring.datasource.initialization-mode` визначає, коли і як виконувати скрипти в залежності від типу бази даних.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******************************************************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Так, параметр `spring.datasource.initialization-mode` пов'язаний з ініціалізацією бази даних, включаючи зовнішні файли типу `data.sql`. Однак, цей параметр впливає не тільки на файли `data.sql`, а також на інші внутрішні та зовнішні скрипти для ініціалізації бази даних, які можуть бути визначені в `schema.sql`, `data-h2.sql`, `data-mysql.sql` тощо.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Залежно від значення `spring.datasource.initialization-mode`, Spring Boot буде виконувати відповідні скрипти при ініціалізації бази даних. Ось як це працює: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1. `always`: Spring буде виконувати вказані скрипти завжди при кожному запуску додатка. Це може включати і файл `schema.sql`, і файл `data.sql`.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2. `embedded`: Це подібно до `always`, але скрипти будуть виконані тільки тоді, коли використовується вбудована база даних, така як H2.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3. `never`: Скрипти для ініціалізації бази даних не будуть виконані. Це корисно, коли ви хочете контролювати ініціалізацію бази даних самостійно.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Цей параметр впливає на всі типи скриптів, які можуть використовуватися для ініціалізації бази даних, і не обмежується лише зовнішніми файлами типу `data.sql`.</w:t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SimSun" w:asciiTheme="minorAscii" w:hAnsiTheme="minorAsci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SimSu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SimSun" w:asciiTheme="minorAscii" w:hAnsiTheme="minorAsci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SimSu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Ці параметри, мали б дозволити покласти файли в папку resources/mySubFolder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spring.datasource.schema=classpath:mySubFolder/schema.sql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spring.datasource.data=classpath:mySubFolder/data.sql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але чомусь не працюють, хоча в відео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Java Spring Boot - JPA - Hibernate - H2 - Database Initialization using data.sql and schema.sql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https://www.youtube.com/watch?v=9Yj2TCvrvaE&amp;list=PLG5RS5k7TfUqDHBklOB35W3MamGLBLJQW&amp;index=8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працювали.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Ці параметри не є аналогом: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spring.jpa.properties.hibernate.default_schema=ИмяІснуючоїСхемиВDataBase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spring.jpa.properties.hibernate.hbm2ddl.import_files=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що вони роблять ще не перевіряв.</w:t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`spring.jpa.defer-datasource-initialization` - це параметр у Spring Boot, який визначає, чи повинен додаток відкладати ініціалізацію джерела даних (datasource) до того часу, коли вся інша конфігурація біна `EntityManagerFactory` буде завершена.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Значення для `spring.jpa.defer-datasource-initialization` може бути: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1. `true` (за замовчуванням): Це означає, що ініціалізація джерела даних буде відкладена до того часу, коли всі біни будуть створені і всі налаштування будуть завершені. Це може бути корисним у випадках, коли ви працюєте з багатьма джерелами даних та хочете контролювати точний момент ініціалізації.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2. `false`: Це означає, що ініціалізація джерела даних буде відбуватися під час створення біна `EntityManagerFactory`. Це може бути корисним, якщо ви хочете перевірити з'єднання з базою даних в самому початку створення додатка.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Зазвичай, значення за замовчуванням (`true`) є прийнятним для більшості випадків. Однак, у деяких складних сценаріях ви можете встановити `spring.jpa.defer-datasource-initialization` в `false`, якщо ви хочете, щоб ініціалізація джерела даних відбувалася на пізньому етапі конфігурації.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Наприклад, для встановлення параметра `spring.jpa.defer-datasource-initialization` в `false`, ви можете додати наступний рядок до файлу `application.properties`: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```properties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spring.jpa.defer-datasource-initialization=false</w:t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宋体" w:cs="" w:asciiTheme="minorAscii" w:cstheme="minorBidi" w:eastAsiaTheme="minorEastAsia" w:hAnsiTheme="minorAscii"/>
                <w:position w:val="0"/>
                <w:sz w:val="2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position w:val="0"/>
                <w:sz w:val="20"/>
                <w:sz w:val="20"/>
                <w:szCs w:val="20"/>
                <w:vertAlign w:val="baseli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宋体" w:cs="" w:asciiTheme="minorAscii" w:cstheme="minorBidi" w:eastAsiaTheme="minorEastAsia" w:hAnsiTheme="minorAscii"/>
                <w:position w:val="0"/>
                <w:sz w:val="2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position w:val="0"/>
                <w:sz w:val="20"/>
                <w:sz w:val="20"/>
                <w:szCs w:val="20"/>
                <w:vertAlign w:val="baseline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sz w:val="20"/>
                <w:szCs w:val="20"/>
                <w:lang w:val="en-US" w:eastAsia="zh-CN"/>
              </w:rPr>
            </w:pPr>
            <w:r>
              <w:rPr>
                <w:rFonts w:asciiTheme="minorAscii" w:hAnsiTheme="minorAscii"/>
                <w:sz w:val="20"/>
                <w:szCs w:val="20"/>
                <w:lang w:val="en-US" w:eastAsia="zh-CN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SimSun" w:asciiTheme="minorAscii" w:hAnsiTheme="minorAsci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SimSu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SimSun" w:asciiTheme="minorAscii" w:hAnsiTheme="minorAsci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SimSu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color w:val="7030A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color w:val="7030A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color w:val="0070C0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color w:val="0070C0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color w:val="auto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color w:val="auto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>
              <w:rPr>
                <w:rFonts w:asciiTheme="minorAscii" w:hAnsiTheme="minorAscii"/>
                <w:sz w:val="20"/>
                <w:szCs w:val="20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2070" w:hRule="atLeast"/>
        </w:trPr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>
              <w:rPr>
                <w:rFonts w:asciiTheme="minorAscii" w:hAnsiTheme="minorAscii"/>
                <w:sz w:val="20"/>
                <w:szCs w:val="20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>
              <w:rPr>
                <w:rFonts w:asciiTheme="minorAscii" w:hAnsiTheme="minorAscii"/>
                <w:sz w:val="20"/>
                <w:szCs w:val="20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>
              <w:rPr>
                <w:rFonts w:asciiTheme="minorAscii" w:hAnsiTheme="minorAscii"/>
                <w:sz w:val="20"/>
                <w:szCs w:val="20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color w:val="7030A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color w:val="7030A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spacing w:before="0" w:after="0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 w:ascii="Calibri" w:hAnsi="Calibr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spacing w:before="0" w:after="0"/>
              <w:rPr>
                <w:rFonts w:ascii="Calibri" w:hAnsi="Calibri" w:asciiTheme="minorAscii" w:hAnsiTheme="minorAscii"/>
                <w:sz w:val="20"/>
                <w:szCs w:val="20"/>
                <w:lang w:val="en-US"/>
              </w:rPr>
            </w:pPr>
            <w:r>
              <w:rPr>
                <w:rFonts w:asciiTheme="minorAscii" w:hAnsiTheme="minorAsci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spacing w:before="0" w:after="0"/>
              <w:rPr>
                <w:rFonts w:ascii="Calibri" w:hAnsi="Calibri" w:asciiTheme="minorAscii" w:hAnsiTheme="minorAscii"/>
                <w:sz w:val="20"/>
                <w:szCs w:val="20"/>
                <w:lang w:val="en-US"/>
              </w:rPr>
            </w:pPr>
            <w:r>
              <w:rPr>
                <w:rFonts w:asciiTheme="minorAscii" w:hAnsiTheme="minorAsci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color w:val="7030A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color w:val="7030A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宋体" w:cs="" w:asciiTheme="minorAscii" w:cstheme="minorBidi" w:eastAsiaTheme="minorEastAsia" w:hAnsiTheme="minorAscii"/>
                <w:color w:val="0070C0"/>
                <w:position w:val="0"/>
                <w:sz w:val="2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0070C0"/>
                <w:position w:val="0"/>
                <w:sz w:val="20"/>
                <w:sz w:val="20"/>
                <w:szCs w:val="20"/>
                <w:vertAlign w:val="baseline"/>
                <w:lang w:val="en-US" w:eastAsia="zh-CN" w:bidi="ar-SA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color w:val="7030A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color w:val="7030A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color w:val="0070C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color w:val="0070C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color w:val="7030A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color w:val="7030A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b w:val="false"/>
                <w:bCs w:val="false"/>
                <w:color w:val="auto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eastAsia="SimSun" w:cs="Calibri" w:asciiTheme="minorAscii" w:hAnsiTheme="minorAscii"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SimSun" w:cs="Calibri"/>
                <w:i w:val="false"/>
                <w:iCs w:val="false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color w:val="0070C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color w:val="0070C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textAlignment w:val="center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37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Theme="minorAscii" w:hAnsiTheme="minorAscii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</w:tbl>
    <w:p>
      <w:pPr>
        <w:pStyle w:val="Normal"/>
        <w:rPr>
          <w:rFonts w:ascii="Calibri" w:hAnsi="Calibri" w:asciiTheme="minorAscii" w:hAnsiTheme="minorAscii"/>
          <w:sz w:val="20"/>
          <w:szCs w:val="20"/>
        </w:rPr>
      </w:pPr>
      <w:r>
        <w:rPr>
          <w:rFonts w:asciiTheme="minorAscii" w:hAnsiTheme="minorAscii"/>
          <w:sz w:val="20"/>
          <w:szCs w:val="20"/>
        </w:rPr>
      </w:r>
    </w:p>
    <w:p>
      <w:pPr>
        <w:pStyle w:val="Normal"/>
        <w:rPr>
          <w:rFonts w:ascii="Calibri" w:hAnsi="Calibri" w:asciiTheme="minorAscii" w:hAnsiTheme="minorAscii"/>
          <w:sz w:val="20"/>
          <w:szCs w:val="20"/>
        </w:rPr>
      </w:pPr>
      <w:r>
        <w:rPr>
          <w:rFonts w:asciiTheme="minorAscii" w:hAnsiTheme="minorAscii"/>
          <w:sz w:val="20"/>
          <w:szCs w:val="20"/>
        </w:rPr>
      </w:r>
    </w:p>
    <w:p>
      <w:pPr>
        <w:pStyle w:val="Normal"/>
        <w:rPr>
          <w:rFonts w:ascii="Calibri" w:hAnsi="Calibri" w:asciiTheme="minorAscii" w:hAnsiTheme="minorAscii"/>
          <w:sz w:val="20"/>
          <w:szCs w:val="20"/>
        </w:rPr>
      </w:pPr>
      <w:r>
        <w:rPr>
          <w:rFonts w:asciiTheme="minorAscii" w:hAnsiTheme="minorAscii"/>
          <w:sz w:val="20"/>
          <w:szCs w:val="20"/>
        </w:rPr>
      </w:r>
    </w:p>
    <w:p>
      <w:pPr>
        <w:pStyle w:val="Normal"/>
        <w:rPr>
          <w:rFonts w:ascii="Calibri" w:hAnsi="Calibri" w:asciiTheme="minorAscii" w:hAnsiTheme="minorAscii"/>
          <w:sz w:val="20"/>
          <w:szCs w:val="20"/>
        </w:rPr>
      </w:pPr>
      <w:r>
        <w:rPr>
          <w:rFonts w:asciiTheme="minorAscii" w:hAnsiTheme="minorAscii"/>
          <w:sz w:val="20"/>
          <w:szCs w:val="20"/>
        </w:rPr>
      </w:r>
    </w:p>
    <w:p>
      <w:pPr>
        <w:pStyle w:val="Normal"/>
        <w:rPr>
          <w:rFonts w:ascii="Calibri" w:hAnsi="Calibri" w:asciiTheme="minorAscii" w:hAnsiTheme="minorAscii"/>
          <w:sz w:val="20"/>
          <w:szCs w:val="20"/>
        </w:rPr>
      </w:pPr>
      <w:r>
        <w:rPr/>
      </w:r>
    </w:p>
    <w:sectPr>
      <w:type w:val="nextPage"/>
      <w:pgSz w:orient="landscape" w:w="16838" w:h="11906"/>
      <w:pgMar w:left="640" w:right="398" w:gutter="0" w:header="0" w:top="400" w:footer="0" w:bottom="506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LibreOffice/7.5.3.2$Linux_X86_64 LibreOffice_project/9f56dff12ba03b9acd7730a5a481eea045e468f3</Application>
  <AppVersion>15.0000</AppVersion>
  <Pages>6</Pages>
  <Words>765</Words>
  <Characters>5533</Characters>
  <CharactersWithSpaces>6269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2023-03-06T07:06:00Z</dcterms:created>
  <dc:creator>kiranatos</dc:creator>
  <dc:description/>
  <dc:language>en-US</dc:language>
  <cp:lastModifiedBy/>
  <dcterms:modified xsi:type="dcterms:W3CDTF">2023-08-26T23:52:39Z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