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2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b/>
          <w:bCs/>
          <w:sz w:val="36"/>
          <w:szCs w:val="36"/>
        </w:rPr>
        <w:t>Краткий отчёт по ВКР</w:t>
      </w:r>
    </w:p>
    <w:p>
      <w:pPr>
        <w:pStyle w:val="Normal"/>
        <w:spacing w:before="0" w:after="0"/>
        <w:jc w:val="center"/>
        <w:rPr/>
      </w:pPr>
      <w:r>
        <w:rPr>
          <w:sz w:val="24"/>
          <w:szCs w:val="24"/>
        </w:rPr>
        <w:t>Разработка архитектуры нейросетевого агента на основе слоёв Mamba-2 для решения задач в среде ViZDoom</w:t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22"/>
          <w:szCs w:val="22"/>
        </w:rPr>
        <w:t>Исполнитель: Федорин К.В., группа К3440</w:t>
      </w:r>
    </w:p>
    <w:p>
      <w:pPr>
        <w:pStyle w:val="Normal"/>
        <w:spacing w:before="0" w:after="400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1. Что сделано</w:t>
      </w:r>
    </w:p>
    <w:p>
      <w:pPr>
        <w:pStyle w:val="Heading2"/>
        <w:spacing w:before="240" w:after="120"/>
        <w:rPr/>
      </w:pPr>
      <w:r>
        <w:rPr>
          <w:b/>
          <w:bCs/>
        </w:rPr>
        <w:t>1.1. Разработан программный комплекс</w:t>
      </w:r>
    </w:p>
    <w:p>
      <w:pPr>
        <w:pStyle w:val="Normal"/>
        <w:spacing w:before="0" w:after="120"/>
        <w:rPr/>
      </w:pPr>
      <w:r>
        <w:rPr/>
        <w:t>Реализована архитектура PolicyModel со сменным модулем памяти через интерфейс ModelCore (Sample Factory). Это позволяет подключать разные архитектуры памяти (GRU, Mamba-2, Transformer, Perceiver IO) без изменения энкодера, декодера или цикла обучения APPO.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558665" cy="5731510"/>
            <wp:effectExtent l="0" t="0" r="0" b="0"/>
            <wp:docPr id="1" name="architecture_diagram.svg" descr="architecture_diagram.svg" title="architecture_diagram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_diagram.svg" descr="architecture_diagram.svg" title="architecture_diagram.sv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65" cy="573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i/>
          <w:iCs/>
        </w:rPr>
        <w:t>Рис. 1 — Архитектура PolicyModel со сменным модулем памяти</w:t>
      </w:r>
    </w:p>
    <w:p>
      <w:pPr>
        <w:pStyle w:val="Normal"/>
        <w:spacing w:before="0" w:after="80"/>
        <w:rPr/>
      </w:pPr>
      <w:r>
        <w:rPr>
          <w:b/>
          <w:bCs/>
        </w:rPr>
        <w:t>Ключевые компоненты: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Mamba2Core — сериализация conv_state + ssm_state в rnn_states, gradient checkpointing для снижения VRAM на ~50%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TransformerCore — скользящее окно (64 шага) с каузальной маской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PerceiverCore — латентный массив (32 вектора), кросс-внимание, фиксированная память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HPO — байесовская оптимизация Optuna + TPE + ASHA (85 trials Mamba-2, 15 Transformer, 10 Perceiver)</w:t>
      </w:r>
    </w:p>
    <w:p>
      <w:pPr>
        <w:pStyle w:val="Heading2"/>
        <w:spacing w:before="240" w:after="120"/>
        <w:rPr/>
      </w:pPr>
      <w:r>
        <w:rPr>
          <w:b/>
          <w:bCs/>
        </w:rPr>
        <w:t>1.2. Пилотный скрининг 7 архитектур (50M шагов)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334000" cy="3810000"/>
            <wp:effectExtent l="0" t="0" r="0" b="0"/>
            <wp:docPr id="2" name="full_architecture_comparison.png" descr="full_architecture_comparison.png" title="full_architectur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ull_architecture_comparison.png" descr="full_architecture_comparison.png" title="full_architecture_compariso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i/>
          <w:iCs/>
        </w:rPr>
        <w:t>Рис. 2 — Сравнение архитектур по награде за 50M шагов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799"/>
        <w:gridCol w:w="3801"/>
        <w:gridCol w:w="37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Архитектура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Средняя награда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GRU + HPO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17.66 ± 2.39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Прошёл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Mamba-2 HPO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14.45 ± 2.20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Прошёл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GRU baseline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13.68 ± 1.10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Прошёл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Mamba-1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9.03 ± 3.20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Отсеян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GLA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6.57 ± 2.60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Отсеян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DeltaNet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4.17 ± 2.24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Отсеян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Perceiver IO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0.99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Отсеян</w:t>
            </w:r>
          </w:p>
        </w:tc>
      </w:tr>
      <w:tr>
        <w:trPr/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Transformer</w:t>
            </w:r>
          </w:p>
        </w:tc>
        <w:tc>
          <w:tcPr>
            <w:tcW w:w="38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0.57</w:t>
            </w:r>
          </w:p>
        </w:tc>
        <w:tc>
          <w:tcPr>
            <w:tcW w:w="37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Отсеян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Ключевой результат: настройка гиперпараметров (AdamW, lr=4.05e-4, weight_decay=1.96e-3) дала GRU +29% относительно baseline (p=0.0034).</w:t>
      </w:r>
    </w:p>
    <w:p>
      <w:pPr>
        <w:pStyle w:val="Heading2"/>
        <w:spacing w:before="240" w:after="120"/>
        <w:rPr/>
      </w:pPr>
      <w:r>
        <w:rPr>
          <w:b/>
          <w:bCs/>
        </w:rPr>
        <w:t>1.3. Сравнение GRU vs Mamba-2 при 250M шагов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143500" cy="3333750"/>
            <wp:effectExtent l="0" t="0" r="0" b="0"/>
            <wp:docPr id="3" name="gru_vs_mamba2_250m.png" descr="gru_vs_mamba2_250m.png" title="gru_vs_mamba2_250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u_vs_mamba2_250m.png" descr="gru_vs_mamba2_250m.png" title="gru_vs_mamba2_250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i/>
          <w:iCs/>
        </w:rPr>
        <w:t>Рис. 3 — GRU и Mamba-2 при 250M шагов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GRU: best 22.45, плато после 150M, FPS ~56 000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Mamba-2: best 21.53, FPS ~15 000 (в 3-4 раза медленнее)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При 250M шагов разрыв между архитектурами практически исчезает</w:t>
      </w:r>
    </w:p>
    <w:p>
      <w:pPr>
        <w:pStyle w:val="Heading2"/>
        <w:spacing w:before="240" w:after="120"/>
        <w:rPr/>
      </w:pPr>
      <w:r>
        <w:rPr>
          <w:b/>
          <w:bCs/>
        </w:rPr>
        <w:t>1.4. Характеристики стенда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63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GPU</w:t>
            </w:r>
          </w:p>
        </w:tc>
        <w:tc>
          <w:tcPr>
            <w:tcW w:w="63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NVIDIA RTX 5090 Laptop (24 GB VRAM)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CPU</w:t>
            </w:r>
          </w:p>
        </w:tc>
        <w:tc>
          <w:tcPr>
            <w:tcW w:w="63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Intel Ultra 9 285H (16 ядер)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RAM</w:t>
            </w:r>
          </w:p>
        </w:tc>
        <w:tc>
          <w:tcPr>
            <w:tcW w:w="63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32 GB DDR5-5600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Фреймворки</w:t>
            </w:r>
          </w:p>
        </w:tc>
        <w:tc>
          <w:tcPr>
            <w:tcW w:w="63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PyTorch 2.11.0, Sample Factory 2.1.1, ViZDoom 1.3.0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Затраты</w:t>
            </w:r>
          </w:p>
        </w:tc>
        <w:tc>
          <w:tcPr>
            <w:tcW w:w="63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~150 запусков, ~600 часов GPU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b/>
          <w:bCs/>
        </w:rPr>
        <w:t>2. Что планируется (ближайшие 1-2 месяца)</w:t>
      </w:r>
    </w:p>
    <w:p>
      <w:pPr>
        <w:pStyle w:val="Heading2"/>
        <w:spacing w:before="240" w:after="120"/>
        <w:rPr/>
      </w:pPr>
      <w:r>
        <w:rPr>
          <w:b/>
          <w:bCs/>
        </w:rPr>
        <w:t>2.1. Mamba-3</w:t>
      </w:r>
    </w:p>
    <w:p>
      <w:pPr>
        <w:pStyle w:val="Normal"/>
        <w:spacing w:before="0" w:after="120"/>
        <w:rPr/>
      </w:pPr>
      <w:r>
        <w:rPr/>
        <w:t>Новейшая архитектура семейства селективных SSM (Lahoti et al., 2026, arXiv:2603.15569). Отличия от Mamba-2: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Exponential-trapezoidal дискретизация — более точное приближение непрерывной SSM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Комплекснозначное состояние (complex-valued SSM) — рост ёмкости без увеличения числа параметров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MIMO (multi-input multi-output) — каждый слой обрабатывает несколько потоков независимо</w:t>
      </w:r>
    </w:p>
    <w:p>
      <w:pPr>
        <w:pStyle w:val="Normal"/>
        <w:spacing w:before="0" w:after="120"/>
        <w:rPr/>
      </w:pPr>
      <w:r>
        <w:rPr/>
        <w:t>Превосходит Gated DeltaNet на 1.8 п.п. при 1.5B параметров на языковых бенчмарках. В RL не апробирована — открытый исследовательский вопрос.</w:t>
      </w:r>
    </w:p>
    <w:p>
      <w:pPr>
        <w:pStyle w:val="Normal"/>
        <w:spacing w:before="0" w:after="120"/>
        <w:rPr/>
      </w:pPr>
      <w:r>
        <w:rPr/>
        <w:t>Интеграция из того же репозитория (state-spaces/mamba), что и Mamba-1/Mamba-2.</w:t>
      </w:r>
    </w:p>
    <w:p>
      <w:pPr>
        <w:pStyle w:val="Heading2"/>
        <w:spacing w:before="240" w:after="120"/>
        <w:rPr/>
      </w:pPr>
      <w:r>
        <w:rPr>
          <w:b/>
          <w:bCs/>
        </w:rPr>
        <w:t>2.2. Gated DeltaNet</w:t>
      </w:r>
    </w:p>
    <w:p>
      <w:pPr>
        <w:pStyle w:val="Normal"/>
        <w:spacing w:before="0" w:after="120"/>
        <w:rPr/>
      </w:pPr>
      <w:r>
        <w:rPr/>
        <w:t>Архитектура NVIDIA (Yang et al., ICLR 2025), комбинирующая гейтинг с delta rule. Превосходит Mamba-2 на retrieval-задачах. Реализация уточняется (оригинальная NVIDIA или fla).</w:t>
      </w:r>
    </w:p>
    <w:p>
      <w:pPr>
        <w:pStyle w:val="Heading2"/>
        <w:spacing w:before="240" w:after="120"/>
        <w:rPr/>
      </w:pPr>
      <w:r>
        <w:rPr>
          <w:b/>
          <w:bCs/>
        </w:rPr>
        <w:t>2.3. Прочие эксперименты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Увеличение окна Transformer до 256+ шагов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Гибридные VLA-модели (CombatVLA) с Mamba-2 backbone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Полные прогоны GLA и DeltaNet на 250M шагов</w:t>
      </w:r>
    </w:p>
    <w:p>
      <w:pPr>
        <w:pStyle w:val="Normal"/>
        <w:spacing w:before="0" w:after="120"/>
        <w:rPr>
          <w:i/>
          <w:iCs/>
        </w:rPr>
      </w:pPr>
      <w:r>
        <w:rPr/>
        <w:t xml:space="preserve">• </w:t>
      </w:r>
      <w:r>
        <w:rPr/>
        <w:t>Ablation studies: gradient checkpointing, размерность состояния SSM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40" w:right="120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— </w:t>
    </w:r>
    <w:r>
      <w:rPr>
        <w:i/>
        <w:iCs/>
      </w:rPr>
      <w:fldChar w:fldCharType="begin"/>
    </w:r>
    <w:r>
      <w:rPr>
        <w:i/>
        <w:iCs/>
      </w:rPr>
      <w:instrText xml:space="preserve"> PAGE </w:instrText>
    </w:r>
    <w:r>
      <w:rPr>
        <w:i/>
        <w:iCs/>
      </w:rPr>
      <w:fldChar w:fldCharType="separate"/>
    </w:r>
    <w:r>
      <w:rPr>
        <w:i/>
        <w:iCs/>
      </w:rPr>
      <w:t>4</w:t>
    </w:r>
    <w:r>
      <w:rPr>
        <w:i/>
        <w:iCs/>
      </w:rPr>
      <w:fldChar w:fldCharType="end"/>
    </w:r>
    <w:r>
      <w:rPr>
        <w:sz w:val="18"/>
        <w:szCs w:val="18"/>
      </w:rPr>
      <w:t xml:space="preserve">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— </w:t>
    </w:r>
    <w:r>
      <w:rPr>
        <w:i/>
        <w:iCs/>
      </w:rPr>
      <w:fldChar w:fldCharType="begin"/>
    </w:r>
    <w:r>
      <w:rPr>
        <w:i/>
        <w:iCs/>
      </w:rPr>
      <w:instrText xml:space="preserve"> PAGE </w:instrText>
    </w:r>
    <w:r>
      <w:rPr>
        <w:i/>
        <w:iCs/>
      </w:rPr>
      <w:fldChar w:fldCharType="separate"/>
    </w:r>
    <w:r>
      <w:rPr>
        <w:i/>
        <w:iCs/>
      </w:rPr>
      <w:t>4</w:t>
    </w:r>
    <w:r>
      <w:rPr>
        <w:i/>
        <w:iCs/>
      </w:rPr>
      <w:fldChar w:fldCharType="end"/>
    </w:r>
    <w:r>
      <w:rPr>
        <w:sz w:val="18"/>
        <w:szCs w:val="18"/>
      </w:rPr>
      <w:t xml:space="preserve"> —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Краткий отчёт по ВКР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Краткий отчёт по ВКР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180" w:after="12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LibreOffice_project/df4f15f06f7b375c1d16aa35fba92d50b262cd01</Application>
  <AppVersion>15.0000</AppVersion>
  <Pages>4</Pages>
  <Words>420</Words>
  <Characters>2593</Characters>
  <CharactersWithSpaces>2949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2026-07-09T06:41:42Z</dcterms:created>
  <dc:creator>Un-named</dc:creator>
  <dc:description/>
  <dc:language>en-GB</dc:language>
  <cp:lastModifiedBy/>
  <dcterms:modified xsi:type="dcterms:W3CDTF">2026-07-09T09:44:26Z</dcterms:modified>
  <cp:revision>2</cp:revision>
  <dc:subject/>
  <dc:title/>
</cp:coreProperties>
</file>