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p>
    <w:p>
      <w:pPr>
        <w:spacing w:before="0" w:after="160"/>
      </w:pPr>
      <w:r>
        <w:rPr>
          <w:rFonts w:ascii="Segoe UI" w:hAnsi="Segoe UI"/>
          <w:b/>
          <w:color w:val="0F766E"/>
          <w:sz w:val="22"/>
        </w:rPr>
        <w:t>INGENIERÍA DE SOFTWARE &amp; GESTIÓN DE CONFIGURACIÓN</w:t>
      </w:r>
    </w:p>
    <w:p>
      <w:pPr>
        <w:spacing w:before="0" w:after="240"/>
      </w:pPr>
      <w:r>
        <w:rPr>
          <w:rFonts w:ascii="Segoe UI" w:hAnsi="Segoe UI"/>
          <w:b/>
          <w:color w:val="0F172A"/>
          <w:sz w:val="56"/>
        </w:rPr>
        <w:t>Gestión del Cambio en el Ciclo de Vida del Software</w:t>
      </w:r>
    </w:p>
    <w:p>
      <w:pPr>
        <w:spacing w:before="0" w:after="480"/>
      </w:pPr>
      <w:r>
        <w:rPr>
          <w:rFonts w:ascii="Segoe UI" w:hAnsi="Segoe UI"/>
          <w:color w:val="64748B"/>
          <w:sz w:val="26"/>
        </w:rPr>
        <w:t>Fundamentos teóricos, ciclo de control, tipología de cambios y su implementación práctica en entornos modernos de Git y GitHub.</w:t>
      </w:r>
    </w:p>
    <w:tbl>
      <w:tblPr>
        <w:tblW w:type="auto" w:w="0"/>
        <w:jc w:val="left"/>
        <w:tblLook w:firstColumn="1" w:firstRow="1" w:lastColumn="0" w:lastRow="0" w:noHBand="0" w:noVBand="1" w:val="04A0"/>
      </w:tblPr>
      <w:tblGrid>
        <w:gridCol w:w="9360"/>
      </w:tblGrid>
      <w:tr>
        <w:tc>
          <w:tcPr>
            <w:tcW w:type="dxa" w:w="3600"/>
            <w:shd w:fill="0F766E"/>
            <w:tcMar>
              <w:top w:w="20" w:type="dxa"/>
              <w:bottom w:w="20" w:type="dxa"/>
              <w:left w:w="0" w:type="dxa"/>
              <w:right w:w="0" w:type="dxa"/>
            </w:tcMar>
          </w:tcPr>
          <w:p>
            <w:pPr>
              <w:spacing w:before="0" w:after="0"/>
            </w:pPr>
            <w:r>
              <w:rPr>
                <w:sz w:val="4"/>
              </w:rPr>
            </w:r>
          </w:p>
        </w:tc>
      </w:tr>
    </w:tbl>
    <w:p>
      <w:pPr>
        <w:spacing w:before="3600"/>
      </w:pPr>
    </w:p>
    <w:p>
      <w:pPr>
        <w:spacing w:before="0" w:after="60"/>
      </w:pPr>
      <w:r>
        <w:rPr>
          <w:rFonts w:ascii="Segoe UI" w:hAnsi="Segoe UI"/>
          <w:b/>
          <w:color w:val="64748B"/>
          <w:sz w:val="20"/>
        </w:rPr>
        <w:t xml:space="preserve">Elaborado por: </w:t>
      </w:r>
      <w:r>
        <w:rPr>
          <w:rFonts w:ascii="Segoe UI" w:hAnsi="Segoe UI"/>
          <w:color w:val="0F172A"/>
          <w:sz w:val="21"/>
        </w:rPr>
        <w:t>Equipo de Desarrollo &amp; Aseguramiento de Calidad</w:t>
      </w:r>
    </w:p>
    <w:p>
      <w:pPr>
        <w:spacing w:before="0" w:after="60"/>
      </w:pPr>
      <w:r>
        <w:rPr>
          <w:rFonts w:ascii="Segoe UI" w:hAnsi="Segoe UI"/>
          <w:b/>
          <w:color w:val="64748B"/>
          <w:sz w:val="20"/>
        </w:rPr>
        <w:t xml:space="preserve">Organización: </w:t>
      </w:r>
      <w:r>
        <w:rPr>
          <w:rFonts w:ascii="Segoe UI" w:hAnsi="Segoe UI"/>
          <w:color w:val="0F172A"/>
          <w:sz w:val="21"/>
        </w:rPr>
        <w:t>Facultad de Ingeniería / Departamento de Sistemas</w:t>
      </w:r>
    </w:p>
    <w:p>
      <w:pPr>
        <w:spacing w:before="0" w:after="60"/>
      </w:pPr>
      <w:r>
        <w:rPr>
          <w:rFonts w:ascii="Segoe UI" w:hAnsi="Segoe UI"/>
          <w:b/>
          <w:color w:val="64748B"/>
          <w:sz w:val="20"/>
        </w:rPr>
        <w:t xml:space="preserve">Fecha: </w:t>
      </w:r>
      <w:r>
        <w:rPr>
          <w:rFonts w:ascii="Segoe UI" w:hAnsi="Segoe UI"/>
          <w:color w:val="0F172A"/>
          <w:sz w:val="21"/>
        </w:rPr>
        <w:t>Octubre 2026</w:t>
      </w:r>
    </w:p>
    <w:p>
      <w:pPr>
        <w:spacing w:before="0" w:after="60"/>
      </w:pPr>
      <w:r>
        <w:rPr>
          <w:rFonts w:ascii="Segoe UI" w:hAnsi="Segoe UI"/>
          <w:b/>
          <w:color w:val="64748B"/>
          <w:sz w:val="20"/>
        </w:rPr>
        <w:t xml:space="preserve">Versión: </w:t>
      </w:r>
      <w:r>
        <w:rPr>
          <w:rFonts w:ascii="Segoe UI" w:hAnsi="Segoe UI"/>
          <w:color w:val="0F172A"/>
          <w:sz w:val="21"/>
        </w:rPr>
        <w:t>1.0 - Informe Técnico Exhaustivo</w:t>
      </w:r>
    </w:p>
    <w:p>
      <w:r>
        <w:br w:type="page"/>
      </w:r>
    </w:p>
    <w:p>
      <w:pPr>
        <w:keepNext/>
        <w:spacing w:before="440" w:after="120"/>
      </w:pPr>
      <w:r>
        <w:rPr>
          <w:rFonts w:ascii="Segoe UI" w:hAnsi="Segoe UI"/>
          <w:b/>
          <w:color w:val="0F172A"/>
          <w:sz w:val="36"/>
        </w:rPr>
        <w:t>1. Resumen Ejecutivo</w:t>
      </w:r>
    </w:p>
    <w:p>
      <w:pPr>
        <w:spacing w:before="0" w:after="120" w:line="276" w:lineRule="auto"/>
      </w:pPr>
      <w:r>
        <w:rPr>
          <w:rFonts w:ascii="Segoe UI" w:hAnsi="Segoe UI"/>
          <w:b/>
          <w:color w:val="0F172A"/>
          <w:sz w:val="22"/>
        </w:rPr>
        <w:t xml:space="preserve">Propósito del documento: </w:t>
      </w:r>
      <w:r>
        <w:rPr>
          <w:rFonts w:ascii="Segoe UI" w:hAnsi="Segoe UI"/>
          <w:color w:val="334155"/>
          <w:sz w:val="22"/>
        </w:rPr>
        <w:t>El presente informe desarrolla un análisis exhaustivo sobre la Gestión del Cambio (Software Change Management - SCM), articulando los principios formales de la ingeniería de software con los flujos de trabajo contemporáneos de desarrollo colaborativo (Git, GitHub, CI/CD y plataformas ITSM). A lo largo del documento se detallan las definiciones esenciales, las etapas del ciclo de vida de un cambio, su clasificación taxativa, los roles y artefactos implicados, y cómo herramientas como Issues y Pull Requests representan la materialización práctica de estos controles en la industria moderna.</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36" w:space="0" w:color="0F766E"/>
              <w:top w:val="none"/>
              <w:right w:val="none"/>
              <w:bottom w:val="none"/>
            </w:tcBorders>
            <w:tcMar>
              <w:top w:w="160" w:type="dxa"/>
              <w:bottom w:w="160" w:type="dxa"/>
              <w:left w:w="240" w:type="dxa"/>
              <w:right w:w="200" w:type="dxa"/>
            </w:tcMar>
          </w:tcPr>
          <w:p>
            <w:pPr>
              <w:spacing w:before="0" w:after="40" w:line="276" w:lineRule="auto"/>
            </w:pPr>
            <w:r>
              <w:rPr>
                <w:rFonts w:ascii="Segoe UI" w:hAnsi="Segoe UI"/>
                <w:b/>
                <w:color w:val="0F766E"/>
                <w:sz w:val="21"/>
              </w:rPr>
              <w:t>PRINCIPIO FUNDAMENTAL DE LA INGENIERÍA DE SOFTWARE</w:t>
              <w:br/>
            </w:r>
            <w:r>
              <w:rPr>
                <w:rFonts w:ascii="Segoe UI" w:hAnsi="Segoe UI"/>
                <w:color w:val="334155"/>
                <w:sz w:val="21"/>
              </w:rPr>
              <w:t>En el desarrollo de software, el cambio no es una anomalía; es una constante inevitable provocada por la evolución de las necesidades del negocio, las correcciones de defectos y las actualizaciones tecnológicas. El objetivo de la gestión del cambio no es bloquear la evolución del sistema, sino garantizar que cada modificación sea trazable, evaluada en impacto, debidamente autorizada y verificada antes de alcanzar entornos productivos.</w:t>
            </w:r>
          </w:p>
        </w:tc>
      </w:tr>
    </w:tbl>
    <w:p>
      <w:pPr>
        <w:spacing w:before="0" w:after="120"/>
      </w:pPr>
    </w:p>
    <w:p>
      <w:pPr>
        <w:keepNext/>
        <w:spacing w:before="440" w:after="120"/>
      </w:pPr>
      <w:r>
        <w:rPr>
          <w:rFonts w:ascii="Segoe UI" w:hAnsi="Segoe UI"/>
          <w:b/>
          <w:color w:val="0F172A"/>
          <w:sz w:val="36"/>
        </w:rPr>
        <w:t>2. Definición y Fundamentos de la Gestión del Cambio</w:t>
      </w:r>
    </w:p>
    <w:p>
      <w:pPr>
        <w:keepNext/>
        <w:spacing w:before="280" w:after="80"/>
      </w:pPr>
      <w:r>
        <w:rPr>
          <w:rFonts w:ascii="Segoe UI" w:hAnsi="Segoe UI"/>
          <w:b/>
          <w:color w:val="0F766E"/>
          <w:sz w:val="28"/>
        </w:rPr>
        <w:t>2.1 ¿Qué es un cambio en software?</w:t>
      </w:r>
    </w:p>
    <w:p>
      <w:pPr>
        <w:spacing w:before="0" w:after="120" w:line="276" w:lineRule="auto"/>
      </w:pPr>
      <w:r>
        <w:rPr>
          <w:rFonts w:ascii="Segoe UI" w:hAnsi="Segoe UI"/>
          <w:color w:val="334155"/>
          <w:sz w:val="22"/>
        </w:rPr>
        <w:t>En el contexto de la ingeniería de sistemas, un cambio en software es cualquier adición, modificación, sustitución o eliminación efectuada sobre los elementos de configuración del software (SCI - Software Configuration Items). Esto abarca:</w:t>
      </w:r>
    </w:p>
    <w:p>
      <w:pPr>
        <w:pStyle w:val="ListBullet"/>
        <w:spacing w:before="0" w:after="60" w:line="276" w:lineRule="auto"/>
      </w:pPr>
      <w:r>
        <w:rPr>
          <w:rFonts w:ascii="Segoe UI" w:hAnsi="Segoe UI"/>
          <w:b/>
          <w:color w:val="0F172A"/>
          <w:sz w:val="22"/>
        </w:rPr>
        <w:t xml:space="preserve">Código fuente: </w:t>
      </w:r>
      <w:r>
        <w:rPr>
          <w:rFonts w:ascii="Segoe UI" w:hAnsi="Segoe UI"/>
          <w:color w:val="334155"/>
          <w:sz w:val="22"/>
        </w:rPr>
        <w:t>Creación de nuevas clases, funciones, refactorización o alteración de algoritmos existentes.</w:t>
      </w:r>
    </w:p>
    <w:p>
      <w:pPr>
        <w:pStyle w:val="ListBullet"/>
        <w:spacing w:before="0" w:after="60" w:line="276" w:lineRule="auto"/>
      </w:pPr>
      <w:r>
        <w:rPr>
          <w:rFonts w:ascii="Segoe UI" w:hAnsi="Segoe UI"/>
          <w:b/>
          <w:color w:val="0F172A"/>
          <w:sz w:val="22"/>
        </w:rPr>
        <w:t xml:space="preserve">Archivos de configuración y dependencias: </w:t>
      </w:r>
      <w:r>
        <w:rPr>
          <w:rFonts w:ascii="Segoe UI" w:hAnsi="Segoe UI"/>
          <w:color w:val="334155"/>
          <w:sz w:val="22"/>
        </w:rPr>
        <w:t>Actualizaciones de librerías en manifests (package.json, requirements.txt), variables de entorno o scripts de infraestructura.</w:t>
      </w:r>
    </w:p>
    <w:p>
      <w:pPr>
        <w:pStyle w:val="ListBullet"/>
        <w:spacing w:before="0" w:after="60" w:line="276" w:lineRule="auto"/>
      </w:pPr>
      <w:r>
        <w:rPr>
          <w:rFonts w:ascii="Segoe UI" w:hAnsi="Segoe UI"/>
          <w:b/>
          <w:color w:val="0F172A"/>
          <w:sz w:val="22"/>
        </w:rPr>
        <w:t xml:space="preserve">Esquemas de bases de datos: </w:t>
      </w:r>
      <w:r>
        <w:rPr>
          <w:rFonts w:ascii="Segoe UI" w:hAnsi="Segoe UI"/>
          <w:color w:val="334155"/>
          <w:sz w:val="22"/>
        </w:rPr>
        <w:t>Migraciones de tablas, modificación de campos, índices o procedimientos almacenados.</w:t>
      </w:r>
    </w:p>
    <w:p>
      <w:pPr>
        <w:pStyle w:val="ListBullet"/>
        <w:spacing w:before="0" w:after="60" w:line="276" w:lineRule="auto"/>
      </w:pPr>
      <w:r>
        <w:rPr>
          <w:rFonts w:ascii="Segoe UI" w:hAnsi="Segoe UI"/>
          <w:b/>
          <w:color w:val="0F172A"/>
          <w:sz w:val="22"/>
        </w:rPr>
        <w:t xml:space="preserve">Artefactos de diseño y documentación: </w:t>
      </w:r>
      <w:r>
        <w:rPr>
          <w:rFonts w:ascii="Segoe UI" w:hAnsi="Segoe UI"/>
          <w:color w:val="334155"/>
          <w:sz w:val="22"/>
        </w:rPr>
        <w:t>Ajustes en especificaciones de requerimientos (SRS), diagramas de arquitectura o contratos de API.</w:t>
      </w:r>
    </w:p>
    <w:p>
      <w:pPr>
        <w:keepNext/>
        <w:spacing w:before="280" w:after="80"/>
      </w:pPr>
      <w:r>
        <w:rPr>
          <w:rFonts w:ascii="Segoe UI" w:hAnsi="Segoe UI"/>
          <w:b/>
          <w:color w:val="0F766E"/>
          <w:sz w:val="28"/>
        </w:rPr>
        <w:t>2.2 ¿Por qué los cambios deben controlarse rigurosamente?</w:t>
      </w:r>
    </w:p>
    <w:p>
      <w:pPr>
        <w:spacing w:before="0" w:after="120" w:line="276" w:lineRule="auto"/>
      </w:pPr>
      <w:r>
        <w:rPr>
          <w:rFonts w:ascii="Segoe UI" w:hAnsi="Segoe UI"/>
          <w:color w:val="334155"/>
          <w:sz w:val="22"/>
        </w:rPr>
        <w:t>Un sistema de software moderno es una red altamente interconectada de componentes. Modificar una línea de código aparentemente aislada puede desencadenar consecuencias imprevistas en módulos dependientes. El control sistemático de cambios es indispensable para:</w:t>
      </w:r>
    </w:p>
    <w:p>
      <w:pPr>
        <w:pStyle w:val="ListBullet"/>
        <w:spacing w:before="0" w:after="60" w:line="276" w:lineRule="auto"/>
      </w:pPr>
      <w:r>
        <w:rPr>
          <w:rFonts w:ascii="Segoe UI" w:hAnsi="Segoe UI"/>
          <w:b/>
          <w:color w:val="0F172A"/>
          <w:sz w:val="22"/>
        </w:rPr>
        <w:t xml:space="preserve">Preservar la estabilidad operativa: </w:t>
      </w:r>
      <w:r>
        <w:rPr>
          <w:rFonts w:ascii="Segoe UI" w:hAnsi="Segoe UI"/>
          <w:color w:val="334155"/>
          <w:sz w:val="22"/>
        </w:rPr>
        <w:t>Evitar que modificaciones repentinas introduzcan interrupciones de servicio o degradación de rendimiento en entornos en vivo.</w:t>
      </w:r>
    </w:p>
    <w:p>
      <w:pPr>
        <w:pStyle w:val="ListBullet"/>
        <w:spacing w:before="0" w:after="60" w:line="276" w:lineRule="auto"/>
      </w:pPr>
      <w:r>
        <w:rPr>
          <w:rFonts w:ascii="Segoe UI" w:hAnsi="Segoe UI"/>
          <w:b/>
          <w:color w:val="0F172A"/>
          <w:sz w:val="22"/>
        </w:rPr>
        <w:t xml:space="preserve">Garantizar la trazabilidad histórica: </w:t>
      </w:r>
      <w:r>
        <w:rPr>
          <w:rFonts w:ascii="Segoe UI" w:hAnsi="Segoe UI"/>
          <w:color w:val="334155"/>
          <w:sz w:val="22"/>
        </w:rPr>
        <w:t>Disponer de un registro auditable e inmutable que permita saber con exactitud quién solicitó el cambio, por qué motivo, quién lo implementó, quién lo revisó y en qué fecha exacta se desplegó.</w:t>
      </w:r>
    </w:p>
    <w:p>
      <w:pPr>
        <w:pStyle w:val="ListBullet"/>
        <w:spacing w:before="0" w:after="60" w:line="276" w:lineRule="auto"/>
      </w:pPr>
      <w:r>
        <w:rPr>
          <w:rFonts w:ascii="Segoe UI" w:hAnsi="Segoe UI"/>
          <w:b/>
          <w:color w:val="0F172A"/>
          <w:sz w:val="22"/>
        </w:rPr>
        <w:t xml:space="preserve">Alineación estratégica con el negocio: </w:t>
      </w:r>
      <w:r>
        <w:rPr>
          <w:rFonts w:ascii="Segoe UI" w:hAnsi="Segoe UI"/>
          <w:color w:val="334155"/>
          <w:sz w:val="22"/>
        </w:rPr>
        <w:t>Asegurar que el esfuerzo de ingeniería se dirija a prioridades validadas y no a iniciativas aisladas que diluyan los recursos del equipo.</w:t>
      </w:r>
    </w:p>
    <w:p>
      <w:pPr>
        <w:keepNext/>
        <w:spacing w:before="280" w:after="80"/>
      </w:pPr>
      <w:r>
        <w:rPr>
          <w:rFonts w:ascii="Segoe UI" w:hAnsi="Segoe UI"/>
          <w:b/>
          <w:color w:val="0F766E"/>
          <w:sz w:val="28"/>
        </w:rPr>
        <w:t>2.3 Consecuencias de implementar cambios sin evaluación previa</w:t>
      </w:r>
    </w:p>
    <w:p>
      <w:pPr>
        <w:spacing w:before="0" w:after="120" w:line="276" w:lineRule="auto"/>
      </w:pPr>
      <w:r>
        <w:rPr>
          <w:rFonts w:ascii="Segoe UI" w:hAnsi="Segoe UI"/>
          <w:color w:val="334155"/>
          <w:sz w:val="22"/>
        </w:rPr>
        <w:t>La ausencia de un protocolo formal de evaluación y control genera severas patologías en los proyectos de software:</w:t>
      </w:r>
    </w:p>
    <w:p>
      <w:pPr>
        <w:pStyle w:val="ListBullet"/>
        <w:spacing w:before="0" w:after="60" w:line="276" w:lineRule="auto"/>
      </w:pPr>
      <w:r>
        <w:rPr>
          <w:rFonts w:ascii="Segoe UI" w:hAnsi="Segoe UI"/>
          <w:b/>
          <w:color w:val="0F172A"/>
          <w:sz w:val="22"/>
        </w:rPr>
        <w:t xml:space="preserve">Efectos secundarios no previstos (Regresiones): </w:t>
      </w:r>
      <w:r>
        <w:rPr>
          <w:rFonts w:ascii="Segoe UI" w:hAnsi="Segoe UI"/>
          <w:color w:val="334155"/>
          <w:sz w:val="22"/>
        </w:rPr>
        <w:t>La modificación de una función para satisfacer una nueva petición puede quebrar funcionalidades preexistentes que dependían de su comportamiento original.</w:t>
      </w:r>
    </w:p>
    <w:p>
      <w:pPr>
        <w:pStyle w:val="ListBullet"/>
        <w:spacing w:before="0" w:after="60" w:line="276" w:lineRule="auto"/>
      </w:pPr>
      <w:r>
        <w:rPr>
          <w:rFonts w:ascii="Segoe UI" w:hAnsi="Segoe UI"/>
          <w:b/>
          <w:color w:val="0F172A"/>
          <w:sz w:val="22"/>
        </w:rPr>
        <w:t xml:space="preserve">Brechas de seguridad inadvertidas: </w:t>
      </w:r>
      <w:r>
        <w:rPr>
          <w:rFonts w:ascii="Segoe UI" w:hAnsi="Segoe UI"/>
          <w:color w:val="334155"/>
          <w:sz w:val="22"/>
        </w:rPr>
        <w:t>La introducción de dependencias no auditadas o la alteración de validaciones de acceso pueden exponer vulnerabilidades críticas (inyecciones SQL, fallos de autenticación).</w:t>
      </w:r>
    </w:p>
    <w:p>
      <w:pPr>
        <w:pStyle w:val="ListBullet"/>
        <w:spacing w:before="0" w:after="60" w:line="276" w:lineRule="auto"/>
      </w:pPr>
      <w:r>
        <w:rPr>
          <w:rFonts w:ascii="Segoe UI" w:hAnsi="Segoe UI"/>
          <w:b/>
          <w:color w:val="0F172A"/>
          <w:sz w:val="22"/>
        </w:rPr>
        <w:t xml:space="preserve">Desviación descontrolada del alcance (Scope Creep): </w:t>
      </w:r>
      <w:r>
        <w:rPr>
          <w:rFonts w:ascii="Segoe UI" w:hAnsi="Segoe UI"/>
          <w:color w:val="334155"/>
          <w:sz w:val="22"/>
        </w:rPr>
        <w:t>La aceptación informal de peticiones de clientes o usuarios («gold plating») infla el presupuesto, aplaza las entregas y desestabiliza la planificación original del sprint o release.</w:t>
      </w:r>
    </w:p>
    <w:p>
      <w:pPr>
        <w:pStyle w:val="ListBullet"/>
        <w:spacing w:before="0" w:after="60" w:line="276" w:lineRule="auto"/>
      </w:pPr>
      <w:r>
        <w:rPr>
          <w:rFonts w:ascii="Segoe UI" w:hAnsi="Segoe UI"/>
          <w:b/>
          <w:color w:val="0F172A"/>
          <w:sz w:val="22"/>
        </w:rPr>
        <w:t xml:space="preserve">Incapacidad de recuperación ante fallos: </w:t>
      </w:r>
      <w:r>
        <w:rPr>
          <w:rFonts w:ascii="Segoe UI" w:hAnsi="Segoe UI"/>
          <w:color w:val="334155"/>
          <w:sz w:val="22"/>
        </w:rPr>
        <w:t>Si un cambio se aplica directamente en producción sin un plan de marcha atrás (rollback) ni registro de versión previa, resolver un incidente crítico puede tomar horas o días, multiplicando las pérdidas económicas.</w:t>
      </w:r>
    </w:p>
    <w:p>
      <w:pPr>
        <w:keepNext/>
        <w:spacing w:before="280" w:after="80"/>
      </w:pPr>
      <w:r>
        <w:rPr>
          <w:rFonts w:ascii="Segoe UI" w:hAnsi="Segoe UI"/>
          <w:b/>
          <w:color w:val="0F766E"/>
          <w:sz w:val="28"/>
        </w:rPr>
        <w:t>2.4 Relación con la Calidad y Mantenibilidad del Software</w:t>
      </w:r>
    </w:p>
    <w:p>
      <w:pPr>
        <w:spacing w:before="0" w:after="120" w:line="276" w:lineRule="auto"/>
      </w:pPr>
      <w:r>
        <w:rPr>
          <w:rFonts w:ascii="Segoe UI" w:hAnsi="Segoe UI"/>
          <w:color w:val="334155"/>
          <w:sz w:val="22"/>
        </w:rPr>
        <w:t>La gestión del cambio actúa como el guardián de los atributos de calidad del software (según normas como ISO/IEC 25010):</w:t>
      </w:r>
    </w:p>
    <w:p>
      <w:pPr>
        <w:spacing w:before="0" w:after="120" w:line="276" w:lineRule="auto"/>
      </w:pPr>
      <w:r>
        <w:rPr>
          <w:rFonts w:ascii="Segoe UI" w:hAnsi="Segoe UI"/>
          <w:b/>
          <w:color w:val="0F172A"/>
          <w:sz w:val="22"/>
        </w:rPr>
        <w:t xml:space="preserve">Mantenibilidad: </w:t>
      </w:r>
      <w:r>
        <w:rPr>
          <w:rFonts w:ascii="Segoe UI" w:hAnsi="Segoe UI"/>
          <w:color w:val="334155"/>
          <w:sz w:val="22"/>
        </w:rPr>
        <w:t>Impide la degradación arquitectónica («código espagueti» o acumulación de deuda técnica). Al exigir revisiones por pares y pruebas automatizadas previas, se asegura que el nuevo código respete los estándares de diseño, sea legible y modular.</w:t>
      </w:r>
    </w:p>
    <w:p>
      <w:pPr>
        <w:spacing w:before="0" w:after="120" w:line="276" w:lineRule="auto"/>
      </w:pPr>
      <w:r>
        <w:rPr>
          <w:rFonts w:ascii="Segoe UI" w:hAnsi="Segoe UI"/>
          <w:b/>
          <w:color w:val="0F172A"/>
          <w:sz w:val="22"/>
        </w:rPr>
        <w:t xml:space="preserve">Fiabilidad y Calidad: </w:t>
      </w:r>
      <w:r>
        <w:rPr>
          <w:rFonts w:ascii="Segoe UI" w:hAnsi="Segoe UI"/>
          <w:color w:val="334155"/>
          <w:sz w:val="22"/>
        </w:rPr>
        <w:t>Garantiza que la tasa de defectos en producción se mantenga en mínimos aceptables, permitiendo que las organizaciones publiquen actualizaciones con alta frecuencia pero sin comprometer la confianza del usuario final.</w:t>
      </w:r>
    </w:p>
    <w:p>
      <w:pPr>
        <w:keepNext/>
        <w:spacing w:before="440" w:after="120"/>
      </w:pPr>
      <w:r>
        <w:rPr>
          <w:rFonts w:ascii="Segoe UI" w:hAnsi="Segoe UI"/>
          <w:b/>
          <w:color w:val="0F172A"/>
          <w:sz w:val="36"/>
        </w:rPr>
        <w:t>3. Tipos de Cambios en Software</w:t>
      </w:r>
    </w:p>
    <w:p>
      <w:pPr>
        <w:spacing w:before="0" w:after="120" w:line="276" w:lineRule="auto"/>
      </w:pPr>
      <w:r>
        <w:rPr>
          <w:rFonts w:ascii="Segoe UI" w:hAnsi="Segoe UI"/>
          <w:color w:val="334155"/>
          <w:sz w:val="22"/>
        </w:rPr>
        <w:t>La literatura clásica de la ingeniería de software (Pressman, Sommerville) y los estándares de mantenimiento de software (IEEE 1219 / ISO 14764) clasifican los cambios en cuatro categorías fundamentales según su causa y propósito:</w:t>
      </w:r>
    </w:p>
    <w:tbl>
      <w:tblPr>
        <w:tblW w:type="auto" w:w="0"/>
        <w:jc w:val="center"/>
        <w:tblLook w:firstColumn="1" w:firstRow="1" w:lastColumn="0" w:lastRow="0" w:noHBand="0" w:noVBand="1" w:val="04A0"/>
        <w:tblBorders>
          <w:top w:val="single" w:sz="6" w:space="0" w:color="E2E8F0"/>
          <w:bottom w:val="single" w:sz="8" w:space="0" w:color="E2E8F0"/>
          <w:left w:val="none"/>
          <w:right w:val="none"/>
          <w:insideH w:val="single" w:sz="4" w:space="0" w:color="E2E8F0"/>
          <w:insideV w:val="none"/>
        </w:tblBorders>
      </w:tblPr>
      <w:tblGrid>
        <w:gridCol w:w="2340"/>
        <w:gridCol w:w="2340"/>
        <w:gridCol w:w="2340"/>
        <w:gridCol w:w="2340"/>
      </w:tblGrid>
      <w:tr>
        <w:tc>
          <w:tcPr>
            <w:tcW w:type="dxa" w:w="2016"/>
            <w:shd w:fill="0F172A"/>
            <w:tcMar>
              <w:top w:w="140" w:type="dxa"/>
              <w:bottom w:w="140" w:type="dxa"/>
              <w:left w:w="180" w:type="dxa"/>
              <w:right w:w="180" w:type="dxa"/>
            </w:tcMar>
          </w:tcPr>
          <w:p>
            <w:pPr>
              <w:spacing w:before="0" w:after="0"/>
              <w:jc w:val="left"/>
            </w:pPr>
            <w:r>
              <w:rPr>
                <w:rFonts w:ascii="Segoe UI" w:hAnsi="Segoe UI"/>
                <w:b/>
                <w:color w:val="FFFFFF"/>
                <w:sz w:val="20"/>
              </w:rPr>
              <w:t>Tipo de Cambio</w:t>
            </w:r>
          </w:p>
        </w:tc>
        <w:tc>
          <w:tcPr>
            <w:tcW w:type="dxa" w:w="2592"/>
            <w:shd w:fill="0F172A"/>
            <w:tcMar>
              <w:top w:w="140" w:type="dxa"/>
              <w:bottom w:w="140" w:type="dxa"/>
              <w:left w:w="180" w:type="dxa"/>
              <w:right w:w="180" w:type="dxa"/>
            </w:tcMar>
          </w:tcPr>
          <w:p>
            <w:pPr>
              <w:spacing w:before="0" w:after="0"/>
              <w:jc w:val="left"/>
            </w:pPr>
            <w:r>
              <w:rPr>
                <w:rFonts w:ascii="Segoe UI" w:hAnsi="Segoe UI"/>
                <w:b/>
                <w:color w:val="FFFFFF"/>
                <w:sz w:val="20"/>
              </w:rPr>
              <w:t>Propósito Principal</w:t>
            </w:r>
          </w:p>
        </w:tc>
        <w:tc>
          <w:tcPr>
            <w:tcW w:type="dxa" w:w="2160"/>
            <w:shd w:fill="0F172A"/>
            <w:tcMar>
              <w:top w:w="140" w:type="dxa"/>
              <w:bottom w:w="140" w:type="dxa"/>
              <w:left w:w="180" w:type="dxa"/>
              <w:right w:w="180" w:type="dxa"/>
            </w:tcMar>
          </w:tcPr>
          <w:p>
            <w:pPr>
              <w:spacing w:before="0" w:after="0"/>
              <w:jc w:val="left"/>
            </w:pPr>
            <w:r>
              <w:rPr>
                <w:rFonts w:ascii="Segoe UI" w:hAnsi="Segoe UI"/>
                <w:b/>
                <w:color w:val="FFFFFF"/>
                <w:sz w:val="20"/>
              </w:rPr>
              <w:t>Causa Disparadora</w:t>
            </w:r>
          </w:p>
        </w:tc>
        <w:tc>
          <w:tcPr>
            <w:tcW w:type="dxa" w:w="2592"/>
            <w:shd w:fill="0F172A"/>
            <w:tcMar>
              <w:top w:w="140" w:type="dxa"/>
              <w:bottom w:w="140" w:type="dxa"/>
              <w:left w:w="180" w:type="dxa"/>
              <w:right w:w="180" w:type="dxa"/>
            </w:tcMar>
          </w:tcPr>
          <w:p>
            <w:pPr>
              <w:spacing w:before="0" w:after="0"/>
              <w:jc w:val="left"/>
            </w:pPr>
            <w:r>
              <w:rPr>
                <w:rFonts w:ascii="Segoe UI" w:hAnsi="Segoe UI"/>
                <w:b/>
                <w:color w:val="FFFFFF"/>
                <w:sz w:val="20"/>
              </w:rPr>
              <w:t>Ejemplo Práctico en la Industria</w:t>
            </w:r>
          </w:p>
        </w:tc>
      </w:tr>
      <w:tr>
        <w:tc>
          <w:tcPr>
            <w:tcW w:type="dxa" w:w="2016"/>
            <w:shd w:fill="FFFFFF"/>
            <w:tcMar>
              <w:top w:w="120" w:type="dxa"/>
              <w:bottom w:w="120" w:type="dxa"/>
              <w:left w:w="180" w:type="dxa"/>
              <w:right w:w="180" w:type="dxa"/>
            </w:tcMar>
          </w:tcPr>
          <w:p>
            <w:pPr>
              <w:spacing w:before="0" w:after="0" w:line="264" w:lineRule="auto"/>
            </w:pPr>
            <w:r>
              <w:rPr>
                <w:rFonts w:ascii="Segoe UI" w:hAnsi="Segoe UI"/>
                <w:color w:val="334155"/>
                <w:sz w:val="19"/>
              </w:rPr>
              <w:t>Correctivo</w:t>
            </w:r>
          </w:p>
        </w:tc>
        <w:tc>
          <w:tcPr>
            <w:tcW w:type="dxa" w:w="2592"/>
            <w:shd w:fill="FFFFFF"/>
            <w:tcMar>
              <w:top w:w="120" w:type="dxa"/>
              <w:bottom w:w="120" w:type="dxa"/>
              <w:left w:w="180" w:type="dxa"/>
              <w:right w:w="180" w:type="dxa"/>
            </w:tcMar>
          </w:tcPr>
          <w:p>
            <w:pPr>
              <w:spacing w:before="0" w:after="0" w:line="264" w:lineRule="auto"/>
            </w:pPr>
            <w:r>
              <w:rPr>
                <w:rFonts w:ascii="Segoe UI" w:hAnsi="Segoe UI"/>
                <w:color w:val="334155"/>
                <w:sz w:val="19"/>
              </w:rPr>
              <w:t>Reparar fallas, defectos o inconsistencias en la lógica del sistema.</w:t>
            </w:r>
          </w:p>
        </w:tc>
        <w:tc>
          <w:tcPr>
            <w:tcW w:type="dxa" w:w="2160"/>
            <w:shd w:fill="FFFFFF"/>
            <w:tcMar>
              <w:top w:w="120" w:type="dxa"/>
              <w:bottom w:w="120" w:type="dxa"/>
              <w:left w:w="180" w:type="dxa"/>
              <w:right w:w="180" w:type="dxa"/>
            </w:tcMar>
          </w:tcPr>
          <w:p>
            <w:pPr>
              <w:spacing w:before="0" w:after="0" w:line="264" w:lineRule="auto"/>
            </w:pPr>
            <w:r>
              <w:rPr>
                <w:rFonts w:ascii="Segoe UI" w:hAnsi="Segoe UI"/>
                <w:color w:val="334155"/>
                <w:sz w:val="19"/>
              </w:rPr>
              <w:t>Reporte de bug por usuario, error en logs de producción o alerta de monitoreo.</w:t>
            </w:r>
          </w:p>
        </w:tc>
        <w:tc>
          <w:tcPr>
            <w:tcW w:type="dxa" w:w="2592"/>
            <w:shd w:fill="FFFFFF"/>
            <w:tcMar>
              <w:top w:w="120" w:type="dxa"/>
              <w:bottom w:w="120" w:type="dxa"/>
              <w:left w:w="180" w:type="dxa"/>
              <w:right w:w="180" w:type="dxa"/>
            </w:tcMar>
          </w:tcPr>
          <w:p>
            <w:pPr>
              <w:spacing w:before="0" w:after="0" w:line="264" w:lineRule="auto"/>
            </w:pPr>
            <w:r>
              <w:rPr>
                <w:rFonts w:ascii="Segoe UI" w:hAnsi="Segoe UI"/>
                <w:color w:val="334155"/>
                <w:sz w:val="19"/>
              </w:rPr>
              <w:t>Corregir un error de redondeo en el módulo de facturación que generaba discrepancias de centavos al procesar cobros en moneda extranjera.</w:t>
            </w:r>
          </w:p>
        </w:tc>
      </w:tr>
      <w:tr>
        <w:tc>
          <w:tcPr>
            <w:tcW w:type="dxa" w:w="2016"/>
            <w:shd w:fill="F8FAFC"/>
            <w:tcMar>
              <w:top w:w="120" w:type="dxa"/>
              <w:bottom w:w="120" w:type="dxa"/>
              <w:left w:w="180" w:type="dxa"/>
              <w:right w:w="180" w:type="dxa"/>
            </w:tcMar>
          </w:tcPr>
          <w:p>
            <w:pPr>
              <w:spacing w:before="0" w:after="0" w:line="264" w:lineRule="auto"/>
            </w:pPr>
            <w:r>
              <w:rPr>
                <w:rFonts w:ascii="Segoe UI" w:hAnsi="Segoe UI"/>
                <w:color w:val="334155"/>
                <w:sz w:val="19"/>
              </w:rPr>
              <w:t>Adaptativo</w:t>
            </w:r>
          </w:p>
        </w:tc>
        <w:tc>
          <w:tcPr>
            <w:tcW w:type="dxa" w:w="2592"/>
            <w:shd w:fill="F8FAFC"/>
            <w:tcMar>
              <w:top w:w="120" w:type="dxa"/>
              <w:bottom w:w="120" w:type="dxa"/>
              <w:left w:w="180" w:type="dxa"/>
              <w:right w:w="180" w:type="dxa"/>
            </w:tcMar>
          </w:tcPr>
          <w:p>
            <w:pPr>
              <w:spacing w:before="0" w:after="0" w:line="264" w:lineRule="auto"/>
            </w:pPr>
            <w:r>
              <w:rPr>
                <w:rFonts w:ascii="Segoe UI" w:hAnsi="Segoe UI"/>
                <w:color w:val="334155"/>
                <w:sz w:val="19"/>
              </w:rPr>
              <w:t>Ajustar el sistema a cambios en su entorno operativo, tecnológico o regulatorio.</w:t>
            </w:r>
          </w:p>
        </w:tc>
        <w:tc>
          <w:tcPr>
            <w:tcW w:type="dxa" w:w="2160"/>
            <w:shd w:fill="F8FAFC"/>
            <w:tcMar>
              <w:top w:w="120" w:type="dxa"/>
              <w:bottom w:w="120" w:type="dxa"/>
              <w:left w:w="180" w:type="dxa"/>
              <w:right w:w="180" w:type="dxa"/>
            </w:tcMar>
          </w:tcPr>
          <w:p>
            <w:pPr>
              <w:spacing w:before="0" w:after="0" w:line="264" w:lineRule="auto"/>
            </w:pPr>
            <w:r>
              <w:rPr>
                <w:rFonts w:ascii="Segoe UI" w:hAnsi="Segoe UI"/>
                <w:color w:val="334155"/>
                <w:sz w:val="19"/>
              </w:rPr>
              <w:t>Actualización de SO, cambio en contratos de APIs de terceros o nueva normativa legal.</w:t>
            </w:r>
          </w:p>
        </w:tc>
        <w:tc>
          <w:tcPr>
            <w:tcW w:type="dxa" w:w="2592"/>
            <w:shd w:fill="F8FAFC"/>
            <w:tcMar>
              <w:top w:w="120" w:type="dxa"/>
              <w:bottom w:w="120" w:type="dxa"/>
              <w:left w:w="180" w:type="dxa"/>
              <w:right w:w="180" w:type="dxa"/>
            </w:tcMar>
          </w:tcPr>
          <w:p>
            <w:pPr>
              <w:spacing w:before="0" w:after="0" w:line="264" w:lineRule="auto"/>
            </w:pPr>
            <w:r>
              <w:rPr>
                <w:rFonts w:ascii="Segoe UI" w:hAnsi="Segoe UI"/>
                <w:color w:val="334155"/>
                <w:sz w:val="19"/>
              </w:rPr>
              <w:t>Migrar la pasarela de pagos de la versión 1 a la versión 2 para cumplir con el estándar bancario PCI-DSS y autenticación reforzada 3D Secure.</w:t>
            </w:r>
          </w:p>
        </w:tc>
      </w:tr>
      <w:tr>
        <w:tc>
          <w:tcPr>
            <w:tcW w:type="dxa" w:w="2016"/>
            <w:shd w:fill="FFFFFF"/>
            <w:tcMar>
              <w:top w:w="120" w:type="dxa"/>
              <w:bottom w:w="120" w:type="dxa"/>
              <w:left w:w="180" w:type="dxa"/>
              <w:right w:w="180" w:type="dxa"/>
            </w:tcMar>
          </w:tcPr>
          <w:p>
            <w:pPr>
              <w:spacing w:before="0" w:after="0" w:line="264" w:lineRule="auto"/>
            </w:pPr>
            <w:r>
              <w:rPr>
                <w:rFonts w:ascii="Segoe UI" w:hAnsi="Segoe UI"/>
                <w:color w:val="334155"/>
                <w:sz w:val="19"/>
              </w:rPr>
              <w:t>Perfectivo</w:t>
            </w:r>
          </w:p>
        </w:tc>
        <w:tc>
          <w:tcPr>
            <w:tcW w:type="dxa" w:w="2592"/>
            <w:shd w:fill="FFFFFF"/>
            <w:tcMar>
              <w:top w:w="120" w:type="dxa"/>
              <w:bottom w:w="120" w:type="dxa"/>
              <w:left w:w="180" w:type="dxa"/>
              <w:right w:w="180" w:type="dxa"/>
            </w:tcMar>
          </w:tcPr>
          <w:p>
            <w:pPr>
              <w:spacing w:before="0" w:after="0" w:line="264" w:lineRule="auto"/>
            </w:pPr>
            <w:r>
              <w:rPr>
                <w:rFonts w:ascii="Segoe UI" w:hAnsi="Segoe UI"/>
                <w:color w:val="334155"/>
                <w:sz w:val="19"/>
              </w:rPr>
              <w:t>Añadir nuevas capacidades o mejorar rendimiento, usabilidad y eficiencia.</w:t>
            </w:r>
          </w:p>
        </w:tc>
        <w:tc>
          <w:tcPr>
            <w:tcW w:type="dxa" w:w="2160"/>
            <w:shd w:fill="FFFFFF"/>
            <w:tcMar>
              <w:top w:w="120" w:type="dxa"/>
              <w:bottom w:w="120" w:type="dxa"/>
              <w:left w:w="180" w:type="dxa"/>
              <w:right w:w="180" w:type="dxa"/>
            </w:tcMar>
          </w:tcPr>
          <w:p>
            <w:pPr>
              <w:spacing w:before="0" w:after="0" w:line="264" w:lineRule="auto"/>
            </w:pPr>
            <w:r>
              <w:rPr>
                <w:rFonts w:ascii="Segoe UI" w:hAnsi="Segoe UI"/>
                <w:color w:val="334155"/>
                <w:sz w:val="19"/>
              </w:rPr>
              <w:t>Evolución de requisitos de negocio, retroalimentación de clientes o métricas de UX.</w:t>
            </w:r>
          </w:p>
        </w:tc>
        <w:tc>
          <w:tcPr>
            <w:tcW w:type="dxa" w:w="2592"/>
            <w:shd w:fill="FFFFFF"/>
            <w:tcMar>
              <w:top w:w="120" w:type="dxa"/>
              <w:bottom w:w="120" w:type="dxa"/>
              <w:left w:w="180" w:type="dxa"/>
              <w:right w:w="180" w:type="dxa"/>
            </w:tcMar>
          </w:tcPr>
          <w:p>
            <w:pPr>
              <w:spacing w:before="0" w:after="0" w:line="264" w:lineRule="auto"/>
            </w:pPr>
            <w:r>
              <w:rPr>
                <w:rFonts w:ascii="Segoe UI" w:hAnsi="Segoe UI"/>
                <w:color w:val="334155"/>
                <w:sz w:val="19"/>
              </w:rPr>
              <w:t>Reescribir el endpoint de búsqueda implementando paginación e indexación Elasticsearch, reduciendo el tiempo de respuesta de 3.8s a 150ms.</w:t>
            </w:r>
          </w:p>
        </w:tc>
      </w:tr>
      <w:tr>
        <w:tc>
          <w:tcPr>
            <w:tcW w:type="dxa" w:w="2016"/>
            <w:shd w:fill="F8FAFC"/>
            <w:tcMar>
              <w:top w:w="120" w:type="dxa"/>
              <w:bottom w:w="120" w:type="dxa"/>
              <w:left w:w="180" w:type="dxa"/>
              <w:right w:w="180" w:type="dxa"/>
            </w:tcMar>
          </w:tcPr>
          <w:p>
            <w:pPr>
              <w:spacing w:before="0" w:after="0" w:line="264" w:lineRule="auto"/>
            </w:pPr>
            <w:r>
              <w:rPr>
                <w:rFonts w:ascii="Segoe UI" w:hAnsi="Segoe UI"/>
                <w:color w:val="334155"/>
                <w:sz w:val="19"/>
              </w:rPr>
              <w:t>Preventivo</w:t>
            </w:r>
          </w:p>
        </w:tc>
        <w:tc>
          <w:tcPr>
            <w:tcW w:type="dxa" w:w="2592"/>
            <w:shd w:fill="F8FAFC"/>
            <w:tcMar>
              <w:top w:w="120" w:type="dxa"/>
              <w:bottom w:w="120" w:type="dxa"/>
              <w:left w:w="180" w:type="dxa"/>
              <w:right w:w="180" w:type="dxa"/>
            </w:tcMar>
          </w:tcPr>
          <w:p>
            <w:pPr>
              <w:spacing w:before="0" w:after="0" w:line="264" w:lineRule="auto"/>
            </w:pPr>
            <w:r>
              <w:rPr>
                <w:rFonts w:ascii="Segoe UI" w:hAnsi="Segoe UI"/>
                <w:color w:val="334155"/>
                <w:sz w:val="19"/>
              </w:rPr>
              <w:t>Modificar el software para detectar y mitigar fallos potenciales antes de que ocurran.</w:t>
            </w:r>
          </w:p>
        </w:tc>
        <w:tc>
          <w:tcPr>
            <w:tcW w:type="dxa" w:w="2160"/>
            <w:shd w:fill="F8FAFC"/>
            <w:tcMar>
              <w:top w:w="120" w:type="dxa"/>
              <w:bottom w:w="120" w:type="dxa"/>
              <w:left w:w="180" w:type="dxa"/>
              <w:right w:w="180" w:type="dxa"/>
            </w:tcMar>
          </w:tcPr>
          <w:p>
            <w:pPr>
              <w:spacing w:before="0" w:after="0" w:line="264" w:lineRule="auto"/>
            </w:pPr>
            <w:r>
              <w:rPr>
                <w:rFonts w:ascii="Segoe UI" w:hAnsi="Segoe UI"/>
                <w:color w:val="334155"/>
                <w:sz w:val="19"/>
              </w:rPr>
              <w:t>Auditorías de código, análisis de deuda técnica y obsolescencia de componentes.</w:t>
            </w:r>
          </w:p>
        </w:tc>
        <w:tc>
          <w:tcPr>
            <w:tcW w:type="dxa" w:w="2592"/>
            <w:shd w:fill="F8FAFC"/>
            <w:tcMar>
              <w:top w:w="120" w:type="dxa"/>
              <w:bottom w:w="120" w:type="dxa"/>
              <w:left w:w="180" w:type="dxa"/>
              <w:right w:w="180" w:type="dxa"/>
            </w:tcMar>
          </w:tcPr>
          <w:p>
            <w:pPr>
              <w:spacing w:before="0" w:after="0" w:line="264" w:lineRule="auto"/>
            </w:pPr>
            <w:r>
              <w:rPr>
                <w:rFonts w:ascii="Segoe UI" w:hAnsi="Segoe UI"/>
                <w:color w:val="334155"/>
                <w:sz w:val="19"/>
              </w:rPr>
              <w:t>Refactorizar un módulo legado monolítico aplicando arquitectura hexagonal y aumentando la cobertura de pruebas unitarias del 35% al 85%.</w:t>
            </w:r>
          </w:p>
        </w:tc>
      </w:tr>
    </w:tbl>
    <w:p>
      <w:pPr>
        <w:spacing w:before="0" w:after="160"/>
      </w:pPr>
    </w:p>
    <w:p>
      <w:pPr>
        <w:keepNext/>
        <w:spacing w:before="440" w:after="120"/>
      </w:pPr>
      <w:r>
        <w:rPr>
          <w:rFonts w:ascii="Segoe UI" w:hAnsi="Segoe UI"/>
          <w:b/>
          <w:color w:val="0F172A"/>
          <w:sz w:val="36"/>
        </w:rPr>
        <w:t>4. Proceso Integral de Gestión del Cambio (Etapas Básicas)</w:t>
      </w:r>
    </w:p>
    <w:p>
      <w:pPr>
        <w:spacing w:before="0" w:after="120" w:line="276" w:lineRule="auto"/>
      </w:pPr>
      <w:r>
        <w:rPr>
          <w:rFonts w:ascii="Segoe UI" w:hAnsi="Segoe UI"/>
          <w:color w:val="334155"/>
          <w:sz w:val="22"/>
        </w:rPr>
        <w:t>Un proceso riguroso de gestión del cambio sigue una secuencia estructurada de etapas que canalizan una idea o necesidad desde su concepción hasta su despliegue seguro:</w:t>
      </w:r>
    </w:p>
    <w:p>
      <w:pPr>
        <w:pStyle w:val="ListBullet"/>
        <w:spacing w:before="0" w:after="60" w:line="276" w:lineRule="auto"/>
      </w:pPr>
      <w:r>
        <w:rPr>
          <w:rFonts w:ascii="Segoe UI" w:hAnsi="Segoe UI"/>
          <w:b/>
          <w:color w:val="0F172A"/>
          <w:sz w:val="22"/>
        </w:rPr>
        <w:t xml:space="preserve">1. Solicitud del cambio (RFC / Issue): </w:t>
      </w:r>
      <w:r>
        <w:rPr>
          <w:rFonts w:ascii="Segoe UI" w:hAnsi="Segoe UI"/>
          <w:color w:val="334155"/>
          <w:sz w:val="22"/>
        </w:rPr>
        <w:t>Se formaliza la petición describiendo el problema, la justificación, los objetivos y la prioridad. En marcos ITIL se denomina RFC (Request for Change); en plataformas ágiles como GitHub se registra como un Issue estructurado mediante plantillas predefinidas.</w:t>
      </w:r>
    </w:p>
    <w:p>
      <w:pPr>
        <w:pStyle w:val="ListBullet"/>
        <w:spacing w:before="0" w:after="60" w:line="276" w:lineRule="auto"/>
      </w:pPr>
      <w:r>
        <w:rPr>
          <w:rFonts w:ascii="Segoe UI" w:hAnsi="Segoe UI"/>
          <w:b/>
          <w:color w:val="0F172A"/>
          <w:sz w:val="22"/>
        </w:rPr>
        <w:t xml:space="preserve">2. Análisis del cambio: </w:t>
      </w:r>
      <w:r>
        <w:rPr>
          <w:rFonts w:ascii="Segoe UI" w:hAnsi="Segoe UI"/>
          <w:color w:val="334155"/>
          <w:sz w:val="22"/>
        </w:rPr>
        <w:t>Los analistas y líderes técnicos evalúan la viabilidad técnica y operativa de la solicitud, corroborando que no existan soluciones alternativas menos invasivas y que el requerimiento sea coherente con la arquitectura global.</w:t>
      </w:r>
    </w:p>
    <w:p>
      <w:pPr>
        <w:pStyle w:val="ListBullet"/>
        <w:spacing w:before="0" w:after="60" w:line="276" w:lineRule="auto"/>
      </w:pPr>
      <w:r>
        <w:rPr>
          <w:rFonts w:ascii="Segoe UI" w:hAnsi="Segoe UI"/>
          <w:b/>
          <w:color w:val="0F172A"/>
          <w:sz w:val="22"/>
        </w:rPr>
        <w:t xml:space="preserve">3. Evaluación de impacto y radio de alcance (Blast Radius): </w:t>
      </w:r>
      <w:r>
        <w:rPr>
          <w:rFonts w:ascii="Segoe UI" w:hAnsi="Segoe UI"/>
          <w:color w:val="334155"/>
          <w:sz w:val="22"/>
        </w:rPr>
        <w:t>Se identifican los componentes que serán afectados directa e indirectamente, los riesgos de regresión, el esfuerzo en horas de ingeniería y las dependencias con otros sistemas o bases de datos.</w:t>
      </w:r>
    </w:p>
    <w:p>
      <w:pPr>
        <w:pStyle w:val="ListBullet"/>
        <w:spacing w:before="0" w:after="60" w:line="276" w:lineRule="auto"/>
      </w:pPr>
      <w:r>
        <w:rPr>
          <w:rFonts w:ascii="Segoe UI" w:hAnsi="Segoe UI"/>
          <w:b/>
          <w:color w:val="0F172A"/>
          <w:sz w:val="22"/>
        </w:rPr>
        <w:t xml:space="preserve">4. Aprobación o rechazo del cambio: </w:t>
      </w:r>
      <w:r>
        <w:rPr>
          <w:rFonts w:ascii="Segoe UI" w:hAnsi="Segoe UI"/>
          <w:color w:val="334155"/>
          <w:sz w:val="22"/>
        </w:rPr>
        <w:t>Un comité de gobernanza (CAB en entornos corporativos o el Tech Lead / Maintainer en proyectos ágiles) dictamina si el cambio procede, se posterga para otra versión o se descarta de forma justificada.</w:t>
      </w:r>
    </w:p>
    <w:p>
      <w:pPr>
        <w:pStyle w:val="ListBullet"/>
        <w:spacing w:before="0" w:after="60" w:line="276" w:lineRule="auto"/>
      </w:pPr>
      <w:r>
        <w:rPr>
          <w:rFonts w:ascii="Segoe UI" w:hAnsi="Segoe UI"/>
          <w:b/>
          <w:color w:val="0F172A"/>
          <w:sz w:val="22"/>
        </w:rPr>
        <w:t xml:space="preserve">5. Planificación del cambio: </w:t>
      </w:r>
      <w:r>
        <w:rPr>
          <w:rFonts w:ascii="Segoe UI" w:hAnsi="Segoe UI"/>
          <w:color w:val="334155"/>
          <w:sz w:val="22"/>
        </w:rPr>
        <w:t>Se asigna el responsable, se estima la ventana de lanzamiento, se define el hito o sprint correspondiente y se documenta formalmente el plan de marcha atrás (rollback plan) en caso de contingencia.</w:t>
      </w:r>
    </w:p>
    <w:p>
      <w:pPr>
        <w:pStyle w:val="ListBullet"/>
        <w:spacing w:before="0" w:after="60" w:line="276" w:lineRule="auto"/>
      </w:pPr>
      <w:r>
        <w:rPr>
          <w:rFonts w:ascii="Segoe UI" w:hAnsi="Segoe UI"/>
          <w:b/>
          <w:color w:val="0F172A"/>
          <w:sz w:val="22"/>
        </w:rPr>
        <w:t xml:space="preserve">6. Implementación del cambio: </w:t>
      </w:r>
      <w:r>
        <w:rPr>
          <w:rFonts w:ascii="Segoe UI" w:hAnsi="Segoe UI"/>
          <w:color w:val="334155"/>
          <w:sz w:val="22"/>
        </w:rPr>
        <w:t>El desarrollador crea una rama de trabajo aislada (branch) en el sistema de control de versiones y escribe el código correspondiente asegurando commits atómicos y claros.</w:t>
      </w:r>
    </w:p>
    <w:p>
      <w:pPr>
        <w:pStyle w:val="ListBullet"/>
        <w:spacing w:before="0" w:after="60" w:line="276" w:lineRule="auto"/>
      </w:pPr>
      <w:r>
        <w:rPr>
          <w:rFonts w:ascii="Segoe UI" w:hAnsi="Segoe UI"/>
          <w:b/>
          <w:color w:val="0F172A"/>
          <w:sz w:val="22"/>
        </w:rPr>
        <w:t xml:space="preserve">7. Verificación y pruebas del cambio: </w:t>
      </w:r>
      <w:r>
        <w:rPr>
          <w:rFonts w:ascii="Segoe UI" w:hAnsi="Segoe UI"/>
          <w:color w:val="334155"/>
          <w:sz w:val="22"/>
        </w:rPr>
        <w:t>Se ejecutan pruebas automatizadas (unitarias, integración, análisis estático con linter) en pipelines de CI y se somete el código a revisión por pares (Pull Request Review) y validación en entorno de staging por QA.</w:t>
      </w:r>
    </w:p>
    <w:p>
      <w:pPr>
        <w:pStyle w:val="ListBullet"/>
        <w:spacing w:before="0" w:after="60" w:line="276" w:lineRule="auto"/>
      </w:pPr>
      <w:r>
        <w:rPr>
          <w:rFonts w:ascii="Segoe UI" w:hAnsi="Segoe UI"/>
          <w:b/>
          <w:color w:val="0F172A"/>
          <w:sz w:val="22"/>
        </w:rPr>
        <w:t xml:space="preserve">8. Registro, despliegue y cierre: </w:t>
      </w:r>
      <w:r>
        <w:rPr>
          <w:rFonts w:ascii="Segoe UI" w:hAnsi="Segoe UI"/>
          <w:color w:val="334155"/>
          <w:sz w:val="22"/>
        </w:rPr>
        <w:t>Se fusiona el cambio a la rama principal (merge), se despliega a producción, se actualiza el archivo CHANGELOG.md con la nueva versión y se procede al cierre formal de la solicitud original.</w:t>
      </w:r>
    </w:p>
    <w:p>
      <w:pPr>
        <w:keepNext/>
        <w:spacing w:before="440" w:after="120"/>
      </w:pPr>
      <w:r>
        <w:rPr>
          <w:rFonts w:ascii="Segoe UI" w:hAnsi="Segoe UI"/>
          <w:b/>
          <w:color w:val="0F172A"/>
          <w:sz w:val="36"/>
        </w:rPr>
        <w:t>5. La Conexión con el Mundo Real: De la Teoría a Git y GitHub</w:t>
      </w:r>
    </w:p>
    <w:p>
      <w:pPr>
        <w:spacing w:before="0" w:after="120" w:line="276" w:lineRule="auto"/>
      </w:pPr>
      <w:r>
        <w:rPr>
          <w:rFonts w:ascii="Segoe UI" w:hAnsi="Segoe UI"/>
          <w:color w:val="334155"/>
          <w:sz w:val="22"/>
        </w:rPr>
        <w:t>En la formación académica tradicional, la gestión del cambio suele enseñarse con terminología pesada de marcos como ITIL o CMMI (formularios en papel, comités burocráticos y actas notariales). Sin embargo, en la industria tecnológica moderna, estos principios se ejecutan de manera ágil y automatizada gracias al ecosistema de Git, GitHub, GitLab y herramientas ITSM como Jira y ServiceNow:</w:t>
      </w:r>
    </w:p>
    <w:tbl>
      <w:tblPr>
        <w:tblW w:type="auto" w:w="0"/>
        <w:jc w:val="center"/>
        <w:tblLook w:firstColumn="1" w:firstRow="1" w:lastColumn="0" w:lastRow="0" w:noHBand="0" w:noVBand="1" w:val="04A0"/>
        <w:tblBorders>
          <w:top w:val="single" w:sz="6" w:space="0" w:color="E2E8F0"/>
          <w:bottom w:val="single" w:sz="8" w:space="0" w:color="E2E8F0"/>
          <w:left w:val="none"/>
          <w:right w:val="none"/>
          <w:insideH w:val="single" w:sz="4" w:space="0" w:color="E2E8F0"/>
          <w:insideV w:val="none"/>
        </w:tblBorders>
      </w:tblPr>
      <w:tblGrid>
        <w:gridCol w:w="3120"/>
        <w:gridCol w:w="3120"/>
        <w:gridCol w:w="3120"/>
      </w:tblGrid>
      <w:tr>
        <w:tc>
          <w:tcPr>
            <w:tcW w:type="dxa" w:w="2880"/>
            <w:shd w:fill="0F172A"/>
            <w:tcMar>
              <w:top w:w="140" w:type="dxa"/>
              <w:bottom w:w="140" w:type="dxa"/>
              <w:left w:w="180" w:type="dxa"/>
              <w:right w:w="180" w:type="dxa"/>
            </w:tcMar>
          </w:tcPr>
          <w:p>
            <w:pPr>
              <w:spacing w:before="0" w:after="0"/>
              <w:jc w:val="left"/>
            </w:pPr>
            <w:r>
              <w:rPr>
                <w:rFonts w:ascii="Segoe UI" w:hAnsi="Segoe UI"/>
                <w:b/>
                <w:color w:val="FFFFFF"/>
                <w:sz w:val="20"/>
              </w:rPr>
              <w:t>Concepto Clásico de Gestión del Cambio</w:t>
            </w:r>
          </w:p>
        </w:tc>
        <w:tc>
          <w:tcPr>
            <w:tcW w:type="dxa" w:w="3168"/>
            <w:shd w:fill="0F172A"/>
            <w:tcMar>
              <w:top w:w="140" w:type="dxa"/>
              <w:bottom w:w="140" w:type="dxa"/>
              <w:left w:w="180" w:type="dxa"/>
              <w:right w:w="180" w:type="dxa"/>
            </w:tcMar>
          </w:tcPr>
          <w:p>
            <w:pPr>
              <w:spacing w:before="0" w:after="0"/>
              <w:jc w:val="left"/>
            </w:pPr>
            <w:r>
              <w:rPr>
                <w:rFonts w:ascii="Segoe UI" w:hAnsi="Segoe UI"/>
                <w:b/>
                <w:color w:val="FFFFFF"/>
                <w:sz w:val="20"/>
              </w:rPr>
              <w:t>Equivalente Moderno en GitHub / DevOps</w:t>
            </w:r>
          </w:p>
        </w:tc>
        <w:tc>
          <w:tcPr>
            <w:tcW w:type="dxa" w:w="3312"/>
            <w:shd w:fill="0F172A"/>
            <w:tcMar>
              <w:top w:w="140" w:type="dxa"/>
              <w:bottom w:w="140" w:type="dxa"/>
              <w:left w:w="180" w:type="dxa"/>
              <w:right w:w="180" w:type="dxa"/>
            </w:tcMar>
          </w:tcPr>
          <w:p>
            <w:pPr>
              <w:spacing w:before="0" w:after="0"/>
              <w:jc w:val="left"/>
            </w:pPr>
            <w:r>
              <w:rPr>
                <w:rFonts w:ascii="Segoe UI" w:hAnsi="Segoe UI"/>
                <w:b/>
                <w:color w:val="FFFFFF"/>
                <w:sz w:val="20"/>
              </w:rPr>
              <w:t>Función en el Flujo de Trabajo</w:t>
            </w:r>
          </w:p>
        </w:tc>
      </w:tr>
      <w:tr>
        <w:tc>
          <w:tcPr>
            <w:tcW w:type="dxa" w:w="2880"/>
            <w:shd w:fill="FFFFFF"/>
            <w:tcMar>
              <w:top w:w="120" w:type="dxa"/>
              <w:bottom w:w="120" w:type="dxa"/>
              <w:left w:w="180" w:type="dxa"/>
              <w:right w:w="180" w:type="dxa"/>
            </w:tcMar>
          </w:tcPr>
          <w:p>
            <w:pPr>
              <w:spacing w:before="0" w:after="0" w:line="264" w:lineRule="auto"/>
            </w:pPr>
            <w:r>
              <w:rPr>
                <w:rFonts w:ascii="Segoe UI" w:hAnsi="Segoe UI"/>
                <w:color w:val="334155"/>
                <w:sz w:val="19"/>
              </w:rPr>
              <w:t>Solicitud de Cambio (RFC formal)</w:t>
            </w:r>
          </w:p>
        </w:tc>
        <w:tc>
          <w:tcPr>
            <w:tcW w:type="dxa" w:w="3168"/>
            <w:shd w:fill="FFFFFF"/>
            <w:tcMar>
              <w:top w:w="120" w:type="dxa"/>
              <w:bottom w:w="120" w:type="dxa"/>
              <w:left w:w="180" w:type="dxa"/>
              <w:right w:w="180" w:type="dxa"/>
            </w:tcMar>
          </w:tcPr>
          <w:p>
            <w:pPr>
              <w:spacing w:before="0" w:after="0" w:line="264" w:lineRule="auto"/>
            </w:pPr>
            <w:r>
              <w:rPr>
                <w:rFonts w:ascii="Segoe UI" w:hAnsi="Segoe UI"/>
                <w:color w:val="334155"/>
                <w:sz w:val="19"/>
              </w:rPr>
              <w:t>GitHub Issue (con Issue Templates)</w:t>
            </w:r>
          </w:p>
        </w:tc>
        <w:tc>
          <w:tcPr>
            <w:tcW w:type="dxa" w:w="3312"/>
            <w:shd w:fill="FFFFFF"/>
            <w:tcMar>
              <w:top w:w="120" w:type="dxa"/>
              <w:bottom w:w="120" w:type="dxa"/>
              <w:left w:w="180" w:type="dxa"/>
              <w:right w:w="180" w:type="dxa"/>
            </w:tcMar>
          </w:tcPr>
          <w:p>
            <w:pPr>
              <w:spacing w:before="0" w:after="0" w:line="264" w:lineRule="auto"/>
            </w:pPr>
            <w:r>
              <w:rPr>
                <w:rFonts w:ascii="Segoe UI" w:hAnsi="Segoe UI"/>
                <w:color w:val="334155"/>
                <w:sz w:val="19"/>
              </w:rPr>
              <w:t>Registro formal del problema o requerimiento con etiquetas de prioridad, milestone y asignado.</w:t>
            </w:r>
          </w:p>
        </w:tc>
      </w:tr>
      <w:tr>
        <w:tc>
          <w:tcPr>
            <w:tcW w:type="dxa" w:w="2880"/>
            <w:shd w:fill="F8FAFC"/>
            <w:tcMar>
              <w:top w:w="120" w:type="dxa"/>
              <w:bottom w:w="120" w:type="dxa"/>
              <w:left w:w="180" w:type="dxa"/>
              <w:right w:w="180" w:type="dxa"/>
            </w:tcMar>
          </w:tcPr>
          <w:p>
            <w:pPr>
              <w:spacing w:before="0" w:after="0" w:line="264" w:lineRule="auto"/>
            </w:pPr>
            <w:r>
              <w:rPr>
                <w:rFonts w:ascii="Segoe UI" w:hAnsi="Segoe UI"/>
                <w:color w:val="334155"/>
                <w:sz w:val="19"/>
              </w:rPr>
              <w:t>Aislamiento de la Modificación</w:t>
            </w:r>
          </w:p>
        </w:tc>
        <w:tc>
          <w:tcPr>
            <w:tcW w:type="dxa" w:w="3168"/>
            <w:shd w:fill="F8FAFC"/>
            <w:tcMar>
              <w:top w:w="120" w:type="dxa"/>
              <w:bottom w:w="120" w:type="dxa"/>
              <w:left w:w="180" w:type="dxa"/>
              <w:right w:w="180" w:type="dxa"/>
            </w:tcMar>
          </w:tcPr>
          <w:p>
            <w:pPr>
              <w:spacing w:before="0" w:after="0" w:line="264" w:lineRule="auto"/>
            </w:pPr>
            <w:r>
              <w:rPr>
                <w:rFonts w:ascii="Segoe UI" w:hAnsi="Segoe UI"/>
                <w:color w:val="334155"/>
                <w:sz w:val="19"/>
              </w:rPr>
              <w:t>Rama de Git (feature/fix branch)</w:t>
            </w:r>
          </w:p>
        </w:tc>
        <w:tc>
          <w:tcPr>
            <w:tcW w:type="dxa" w:w="3312"/>
            <w:shd w:fill="F8FAFC"/>
            <w:tcMar>
              <w:top w:w="120" w:type="dxa"/>
              <w:bottom w:w="120" w:type="dxa"/>
              <w:left w:w="180" w:type="dxa"/>
              <w:right w:w="180" w:type="dxa"/>
            </w:tcMar>
          </w:tcPr>
          <w:p>
            <w:pPr>
              <w:spacing w:before="0" w:after="0" w:line="264" w:lineRule="auto"/>
            </w:pPr>
            <w:r>
              <w:rPr>
                <w:rFonts w:ascii="Segoe UI" w:hAnsi="Segoe UI"/>
                <w:color w:val="334155"/>
                <w:sz w:val="19"/>
              </w:rPr>
              <w:t>Garantiza que el código en desarrollo no afecte la rama principal ni el entorno de producción.</w:t>
            </w:r>
          </w:p>
        </w:tc>
      </w:tr>
      <w:tr>
        <w:tc>
          <w:tcPr>
            <w:tcW w:type="dxa" w:w="2880"/>
            <w:shd w:fill="FFFFFF"/>
            <w:tcMar>
              <w:top w:w="120" w:type="dxa"/>
              <w:bottom w:w="120" w:type="dxa"/>
              <w:left w:w="180" w:type="dxa"/>
              <w:right w:w="180" w:type="dxa"/>
            </w:tcMar>
          </w:tcPr>
          <w:p>
            <w:pPr>
              <w:spacing w:before="0" w:after="0" w:line="264" w:lineRule="auto"/>
            </w:pPr>
            <w:r>
              <w:rPr>
                <w:rFonts w:ascii="Segoe UI" w:hAnsi="Segoe UI"/>
                <w:color w:val="334155"/>
                <w:sz w:val="19"/>
              </w:rPr>
              <w:t>Propuesta de Cambio para Revisión</w:t>
            </w:r>
          </w:p>
        </w:tc>
        <w:tc>
          <w:tcPr>
            <w:tcW w:type="dxa" w:w="3168"/>
            <w:shd w:fill="FFFFFF"/>
            <w:tcMar>
              <w:top w:w="120" w:type="dxa"/>
              <w:bottom w:w="120" w:type="dxa"/>
              <w:left w:w="180" w:type="dxa"/>
              <w:right w:w="180" w:type="dxa"/>
            </w:tcMar>
          </w:tcPr>
          <w:p>
            <w:pPr>
              <w:spacing w:before="0" w:after="0" w:line="264" w:lineRule="auto"/>
            </w:pPr>
            <w:r>
              <w:rPr>
                <w:rFonts w:ascii="Segoe UI" w:hAnsi="Segoe UI"/>
                <w:color w:val="334155"/>
                <w:sz w:val="19"/>
              </w:rPr>
              <w:t>Pull Request (PR) o Merge Request</w:t>
            </w:r>
          </w:p>
        </w:tc>
        <w:tc>
          <w:tcPr>
            <w:tcW w:type="dxa" w:w="3312"/>
            <w:shd w:fill="FFFFFF"/>
            <w:tcMar>
              <w:top w:w="120" w:type="dxa"/>
              <w:bottom w:w="120" w:type="dxa"/>
              <w:left w:w="180" w:type="dxa"/>
              <w:right w:w="180" w:type="dxa"/>
            </w:tcMar>
          </w:tcPr>
          <w:p>
            <w:pPr>
              <w:spacing w:before="0" w:after="0" w:line="264" w:lineRule="auto"/>
            </w:pPr>
            <w:r>
              <w:rPr>
                <w:rFonts w:ascii="Segoe UI" w:hAnsi="Segoe UI"/>
                <w:color w:val="334155"/>
                <w:sz w:val="19"/>
              </w:rPr>
              <w:t>Muestra el diff exacto línea por línea, vincula el Issue original y abre el debate técnico.</w:t>
            </w:r>
          </w:p>
        </w:tc>
      </w:tr>
      <w:tr>
        <w:tc>
          <w:tcPr>
            <w:tcW w:type="dxa" w:w="2880"/>
            <w:shd w:fill="F8FAFC"/>
            <w:tcMar>
              <w:top w:w="120" w:type="dxa"/>
              <w:bottom w:w="120" w:type="dxa"/>
              <w:left w:w="180" w:type="dxa"/>
              <w:right w:w="180" w:type="dxa"/>
            </w:tcMar>
          </w:tcPr>
          <w:p>
            <w:pPr>
              <w:spacing w:before="0" w:after="0" w:line="264" w:lineRule="auto"/>
            </w:pPr>
            <w:r>
              <w:rPr>
                <w:rFonts w:ascii="Segoe UI" w:hAnsi="Segoe UI"/>
                <w:color w:val="334155"/>
                <w:sz w:val="19"/>
              </w:rPr>
              <w:t>Revisión por Pares y Aprobación CAB</w:t>
            </w:r>
          </w:p>
        </w:tc>
        <w:tc>
          <w:tcPr>
            <w:tcW w:type="dxa" w:w="3168"/>
            <w:shd w:fill="F8FAFC"/>
            <w:tcMar>
              <w:top w:w="120" w:type="dxa"/>
              <w:bottom w:w="120" w:type="dxa"/>
              <w:left w:w="180" w:type="dxa"/>
              <w:right w:w="180" w:type="dxa"/>
            </w:tcMar>
          </w:tcPr>
          <w:p>
            <w:pPr>
              <w:spacing w:before="0" w:after="0" w:line="264" w:lineRule="auto"/>
            </w:pPr>
            <w:r>
              <w:rPr>
                <w:rFonts w:ascii="Segoe UI" w:hAnsi="Segoe UI"/>
                <w:color w:val="334155"/>
                <w:sz w:val="19"/>
              </w:rPr>
              <w:t>Code Review &amp; Branch Protection Rules</w:t>
            </w:r>
          </w:p>
        </w:tc>
        <w:tc>
          <w:tcPr>
            <w:tcW w:type="dxa" w:w="3312"/>
            <w:shd w:fill="F8FAFC"/>
            <w:tcMar>
              <w:top w:w="120" w:type="dxa"/>
              <w:bottom w:w="120" w:type="dxa"/>
              <w:left w:w="180" w:type="dxa"/>
              <w:right w:w="180" w:type="dxa"/>
            </w:tcMar>
          </w:tcPr>
          <w:p>
            <w:pPr>
              <w:spacing w:before="0" w:after="0" w:line="264" w:lineRule="auto"/>
            </w:pPr>
            <w:r>
              <w:rPr>
                <w:rFonts w:ascii="Segoe UI" w:hAnsi="Segoe UI"/>
                <w:color w:val="334155"/>
                <w:sz w:val="19"/>
              </w:rPr>
              <w:t>Reglas automáticas que exigen el aprobado explícito de al menos 1 o 2 revisores autorizados (CODEOWNERS).</w:t>
            </w:r>
          </w:p>
        </w:tc>
      </w:tr>
      <w:tr>
        <w:tc>
          <w:tcPr>
            <w:tcW w:type="dxa" w:w="2880"/>
            <w:shd w:fill="FFFFFF"/>
            <w:tcMar>
              <w:top w:w="120" w:type="dxa"/>
              <w:bottom w:w="120" w:type="dxa"/>
              <w:left w:w="180" w:type="dxa"/>
              <w:right w:w="180" w:type="dxa"/>
            </w:tcMar>
          </w:tcPr>
          <w:p>
            <w:pPr>
              <w:spacing w:before="0" w:after="0" w:line="264" w:lineRule="auto"/>
            </w:pPr>
            <w:r>
              <w:rPr>
                <w:rFonts w:ascii="Segoe UI" w:hAnsi="Segoe UI"/>
                <w:color w:val="334155"/>
                <w:sz w:val="19"/>
              </w:rPr>
              <w:t>Evaluación Automatizada de Riesgos</w:t>
            </w:r>
          </w:p>
        </w:tc>
        <w:tc>
          <w:tcPr>
            <w:tcW w:type="dxa" w:w="3168"/>
            <w:shd w:fill="FFFFFF"/>
            <w:tcMar>
              <w:top w:w="120" w:type="dxa"/>
              <w:bottom w:w="120" w:type="dxa"/>
              <w:left w:w="180" w:type="dxa"/>
              <w:right w:w="180" w:type="dxa"/>
            </w:tcMar>
          </w:tcPr>
          <w:p>
            <w:pPr>
              <w:spacing w:before="0" w:after="0" w:line="264" w:lineRule="auto"/>
            </w:pPr>
            <w:r>
              <w:rPr>
                <w:rFonts w:ascii="Segoe UI" w:hAnsi="Segoe UI"/>
                <w:color w:val="334155"/>
                <w:sz w:val="19"/>
              </w:rPr>
              <w:t>Pipelines de CI/CD (GitHub Actions)</w:t>
            </w:r>
          </w:p>
        </w:tc>
        <w:tc>
          <w:tcPr>
            <w:tcW w:type="dxa" w:w="3312"/>
            <w:shd w:fill="FFFFFF"/>
            <w:tcMar>
              <w:top w:w="120" w:type="dxa"/>
              <w:bottom w:w="120" w:type="dxa"/>
              <w:left w:w="180" w:type="dxa"/>
              <w:right w:w="180" w:type="dxa"/>
            </w:tcMar>
          </w:tcPr>
          <w:p>
            <w:pPr>
              <w:spacing w:before="0" w:after="0" w:line="264" w:lineRule="auto"/>
            </w:pPr>
            <w:r>
              <w:rPr>
                <w:rFonts w:ascii="Segoe UI" w:hAnsi="Segoe UI"/>
                <w:color w:val="334155"/>
                <w:sz w:val="19"/>
              </w:rPr>
              <w:t>Compilación y suite de pruebas que impiden el merge si se rompe alguna prueba o linter.</w:t>
            </w:r>
          </w:p>
        </w:tc>
      </w:tr>
      <w:tr>
        <w:tc>
          <w:tcPr>
            <w:tcW w:type="dxa" w:w="2880"/>
            <w:shd w:fill="F8FAFC"/>
            <w:tcMar>
              <w:top w:w="120" w:type="dxa"/>
              <w:bottom w:w="120" w:type="dxa"/>
              <w:left w:w="180" w:type="dxa"/>
              <w:right w:w="180" w:type="dxa"/>
            </w:tcMar>
          </w:tcPr>
          <w:p>
            <w:pPr>
              <w:spacing w:before="0" w:after="0" w:line="264" w:lineRule="auto"/>
            </w:pPr>
            <w:r>
              <w:rPr>
                <w:rFonts w:ascii="Segoe UI" w:hAnsi="Segoe UI"/>
                <w:color w:val="334155"/>
                <w:sz w:val="19"/>
              </w:rPr>
              <w:t>Cierre y Trazabilidad del Cambio</w:t>
            </w:r>
          </w:p>
        </w:tc>
        <w:tc>
          <w:tcPr>
            <w:tcW w:type="dxa" w:w="3168"/>
            <w:shd w:fill="F8FAFC"/>
            <w:tcMar>
              <w:top w:w="120" w:type="dxa"/>
              <w:bottom w:w="120" w:type="dxa"/>
              <w:left w:w="180" w:type="dxa"/>
              <w:right w:w="180" w:type="dxa"/>
            </w:tcMar>
          </w:tcPr>
          <w:p>
            <w:pPr>
              <w:spacing w:before="0" w:after="0" w:line="264" w:lineRule="auto"/>
            </w:pPr>
            <w:r>
              <w:rPr>
                <w:rFonts w:ascii="Segoe UI" w:hAnsi="Segoe UI"/>
                <w:color w:val="334155"/>
                <w:sz w:val="19"/>
              </w:rPr>
              <w:t>Smart Commits ('Closes #123')</w:t>
            </w:r>
          </w:p>
        </w:tc>
        <w:tc>
          <w:tcPr>
            <w:tcW w:type="dxa" w:w="3312"/>
            <w:shd w:fill="F8FAFC"/>
            <w:tcMar>
              <w:top w:w="120" w:type="dxa"/>
              <w:bottom w:w="120" w:type="dxa"/>
              <w:left w:w="180" w:type="dxa"/>
              <w:right w:w="180" w:type="dxa"/>
            </w:tcMar>
          </w:tcPr>
          <w:p>
            <w:pPr>
              <w:spacing w:before="0" w:after="0" w:line="264" w:lineRule="auto"/>
            </w:pPr>
            <w:r>
              <w:rPr>
                <w:rFonts w:ascii="Segoe UI" w:hAnsi="Segoe UI"/>
                <w:color w:val="334155"/>
                <w:sz w:val="19"/>
              </w:rPr>
              <w:t>Al mergear el PR, GitHub cierra el Issue automáticamente y asocia los commits a la historia.</w:t>
            </w:r>
          </w:p>
        </w:tc>
      </w:tr>
      <w:tr>
        <w:tc>
          <w:tcPr>
            <w:tcW w:type="dxa" w:w="2880"/>
            <w:shd w:fill="FFFFFF"/>
            <w:tcMar>
              <w:top w:w="120" w:type="dxa"/>
              <w:bottom w:w="120" w:type="dxa"/>
              <w:left w:w="180" w:type="dxa"/>
              <w:right w:w="180" w:type="dxa"/>
            </w:tcMar>
          </w:tcPr>
          <w:p>
            <w:pPr>
              <w:spacing w:before="0" w:after="0" w:line="264" w:lineRule="auto"/>
            </w:pPr>
            <w:r>
              <w:rPr>
                <w:rFonts w:ascii="Segoe UI" w:hAnsi="Segoe UI"/>
                <w:color w:val="334155"/>
                <w:sz w:val="19"/>
              </w:rPr>
              <w:t>Historial Inmutable de Cambios</w:t>
            </w:r>
          </w:p>
        </w:tc>
        <w:tc>
          <w:tcPr>
            <w:tcW w:type="dxa" w:w="3168"/>
            <w:shd w:fill="FFFFFF"/>
            <w:tcMar>
              <w:top w:w="120" w:type="dxa"/>
              <w:bottom w:w="120" w:type="dxa"/>
              <w:left w:w="180" w:type="dxa"/>
              <w:right w:w="180" w:type="dxa"/>
            </w:tcMar>
          </w:tcPr>
          <w:p>
            <w:pPr>
              <w:spacing w:before="0" w:after="0" w:line="264" w:lineRule="auto"/>
            </w:pPr>
            <w:r>
              <w:rPr>
                <w:rFonts w:ascii="Segoe UI" w:hAnsi="Segoe UI"/>
                <w:color w:val="334155"/>
                <w:sz w:val="19"/>
              </w:rPr>
              <w:t>Git Log, Releases y CHANGELOG.md</w:t>
            </w:r>
          </w:p>
        </w:tc>
        <w:tc>
          <w:tcPr>
            <w:tcW w:type="dxa" w:w="3312"/>
            <w:shd w:fill="FFFFFF"/>
            <w:tcMar>
              <w:top w:w="120" w:type="dxa"/>
              <w:bottom w:w="120" w:type="dxa"/>
              <w:left w:w="180" w:type="dxa"/>
              <w:right w:w="180" w:type="dxa"/>
            </w:tcMar>
          </w:tcPr>
          <w:p>
            <w:pPr>
              <w:spacing w:before="0" w:after="0" w:line="264" w:lineRule="auto"/>
            </w:pPr>
            <w:r>
              <w:rPr>
                <w:rFonts w:ascii="Segoe UI" w:hAnsi="Segoe UI"/>
                <w:color w:val="334155"/>
                <w:sz w:val="19"/>
              </w:rPr>
              <w:t>Auditoría criptográfica (SHA-1) donde es imposible alterar quién realizó cada cambio.</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36" w:space="0" w:color="0F766E"/>
              <w:top w:val="none"/>
              <w:right w:val="none"/>
              <w:bottom w:val="none"/>
            </w:tcBorders>
            <w:tcMar>
              <w:top w:w="160" w:type="dxa"/>
              <w:bottom w:w="160" w:type="dxa"/>
              <w:left w:w="240" w:type="dxa"/>
              <w:right w:w="200" w:type="dxa"/>
            </w:tcMar>
          </w:tcPr>
          <w:p>
            <w:pPr>
              <w:spacing w:before="0" w:after="40" w:line="276" w:lineRule="auto"/>
            </w:pPr>
            <w:r>
              <w:rPr>
                <w:rFonts w:ascii="Segoe UI" w:hAnsi="Segoe UI"/>
                <w:b/>
                <w:color w:val="0F766E"/>
                <w:sz w:val="21"/>
              </w:rPr>
              <w:t>GESTIÓN DEL CAMBIO 'TOUCHLESS' EN LA EMPRESA</w:t>
              <w:br/>
            </w:r>
            <w:r>
              <w:rPr>
                <w:rFonts w:ascii="Segoe UI" w:hAnsi="Segoe UI"/>
                <w:color w:val="334155"/>
                <w:sz w:val="21"/>
              </w:rPr>
              <w:t>Compañías de servicios empresariales (como ServiceNow DevOps Change Velocity o Jira Service Management con GitHub Enterprise) conectan automáticamente los Pull Requests aprobados y con pruebas de CI exitosas para generar y auto-aprobar solicitudes de cambio en segundos. Esto demuestra que la disciplina no es enemiga de la agilidad: la automatización permite gobernar sin ralentizar a los ingenieros.</w:t>
            </w:r>
          </w:p>
        </w:tc>
      </w:tr>
    </w:tbl>
    <w:p>
      <w:pPr>
        <w:spacing w:before="0" w:after="120"/>
      </w:pPr>
    </w:p>
    <w:p>
      <w:pPr>
        <w:keepNext/>
        <w:spacing w:before="440" w:after="120"/>
      </w:pPr>
      <w:r>
        <w:rPr>
          <w:rFonts w:ascii="Segoe UI" w:hAnsi="Segoe UI"/>
          <w:b/>
          <w:color w:val="0F172A"/>
          <w:sz w:val="36"/>
        </w:rPr>
        <w:t>6. Importancia Estratégica y Beneficios Comprobados</w:t>
      </w:r>
    </w:p>
    <w:p>
      <w:pPr>
        <w:spacing w:before="0" w:after="120" w:line="276" w:lineRule="auto"/>
      </w:pPr>
      <w:r>
        <w:rPr>
          <w:rFonts w:ascii="Segoe UI" w:hAnsi="Segoe UI"/>
          <w:color w:val="334155"/>
          <w:sz w:val="22"/>
        </w:rPr>
        <w:t>Implementar un marco riguroso de gestión del cambio reporta ventajas operativas tangibles para los equipos de software y el negocio:</w:t>
      </w:r>
    </w:p>
    <w:p>
      <w:pPr>
        <w:pStyle w:val="ListBullet"/>
        <w:spacing w:before="0" w:after="60" w:line="276" w:lineRule="auto"/>
      </w:pPr>
      <w:r>
        <w:rPr>
          <w:rFonts w:ascii="Segoe UI" w:hAnsi="Segoe UI"/>
          <w:b/>
          <w:color w:val="0F172A"/>
          <w:sz w:val="22"/>
        </w:rPr>
        <w:t xml:space="preserve">Reducción drástica de defectos en producción: </w:t>
      </w:r>
      <w:r>
        <w:rPr>
          <w:rFonts w:ascii="Segoe UI" w:hAnsi="Segoe UI"/>
          <w:color w:val="334155"/>
          <w:sz w:val="22"/>
        </w:rPr>
        <w:t>La combinación de pruebas automáticas previas y revisión obligatoria en Pull Requests intercepta hasta el 80% de los errores lógicos antes de que impacten a usuarios reales.</w:t>
      </w:r>
    </w:p>
    <w:p>
      <w:pPr>
        <w:pStyle w:val="ListBullet"/>
        <w:spacing w:before="0" w:after="60" w:line="276" w:lineRule="auto"/>
      </w:pPr>
      <w:r>
        <w:rPr>
          <w:rFonts w:ascii="Segoe UI" w:hAnsi="Segoe UI"/>
          <w:b/>
          <w:color w:val="0F172A"/>
          <w:sz w:val="22"/>
        </w:rPr>
        <w:t xml:space="preserve">Control estricto del alcance (Scope Management): </w:t>
      </w:r>
      <w:r>
        <w:rPr>
          <w:rFonts w:ascii="Segoe UI" w:hAnsi="Segoe UI"/>
          <w:color w:val="334155"/>
          <w:sz w:val="22"/>
        </w:rPr>
        <w:t>Cada modificación debe tener un Issue asociado aprobado; no se permite la entrada de requerimientos improvisados por canales informales (chats o llamadas) sin evaluación previa de costo y tiempo.</w:t>
      </w:r>
    </w:p>
    <w:p>
      <w:pPr>
        <w:pStyle w:val="ListBullet"/>
        <w:spacing w:before="0" w:after="60" w:line="276" w:lineRule="auto"/>
      </w:pPr>
      <w:r>
        <w:rPr>
          <w:rFonts w:ascii="Segoe UI" w:hAnsi="Segoe UI"/>
          <w:b/>
          <w:color w:val="0F172A"/>
          <w:sz w:val="22"/>
        </w:rPr>
        <w:t xml:space="preserve">Blindaje contra modificaciones no autorizadas: </w:t>
      </w:r>
      <w:r>
        <w:rPr>
          <w:rFonts w:ascii="Segoe UI" w:hAnsi="Segoe UI"/>
          <w:color w:val="334155"/>
          <w:sz w:val="22"/>
        </w:rPr>
        <w:t>Mediante la protección de ramas principales (Branch Protection Rules), ningún desarrollador puede hacer «push» directo a la rama de producción; todo cambio debe someterse a la cadena de revisión establecida.</w:t>
      </w:r>
    </w:p>
    <w:p>
      <w:pPr>
        <w:pStyle w:val="ListBullet"/>
        <w:spacing w:before="0" w:after="60" w:line="276" w:lineRule="auto"/>
      </w:pPr>
      <w:r>
        <w:rPr>
          <w:rFonts w:ascii="Segoe UI" w:hAnsi="Segoe UI"/>
          <w:b/>
          <w:color w:val="0F172A"/>
          <w:sz w:val="22"/>
        </w:rPr>
        <w:t xml:space="preserve">Trazabilidad forense completa: </w:t>
      </w:r>
      <w:r>
        <w:rPr>
          <w:rFonts w:ascii="Segoe UI" w:hAnsi="Segoe UI"/>
          <w:color w:val="334155"/>
          <w:sz w:val="22"/>
        </w:rPr>
        <w:t>Ante cualquier incidente en vivo, comandos como «git blame» y «git bisect» permiten identificar con precisión quirúrgica el commit específico, el autor, el PR y el Issue que introdujeron la falla, acelerando la resolución.</w:t>
      </w:r>
    </w:p>
    <w:p>
      <w:pPr>
        <w:pStyle w:val="ListBullet"/>
        <w:spacing w:before="0" w:after="60" w:line="276" w:lineRule="auto"/>
      </w:pPr>
      <w:r>
        <w:rPr>
          <w:rFonts w:ascii="Segoe UI" w:hAnsi="Segoe UI"/>
          <w:b/>
          <w:color w:val="0F172A"/>
          <w:sz w:val="22"/>
        </w:rPr>
        <w:t xml:space="preserve">Fluidez en la comunicación del equipo: </w:t>
      </w:r>
      <w:r>
        <w:rPr>
          <w:rFonts w:ascii="Segoe UI" w:hAnsi="Segoe UI"/>
          <w:color w:val="334155"/>
          <w:sz w:val="22"/>
        </w:rPr>
        <w:t>El debate se traslada al lugar exacto donde reside el código. Las conversaciones en los hilos de los PRs documentan las decisiones técnicas tomadas, sirviendo de base de conocimiento para futuros integrantes.</w:t>
      </w:r>
    </w:p>
    <w:p>
      <w:pPr>
        <w:pStyle w:val="ListBullet"/>
        <w:spacing w:before="0" w:after="60" w:line="276" w:lineRule="auto"/>
      </w:pPr>
      <w:r>
        <w:rPr>
          <w:rFonts w:ascii="Segoe UI" w:hAnsi="Segoe UI"/>
          <w:b/>
          <w:color w:val="0F172A"/>
          <w:sz w:val="22"/>
        </w:rPr>
        <w:t xml:space="preserve">Mitigación de riesgos mediante planes de reversión (Rollback): </w:t>
      </w:r>
      <w:r>
        <w:rPr>
          <w:rFonts w:ascii="Segoe UI" w:hAnsi="Segoe UI"/>
          <w:color w:val="334155"/>
          <w:sz w:val="22"/>
        </w:rPr>
        <w:t>Si un despliegue presenta anomalías imprevistas en producción, la estrategia de gestión del cambio contempla revertir el cambio de inmediato mediante «git revert» o despliegues canarios, minimizando el tiempo fuera de servicio (Downtime).</w:t>
      </w:r>
    </w:p>
    <w:p>
      <w:pPr>
        <w:keepNext/>
        <w:spacing w:before="440" w:after="120"/>
      </w:pPr>
      <w:r>
        <w:rPr>
          <w:rFonts w:ascii="Segoe UI" w:hAnsi="Segoe UI"/>
          <w:b/>
          <w:color w:val="0F172A"/>
          <w:sz w:val="36"/>
        </w:rPr>
        <w:t>7. Roles, Artefactos y Buenas Prácticas de la Industria</w:t>
      </w:r>
    </w:p>
    <w:p>
      <w:pPr>
        <w:keepNext/>
        <w:spacing w:before="280" w:after="80"/>
      </w:pPr>
      <w:r>
        <w:rPr>
          <w:rFonts w:ascii="Segoe UI" w:hAnsi="Segoe UI"/>
          <w:b/>
          <w:color w:val="0F766E"/>
          <w:sz w:val="28"/>
        </w:rPr>
        <w:t>7.1 Roles Involucrados en el Flujo de Cambio</w:t>
      </w:r>
    </w:p>
    <w:p>
      <w:pPr>
        <w:spacing w:before="0" w:after="120" w:line="276" w:lineRule="auto"/>
      </w:pPr>
      <w:r>
        <w:rPr>
          <w:rFonts w:ascii="Segoe UI" w:hAnsi="Segoe UI"/>
          <w:color w:val="334155"/>
          <w:sz w:val="22"/>
        </w:rPr>
        <w:t>Para evitar conflictos de interés y garantizar la calidad, las responsabilidades se distribuyen entre roles claramente delimitados:</w:t>
      </w:r>
    </w:p>
    <w:p>
      <w:pPr>
        <w:pStyle w:val="ListBullet"/>
        <w:spacing w:before="0" w:after="60" w:line="276" w:lineRule="auto"/>
      </w:pPr>
      <w:r>
        <w:rPr>
          <w:rFonts w:ascii="Segoe UI" w:hAnsi="Segoe UI"/>
          <w:b/>
          <w:color w:val="0F172A"/>
          <w:sz w:val="22"/>
        </w:rPr>
        <w:t xml:space="preserve">Solicitante (Requester): </w:t>
      </w:r>
      <w:r>
        <w:rPr>
          <w:rFonts w:ascii="Segoe UI" w:hAnsi="Segoe UI"/>
          <w:color w:val="334155"/>
          <w:sz w:val="22"/>
        </w:rPr>
        <w:t>Cualquier actor (cliente, usuario final, tester o desarrollador) que detecta una anomalía o necesidad y abre formalmente el Issue o Solicitud de Cambio.</w:t>
      </w:r>
    </w:p>
    <w:p>
      <w:pPr>
        <w:pStyle w:val="ListBullet"/>
        <w:spacing w:before="0" w:after="60" w:line="276" w:lineRule="auto"/>
      </w:pPr>
      <w:r>
        <w:rPr>
          <w:rFonts w:ascii="Segoe UI" w:hAnsi="Segoe UI"/>
          <w:b/>
          <w:color w:val="0F172A"/>
          <w:sz w:val="22"/>
        </w:rPr>
        <w:t xml:space="preserve">Gestor de Cambios / Product Owner: </w:t>
      </w:r>
      <w:r>
        <w:rPr>
          <w:rFonts w:ascii="Segoe UI" w:hAnsi="Segoe UI"/>
          <w:color w:val="334155"/>
          <w:sz w:val="22"/>
        </w:rPr>
        <w:t>Prioriza el backlog de cambios, evalúa la conveniencia para el negocio y decide en qué ciclo o sprint se abordará la solicitud.</w:t>
      </w:r>
    </w:p>
    <w:p>
      <w:pPr>
        <w:pStyle w:val="ListBullet"/>
        <w:spacing w:before="0" w:after="60" w:line="276" w:lineRule="auto"/>
      </w:pPr>
      <w:r>
        <w:rPr>
          <w:rFonts w:ascii="Segoe UI" w:hAnsi="Segoe UI"/>
          <w:b/>
          <w:color w:val="0F172A"/>
          <w:sz w:val="22"/>
        </w:rPr>
        <w:t xml:space="preserve">Desarrollador / Ingeniero de Software: </w:t>
      </w:r>
      <w:r>
        <w:rPr>
          <w:rFonts w:ascii="Segoe UI" w:hAnsi="Segoe UI"/>
          <w:color w:val="334155"/>
          <w:sz w:val="22"/>
        </w:rPr>
        <w:t>Aísla el trabajo en una rama dedicada, escribe la solución, añade pruebas unitarias y propone la modificación mediante un Pull Request explicativo.</w:t>
      </w:r>
    </w:p>
    <w:p>
      <w:pPr>
        <w:pStyle w:val="ListBullet"/>
        <w:spacing w:before="0" w:after="60" w:line="276" w:lineRule="auto"/>
      </w:pPr>
      <w:r>
        <w:rPr>
          <w:rFonts w:ascii="Segoe UI" w:hAnsi="Segoe UI"/>
          <w:b/>
          <w:color w:val="0F172A"/>
          <w:sz w:val="22"/>
        </w:rPr>
        <w:t xml:space="preserve">Revisor Técnico / Peer Reviewer: </w:t>
      </w:r>
      <w:r>
        <w:rPr>
          <w:rFonts w:ascii="Segoe UI" w:hAnsi="Segoe UI"/>
          <w:color w:val="334155"/>
          <w:sz w:val="22"/>
        </w:rPr>
        <w:t>Compañero de equipo o Tech Lead que inspecciona el diff del código, evalúa buenas prácticas, legibilidad, seguridad y rendimiento antes de conceder el aprobado.</w:t>
      </w:r>
    </w:p>
    <w:p>
      <w:pPr>
        <w:pStyle w:val="ListBullet"/>
        <w:spacing w:before="0" w:after="60" w:line="276" w:lineRule="auto"/>
      </w:pPr>
      <w:r>
        <w:rPr>
          <w:rFonts w:ascii="Segoe UI" w:hAnsi="Segoe UI"/>
          <w:b/>
          <w:color w:val="0F172A"/>
          <w:sz w:val="22"/>
        </w:rPr>
        <w:t xml:space="preserve">Ingeniero de Calidad (QA) / Tester: </w:t>
      </w:r>
      <w:r>
        <w:rPr>
          <w:rFonts w:ascii="Segoe UI" w:hAnsi="Segoe UI"/>
          <w:color w:val="334155"/>
          <w:sz w:val="22"/>
        </w:rPr>
        <w:t>Valida el comportamiento integral del sistema en entornos preproductivos (staging) asegurando que se cumplan los criterios de aceptación y no existan regresiones.</w:t>
      </w:r>
    </w:p>
    <w:p>
      <w:pPr>
        <w:pStyle w:val="ListBullet"/>
        <w:spacing w:before="0" w:after="60" w:line="276" w:lineRule="auto"/>
      </w:pPr>
      <w:r>
        <w:rPr>
          <w:rFonts w:ascii="Segoe UI" w:hAnsi="Segoe UI"/>
          <w:b/>
          <w:color w:val="0F172A"/>
          <w:sz w:val="22"/>
        </w:rPr>
        <w:t xml:space="preserve">Comité Asesor de Cambios (CAB) / Release Manager: </w:t>
      </w:r>
      <w:r>
        <w:rPr>
          <w:rFonts w:ascii="Segoe UI" w:hAnsi="Segoe UI"/>
          <w:color w:val="334155"/>
          <w:sz w:val="22"/>
        </w:rPr>
        <w:t>En organizaciones corporativas con alta criticidad (banca, salud, telecomunicaciones), órgano colegiado que autoriza los despliegues mayores a producción.</w:t>
      </w:r>
    </w:p>
    <w:p>
      <w:pPr>
        <w:keepNext/>
        <w:spacing w:before="280" w:after="80"/>
      </w:pPr>
      <w:r>
        <w:rPr>
          <w:rFonts w:ascii="Segoe UI" w:hAnsi="Segoe UI"/>
          <w:b/>
          <w:color w:val="0F766E"/>
          <w:sz w:val="28"/>
        </w:rPr>
        <w:t>7.2 Artefactos y Documentos Clave</w:t>
      </w:r>
    </w:p>
    <w:p>
      <w:pPr>
        <w:spacing w:before="0" w:after="120" w:line="276" w:lineRule="auto"/>
      </w:pPr>
      <w:r>
        <w:rPr>
          <w:rFonts w:ascii="Segoe UI" w:hAnsi="Segoe UI"/>
          <w:color w:val="334155"/>
          <w:sz w:val="22"/>
        </w:rPr>
        <w:t>La gestión del cambio se apoya en documentos que proporcionan evidencia y trazabilidad:</w:t>
      </w:r>
    </w:p>
    <w:p>
      <w:pPr>
        <w:pStyle w:val="ListBullet"/>
        <w:spacing w:before="0" w:after="60" w:line="276" w:lineRule="auto"/>
      </w:pPr>
      <w:r>
        <w:rPr>
          <w:rFonts w:ascii="Segoe UI" w:hAnsi="Segoe UI"/>
          <w:b/>
          <w:color w:val="0F172A"/>
          <w:sz w:val="22"/>
        </w:rPr>
        <w:t xml:space="preserve">Solicitud de Cambio (RFC / Issue Template): </w:t>
      </w:r>
      <w:r>
        <w:rPr>
          <w:rFonts w:ascii="Segoe UI" w:hAnsi="Segoe UI"/>
          <w:color w:val="334155"/>
          <w:sz w:val="22"/>
        </w:rPr>
        <w:t>Formulario estructurado con secciones de descripción, pasos para reproducir (en bugs), justificación, impacto previsto y riesgos.</w:t>
      </w:r>
    </w:p>
    <w:p>
      <w:pPr>
        <w:pStyle w:val="ListBullet"/>
        <w:spacing w:before="0" w:after="60" w:line="276" w:lineRule="auto"/>
      </w:pPr>
      <w:r>
        <w:rPr>
          <w:rFonts w:ascii="Segoe UI" w:hAnsi="Segoe UI"/>
          <w:b/>
          <w:color w:val="0F172A"/>
          <w:sz w:val="22"/>
        </w:rPr>
        <w:t xml:space="preserve">Plantilla de Pull Request (PULL_REQUEST_TEMPLATE.md): </w:t>
      </w:r>
      <w:r>
        <w:rPr>
          <w:rFonts w:ascii="Segoe UI" w:hAnsi="Segoe UI"/>
          <w:color w:val="334155"/>
          <w:sz w:val="22"/>
        </w:rPr>
        <w:t>Documento que guía al desarrollador a explicar qué hizo, adjuntar capturas o evidencias de prueba, y verificar una lista de comprobación (checklist) antes de solicitar revisión.</w:t>
      </w:r>
    </w:p>
    <w:p>
      <w:pPr>
        <w:pStyle w:val="ListBullet"/>
        <w:spacing w:before="0" w:after="60" w:line="276" w:lineRule="auto"/>
      </w:pPr>
      <w:r>
        <w:rPr>
          <w:rFonts w:ascii="Segoe UI" w:hAnsi="Segoe UI"/>
          <w:b/>
          <w:color w:val="0F172A"/>
          <w:sz w:val="22"/>
        </w:rPr>
        <w:t xml:space="preserve">Registro de Cambios (CHANGELOG.md): </w:t>
      </w:r>
      <w:r>
        <w:rPr>
          <w:rFonts w:ascii="Segoe UI" w:hAnsi="Segoe UI"/>
          <w:color w:val="334155"/>
          <w:sz w:val="22"/>
        </w:rPr>
        <w:t>Archivo público o interno que documenta de forma legible para humanos todas las modificaciones ordenadas cronológicamente por versión (siguiendo estándares como 'Keep a Changelog' y Versionado Semántico SemVer: Major.Minor.Patch).</w:t>
      </w:r>
    </w:p>
    <w:p>
      <w:pPr>
        <w:pStyle w:val="ListBullet"/>
        <w:spacing w:before="0" w:after="60" w:line="276" w:lineRule="auto"/>
      </w:pPr>
      <w:r>
        <w:rPr>
          <w:rFonts w:ascii="Segoe UI" w:hAnsi="Segoe UI"/>
          <w:b/>
          <w:color w:val="0F172A"/>
          <w:sz w:val="22"/>
        </w:rPr>
        <w:t xml:space="preserve">Plan de Marcha Atrás (Rollback Plan): </w:t>
      </w:r>
      <w:r>
        <w:rPr>
          <w:rFonts w:ascii="Segoe UI" w:hAnsi="Segoe UI"/>
          <w:color w:val="334155"/>
          <w:sz w:val="22"/>
        </w:rPr>
        <w:t>Procedimiento predefinido para devolver el sistema a su estado estable anterior en caso de falla catastrófica (scripts de rollback de base de datos, revert de commits o conmutación de tráfico en blue-green deployment).</w:t>
      </w:r>
    </w:p>
    <w:p>
      <w:pPr>
        <w:keepNext/>
        <w:spacing w:before="280" w:after="80"/>
      </w:pPr>
      <w:r>
        <w:rPr>
          <w:rFonts w:ascii="Segoe UI" w:hAnsi="Segoe UI"/>
          <w:b/>
          <w:color w:val="0F766E"/>
          <w:sz w:val="28"/>
        </w:rPr>
        <w:t>7.3 Buenas Prácticas Recomendadas por la Industria</w:t>
      </w:r>
    </w:p>
    <w:p>
      <w:pPr>
        <w:pStyle w:val="ListBullet"/>
        <w:spacing w:before="0" w:after="60" w:line="276" w:lineRule="auto"/>
      </w:pPr>
      <w:r>
        <w:rPr>
          <w:rFonts w:ascii="Segoe UI" w:hAnsi="Segoe UI"/>
          <w:b/>
          <w:color w:val="0F172A"/>
          <w:sz w:val="22"/>
        </w:rPr>
        <w:t xml:space="preserve">Pull Requests pequeños y atómicos: </w:t>
      </w:r>
      <w:r>
        <w:rPr>
          <w:rFonts w:ascii="Segoe UI" w:hAnsi="Segoe UI"/>
          <w:color w:val="334155"/>
          <w:sz w:val="22"/>
        </w:rPr>
        <w:t>Evitar PRs gigantescos de más de 400 líneas. Los cambios acotados son más fáciles de revisar, tienen menor probabilidad de introducir fallos y se despliegan rápidamente.</w:t>
      </w:r>
    </w:p>
    <w:p>
      <w:pPr>
        <w:pStyle w:val="ListBullet"/>
        <w:spacing w:before="0" w:after="60" w:line="276" w:lineRule="auto"/>
      </w:pPr>
      <w:r>
        <w:rPr>
          <w:rFonts w:ascii="Segoe UI" w:hAnsi="Segoe UI"/>
          <w:b/>
          <w:color w:val="0F172A"/>
          <w:sz w:val="22"/>
        </w:rPr>
        <w:t xml:space="preserve">Commits Semánticos (Conventional Commits): </w:t>
      </w:r>
      <w:r>
        <w:rPr>
          <w:rFonts w:ascii="Segoe UI" w:hAnsi="Segoe UI"/>
          <w:color w:val="334155"/>
          <w:sz w:val="22"/>
        </w:rPr>
        <w:t>Adoptar una nomenclatura estándar para los mensajes de commit (ej. 'feat:', 'fix:', 'refactor:', 'docs:'), lo que permite automatizar la generación del Changelog y el incremento de versión.</w:t>
      </w:r>
    </w:p>
    <w:p>
      <w:pPr>
        <w:pStyle w:val="ListBullet"/>
        <w:spacing w:before="0" w:after="60" w:line="276" w:lineRule="auto"/>
      </w:pPr>
      <w:r>
        <w:rPr>
          <w:rFonts w:ascii="Segoe UI" w:hAnsi="Segoe UI"/>
          <w:b/>
          <w:color w:val="0F172A"/>
          <w:sz w:val="22"/>
        </w:rPr>
        <w:t xml:space="preserve">Integración Continua con pruebas obligatorias: </w:t>
      </w:r>
      <w:r>
        <w:rPr>
          <w:rFonts w:ascii="Segoe UI" w:hAnsi="Segoe UI"/>
          <w:color w:val="334155"/>
          <w:sz w:val="22"/>
        </w:rPr>
        <w:t>Ningún cambio debe integrarse a la rama principal si no supera el 100% de la suite de pruebas automatizadas y el análisis estático de vulnerabilidades (SAST).</w:t>
      </w:r>
    </w:p>
    <w:p>
      <w:pPr>
        <w:pStyle w:val="ListBullet"/>
        <w:spacing w:before="0" w:after="60" w:line="276" w:lineRule="auto"/>
      </w:pPr>
      <w:r>
        <w:rPr>
          <w:rFonts w:ascii="Segoe UI" w:hAnsi="Segoe UI"/>
          <w:b/>
          <w:color w:val="0F172A"/>
          <w:sz w:val="22"/>
        </w:rPr>
        <w:t xml:space="preserve">Uso de Feature Flags (Alternadores de Funcionalidad): </w:t>
      </w:r>
      <w:r>
        <w:rPr>
          <w:rFonts w:ascii="Segoe UI" w:hAnsi="Segoe UI"/>
          <w:color w:val="334155"/>
          <w:sz w:val="22"/>
        </w:rPr>
        <w:t>Desacoplar el despliegue técnico del lanzamiento comercial. Esto permite subir el código a producción pero mantener la nueva función apagada hasta verificar la estabilidad del sistema.</w:t>
      </w:r>
    </w:p>
    <w:p>
      <w:pPr>
        <w:keepNext/>
        <w:spacing w:before="440" w:after="120"/>
      </w:pPr>
      <w:r>
        <w:rPr>
          <w:rFonts w:ascii="Segoe UI" w:hAnsi="Segoe UI"/>
          <w:b/>
          <w:color w:val="0F172A"/>
          <w:sz w:val="36"/>
        </w:rPr>
        <w:t>8. Conclusiones</w:t>
      </w:r>
    </w:p>
    <w:p>
      <w:pPr>
        <w:spacing w:before="0" w:after="120" w:line="276" w:lineRule="auto"/>
      </w:pPr>
      <w:r>
        <w:rPr>
          <w:rFonts w:ascii="Segoe UI" w:hAnsi="Segoe UI"/>
          <w:color w:val="334155"/>
          <w:sz w:val="22"/>
        </w:rPr>
        <w:t>La gestión del cambio en software representa el puente indispensable entre la velocidad de innovación y la estabilidad operativa. Lejos de ser un trámite burocrático obsoleto, sus principios se encuentran más vivos que nunca en los flujos de trabajo modernos de la industria tecnológica.</w:t>
      </w:r>
    </w:p>
    <w:p>
      <w:pPr>
        <w:spacing w:before="0" w:after="120" w:line="276" w:lineRule="auto"/>
      </w:pPr>
      <w:r>
        <w:rPr>
          <w:rFonts w:ascii="Segoe UI" w:hAnsi="Segoe UI"/>
          <w:color w:val="334155"/>
          <w:sz w:val="22"/>
        </w:rPr>
        <w:t>Comprender que herramientas como los Issues y Pull Requests de GitHub, las reglas de protección de ramas y los pipelines de CI/CD son la encarnación práctica de la Solicitud de Cambio (RFC), la revisión por pares del CAB y la verificación de impacto, permite a los futuros ingenieros de software construir sistemas robustos, mantenibles y preparados para evolucionar con seguridad en entornos de alta exigencia.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