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6A52" w:rsidRPr="00D637A6" w:rsidRDefault="00AA07E7" w:rsidP="002E311E">
      <w:pPr>
        <w:tabs>
          <w:tab w:val="left" w:pos="4231"/>
        </w:tabs>
        <w:rPr>
          <w:rFonts w:asciiTheme="majorHAnsi" w:eastAsia="Calibri" w:hAnsiTheme="majorHAnsi" w:cstheme="majorHAnsi"/>
          <w:b/>
          <w:color w:val="000000"/>
          <w:sz w:val="48"/>
          <w:szCs w:val="48"/>
        </w:rPr>
      </w:pPr>
      <w:r w:rsidRPr="00D637A6">
        <w:rPr>
          <w:rFonts w:asciiTheme="majorHAnsi" w:eastAsia="Calibri" w:hAnsiTheme="majorHAnsi" w:cstheme="majorHAnsi"/>
          <w:b/>
          <w:i/>
          <w:color w:val="404040"/>
          <w:sz w:val="48"/>
          <w:szCs w:val="48"/>
        </w:rPr>
        <w:t>An approach to establishing a workflow pipeline for synergistic analysis of osteological and biochemical data. The case study of Amvrakia in the context of Corinthian colonisation between 625-189 BC in Epirus, Greece.</w:t>
      </w:r>
    </w:p>
    <w:p w:rsidR="00066A52" w:rsidRPr="00D637A6" w:rsidRDefault="00066A52" w:rsidP="002E311E">
      <w:pPr>
        <w:rPr>
          <w:rFonts w:asciiTheme="majorHAnsi" w:eastAsia="Calibri" w:hAnsiTheme="majorHAnsi" w:cstheme="majorHAnsi"/>
          <w:color w:val="404040"/>
          <w:sz w:val="48"/>
          <w:szCs w:val="48"/>
        </w:rPr>
      </w:pPr>
    </w:p>
    <w:p w:rsidR="00066A52" w:rsidRPr="00D637A6" w:rsidRDefault="00AA07E7" w:rsidP="002E311E">
      <w:pPr>
        <w:ind w:right="708"/>
        <w:rPr>
          <w:rFonts w:asciiTheme="majorHAnsi" w:eastAsia="Calibri" w:hAnsiTheme="majorHAnsi" w:cstheme="majorHAnsi"/>
          <w:sz w:val="32"/>
          <w:szCs w:val="32"/>
        </w:rPr>
      </w:pPr>
      <w:r w:rsidRPr="00D637A6">
        <w:rPr>
          <w:rFonts w:asciiTheme="majorHAnsi" w:eastAsia="Calibri" w:hAnsiTheme="majorHAnsi" w:cstheme="majorHAnsi"/>
          <w:sz w:val="32"/>
          <w:szCs w:val="32"/>
        </w:rPr>
        <w:t>Xanthopoulos</w:t>
      </w:r>
      <w:r w:rsidR="00E01C9D" w:rsidRPr="00D637A6">
        <w:rPr>
          <w:rFonts w:asciiTheme="majorHAnsi" w:eastAsia="Calibri" w:hAnsiTheme="majorHAnsi" w:cstheme="majorHAnsi"/>
          <w:sz w:val="32"/>
          <w:szCs w:val="32"/>
          <w:lang w:val="en-US"/>
        </w:rPr>
        <w:t xml:space="preserve"> </w:t>
      </w:r>
      <w:r w:rsidRPr="00D637A6">
        <w:rPr>
          <w:rFonts w:asciiTheme="majorHAnsi" w:eastAsia="Calibri" w:hAnsiTheme="majorHAnsi" w:cstheme="majorHAnsi"/>
          <w:sz w:val="32"/>
          <w:szCs w:val="32"/>
        </w:rPr>
        <w:t>Kiriakos*</w:t>
      </w:r>
      <w:r w:rsidRPr="00D637A6">
        <w:rPr>
          <w:rFonts w:asciiTheme="majorHAnsi" w:eastAsia="Calibri" w:hAnsiTheme="majorHAnsi" w:cstheme="majorHAnsi"/>
          <w:sz w:val="32"/>
          <w:szCs w:val="32"/>
          <w:vertAlign w:val="superscript"/>
        </w:rPr>
        <w:t>1</w:t>
      </w:r>
      <w:r w:rsidRPr="00D637A6">
        <w:rPr>
          <w:rFonts w:asciiTheme="majorHAnsi" w:eastAsia="Calibri" w:hAnsiTheme="majorHAnsi" w:cstheme="majorHAnsi"/>
          <w:sz w:val="32"/>
          <w:szCs w:val="32"/>
        </w:rPr>
        <w:t>, Georgiadou Aggeliki</w:t>
      </w:r>
      <w:r w:rsidRPr="00D637A6">
        <w:rPr>
          <w:rFonts w:asciiTheme="majorHAnsi" w:eastAsia="Calibri" w:hAnsiTheme="majorHAnsi" w:cstheme="majorHAnsi"/>
          <w:sz w:val="32"/>
          <w:szCs w:val="32"/>
          <w:vertAlign w:val="superscript"/>
        </w:rPr>
        <w:t>1</w:t>
      </w:r>
      <w:r w:rsidRPr="00D637A6">
        <w:rPr>
          <w:rFonts w:asciiTheme="majorHAnsi" w:eastAsia="Calibri" w:hAnsiTheme="majorHAnsi" w:cstheme="majorHAnsi"/>
          <w:sz w:val="32"/>
          <w:szCs w:val="32"/>
        </w:rPr>
        <w:t>, Papageorgopoulou Christina</w:t>
      </w:r>
      <w:r w:rsidRPr="00D637A6">
        <w:rPr>
          <w:rFonts w:asciiTheme="majorHAnsi" w:eastAsia="Calibri" w:hAnsiTheme="majorHAnsi" w:cstheme="majorHAnsi"/>
          <w:sz w:val="32"/>
          <w:szCs w:val="32"/>
          <w:vertAlign w:val="superscript"/>
        </w:rPr>
        <w:t>1</w:t>
      </w:r>
    </w:p>
    <w:p w:rsidR="00066A52" w:rsidRPr="00D637A6" w:rsidRDefault="00066A52" w:rsidP="002E311E">
      <w:pPr>
        <w:rPr>
          <w:rFonts w:asciiTheme="majorHAnsi" w:eastAsia="Calibri" w:hAnsiTheme="majorHAnsi" w:cstheme="majorHAnsi"/>
          <w:sz w:val="32"/>
          <w:szCs w:val="32"/>
          <w:lang w:val="en-US"/>
        </w:rPr>
      </w:pPr>
    </w:p>
    <w:p w:rsidR="00066A52" w:rsidRPr="00D637A6" w:rsidRDefault="00AA07E7" w:rsidP="002E311E">
      <w:pPr>
        <w:outlineLvl w:val="0"/>
        <w:rPr>
          <w:rFonts w:asciiTheme="majorHAnsi" w:eastAsia="Calibri" w:hAnsiTheme="majorHAnsi" w:cstheme="majorHAnsi"/>
          <w:sz w:val="20"/>
          <w:szCs w:val="20"/>
        </w:rPr>
      </w:pPr>
      <w:r w:rsidRPr="00D637A6">
        <w:rPr>
          <w:rFonts w:asciiTheme="majorHAnsi" w:eastAsia="Calibri" w:hAnsiTheme="majorHAnsi" w:cstheme="majorHAnsi"/>
          <w:sz w:val="20"/>
          <w:szCs w:val="20"/>
          <w:vertAlign w:val="superscript"/>
        </w:rPr>
        <w:t>1</w:t>
      </w:r>
      <w:r w:rsidRPr="00D637A6">
        <w:rPr>
          <w:rFonts w:asciiTheme="majorHAnsi" w:eastAsia="Calibri" w:hAnsiTheme="majorHAnsi" w:cstheme="majorHAnsi"/>
          <w:sz w:val="20"/>
          <w:szCs w:val="20"/>
        </w:rPr>
        <w:t>Laboratory of Physical Anthropology (Democritus University of Thrace) – Komotini, Greece</w:t>
      </w:r>
    </w:p>
    <w:p w:rsidR="00066A52" w:rsidRPr="00D637A6" w:rsidRDefault="00066A52" w:rsidP="002E311E">
      <w:pPr>
        <w:rPr>
          <w:rFonts w:asciiTheme="majorHAnsi" w:eastAsia="Calibri" w:hAnsiTheme="majorHAnsi" w:cstheme="majorHAnsi"/>
          <w:sz w:val="20"/>
          <w:szCs w:val="20"/>
        </w:rPr>
      </w:pPr>
    </w:p>
    <w:p w:rsidR="00066A52" w:rsidRPr="00D637A6" w:rsidRDefault="00AA07E7" w:rsidP="002E311E">
      <w:pPr>
        <w:rPr>
          <w:rFonts w:asciiTheme="majorHAnsi" w:eastAsia="Calibri" w:hAnsiTheme="majorHAnsi" w:cstheme="majorHAnsi"/>
          <w:sz w:val="20"/>
          <w:szCs w:val="20"/>
        </w:rPr>
      </w:pPr>
      <w:r w:rsidRPr="00D637A6">
        <w:rPr>
          <w:rFonts w:asciiTheme="majorHAnsi" w:eastAsia="Calibri" w:hAnsiTheme="majorHAnsi" w:cstheme="majorHAnsi"/>
          <w:sz w:val="20"/>
          <w:szCs w:val="20"/>
        </w:rPr>
        <w:t>*Corresponding author</w:t>
      </w:r>
    </w:p>
    <w:p w:rsidR="00066A52" w:rsidRPr="00D637A6" w:rsidRDefault="00AA07E7" w:rsidP="002E311E">
      <w:pPr>
        <w:rPr>
          <w:rFonts w:asciiTheme="majorHAnsi" w:eastAsia="Calibri" w:hAnsiTheme="majorHAnsi" w:cstheme="majorHAnsi"/>
          <w:sz w:val="20"/>
          <w:szCs w:val="20"/>
        </w:rPr>
      </w:pPr>
      <w:r w:rsidRPr="00D637A6">
        <w:rPr>
          <w:rFonts w:asciiTheme="majorHAnsi" w:eastAsia="Calibri" w:hAnsiTheme="majorHAnsi" w:cstheme="majorHAnsi"/>
          <w:sz w:val="20"/>
          <w:szCs w:val="20"/>
        </w:rPr>
        <w:t>Correspondence: ancbiosoc@gmail.com</w:t>
      </w:r>
    </w:p>
    <w:p w:rsidR="00066A52" w:rsidRPr="00D637A6" w:rsidRDefault="00066A52" w:rsidP="002E311E">
      <w:pPr>
        <w:ind w:left="-2127"/>
        <w:rPr>
          <w:rFonts w:asciiTheme="majorHAnsi" w:eastAsia="Calibri" w:hAnsiTheme="majorHAnsi" w:cstheme="majorHAnsi"/>
          <w:sz w:val="28"/>
          <w:szCs w:val="28"/>
        </w:rPr>
      </w:pPr>
    </w:p>
    <w:p w:rsidR="00066A52" w:rsidRPr="00D637A6" w:rsidRDefault="00066A52" w:rsidP="002E311E">
      <w:pPr>
        <w:ind w:left="-2127"/>
        <w:rPr>
          <w:rFonts w:asciiTheme="majorHAnsi" w:eastAsia="Calibri" w:hAnsiTheme="majorHAnsi" w:cstheme="majorHAnsi"/>
          <w:sz w:val="28"/>
          <w:szCs w:val="28"/>
        </w:rPr>
      </w:pPr>
    </w:p>
    <w:p w:rsidR="00066A52" w:rsidRPr="00D637A6" w:rsidRDefault="00AA07E7" w:rsidP="002E311E">
      <w:pPr>
        <w:keepNext/>
        <w:pBdr>
          <w:top w:val="nil"/>
          <w:left w:val="nil"/>
          <w:bottom w:val="nil"/>
          <w:right w:val="nil"/>
          <w:between w:val="nil"/>
        </w:pBdr>
        <w:jc w:val="center"/>
        <w:outlineLvl w:val="0"/>
        <w:rPr>
          <w:rFonts w:asciiTheme="majorHAnsi" w:eastAsia="Calibri" w:hAnsiTheme="majorHAnsi" w:cstheme="majorHAnsi"/>
          <w:b/>
          <w:color w:val="000000"/>
          <w:sz w:val="24"/>
          <w:szCs w:val="24"/>
        </w:rPr>
      </w:pPr>
      <w:r w:rsidRPr="00D637A6">
        <w:rPr>
          <w:rFonts w:asciiTheme="majorHAnsi" w:eastAsia="Calibri" w:hAnsiTheme="majorHAnsi" w:cstheme="majorHAnsi"/>
          <w:b/>
          <w:color w:val="000000"/>
          <w:sz w:val="24"/>
          <w:szCs w:val="24"/>
        </w:rPr>
        <w:t>Abstract</w:t>
      </w:r>
    </w:p>
    <w:p w:rsidR="00066A52" w:rsidRPr="00D637A6" w:rsidRDefault="00B14162" w:rsidP="002E311E">
      <w:pPr>
        <w:shd w:val="clear" w:color="auto" w:fill="E7E6E6"/>
        <w:rPr>
          <w:rFonts w:asciiTheme="majorHAnsi" w:eastAsia="Calibri" w:hAnsiTheme="majorHAnsi" w:cstheme="majorHAnsi"/>
          <w:sz w:val="24"/>
          <w:szCs w:val="24"/>
        </w:rPr>
      </w:pPr>
      <w:r w:rsidRPr="00D637A6">
        <w:rPr>
          <w:rFonts w:asciiTheme="majorHAnsi" w:eastAsia="Calibri" w:hAnsiTheme="majorHAnsi" w:cstheme="majorHAnsi"/>
          <w:sz w:val="24"/>
          <w:szCs w:val="24"/>
        </w:rPr>
        <w:t>Bioarchaeology has long focused on understanding past human life through skeletal remains, including oral pathology and stable isotope analysis. Despite advancements in statistical analysis, correlations are still largely made manually. To streamline this, we propose a tool to automatically identify correlations between dental pathologies and isotope values. Our work is part of the ongoing APOIK</w:t>
      </w:r>
      <w:r w:rsidR="00FA590A">
        <w:rPr>
          <w:rFonts w:asciiTheme="majorHAnsi" w:eastAsia="Calibri" w:hAnsiTheme="majorHAnsi" w:cstheme="majorHAnsi"/>
          <w:sz w:val="24"/>
          <w:szCs w:val="24"/>
        </w:rPr>
        <w:t>IA project on Corinthian colonis</w:t>
      </w:r>
      <w:r w:rsidRPr="00D637A6">
        <w:rPr>
          <w:rFonts w:asciiTheme="majorHAnsi" w:eastAsia="Calibri" w:hAnsiTheme="majorHAnsi" w:cstheme="majorHAnsi"/>
          <w:sz w:val="24"/>
          <w:szCs w:val="24"/>
        </w:rPr>
        <w:t>ation in 7th century BC. We analyze osteoarchaeological material from the Western Necropolis of Amvrakia, Greece, founded around 640 BC. Our methodology integrates novel data collection approaches and FAIR principles for data longevity and accessibility, utilizing R scripts and cloud webware.</w:t>
      </w:r>
    </w:p>
    <w:p w:rsidR="00B14162" w:rsidRDefault="00B14162" w:rsidP="002E311E">
      <w:pPr>
        <w:shd w:val="clear" w:color="auto" w:fill="E7E6E6"/>
        <w:rPr>
          <w:rFonts w:asciiTheme="majorHAnsi" w:eastAsia="Calibri" w:hAnsiTheme="majorHAnsi" w:cstheme="majorHAnsi"/>
        </w:rPr>
      </w:pPr>
    </w:p>
    <w:p w:rsidR="000C5161" w:rsidRPr="000C5161" w:rsidRDefault="00896EBA" w:rsidP="002E311E">
      <w:pPr>
        <w:shd w:val="clear" w:color="auto" w:fill="E7E6E6"/>
        <w:rPr>
          <w:rFonts w:asciiTheme="majorHAnsi" w:eastAsia="Calibri" w:hAnsiTheme="majorHAnsi" w:cstheme="majorHAnsi"/>
          <w:lang w:val="en-US"/>
        </w:rPr>
      </w:pPr>
      <w:r w:rsidRPr="00896EBA">
        <w:rPr>
          <w:rFonts w:asciiTheme="majorHAnsi" w:eastAsia="Calibri" w:hAnsiTheme="majorHAnsi" w:cstheme="majorHAnsi"/>
          <w:b/>
          <w:i/>
        </w:rPr>
        <w:t>Keywords:</w:t>
      </w:r>
      <w:r w:rsidRPr="00896EBA">
        <w:rPr>
          <w:rFonts w:asciiTheme="majorHAnsi" w:eastAsia="Calibri" w:hAnsiTheme="majorHAnsi" w:cstheme="majorHAnsi"/>
          <w:b/>
          <w:i/>
          <w:lang w:val="en-US"/>
        </w:rPr>
        <w:t xml:space="preserve"> </w:t>
      </w:r>
      <w:r w:rsidRPr="00896EBA">
        <w:rPr>
          <w:rFonts w:asciiTheme="majorHAnsi" w:eastAsia="Calibri" w:hAnsiTheme="majorHAnsi" w:cstheme="majorHAnsi"/>
          <w:lang w:val="en-US"/>
        </w:rPr>
        <w:t xml:space="preserve">Osteoarchaeology, </w:t>
      </w:r>
      <w:r w:rsidR="00FA590A">
        <w:rPr>
          <w:rFonts w:asciiTheme="majorHAnsi" w:eastAsia="Calibri" w:hAnsiTheme="majorHAnsi" w:cstheme="majorHAnsi"/>
          <w:lang w:val="en-US"/>
        </w:rPr>
        <w:t>Colonis</w:t>
      </w:r>
      <w:r w:rsidRPr="00896EBA">
        <w:rPr>
          <w:rFonts w:asciiTheme="majorHAnsi" w:eastAsia="Calibri" w:hAnsiTheme="majorHAnsi" w:cstheme="majorHAnsi"/>
          <w:lang w:val="en-US"/>
        </w:rPr>
        <w:t>ation, Data analysis, Archaeological methodology</w:t>
      </w:r>
    </w:p>
    <w:p w:rsidR="00066A52" w:rsidRPr="00D637A6" w:rsidRDefault="00066A52" w:rsidP="000C5161">
      <w:pPr>
        <w:rPr>
          <w:rFonts w:eastAsia="Calibri"/>
        </w:rPr>
      </w:pPr>
      <w:bookmarkStart w:id="0" w:name="_gjdgxs" w:colFirst="0" w:colLast="0"/>
      <w:bookmarkEnd w:id="0"/>
    </w:p>
    <w:p w:rsidR="000C5161" w:rsidRPr="00D637A6" w:rsidRDefault="000C5161" w:rsidP="000C5161">
      <w:pPr>
        <w:keepNext/>
        <w:pBdr>
          <w:top w:val="nil"/>
          <w:left w:val="nil"/>
          <w:bottom w:val="nil"/>
          <w:right w:val="nil"/>
          <w:between w:val="nil"/>
        </w:pBdr>
        <w:jc w:val="center"/>
        <w:outlineLvl w:val="0"/>
        <w:rPr>
          <w:rFonts w:asciiTheme="majorHAnsi" w:eastAsia="Calibri" w:hAnsiTheme="majorHAnsi" w:cstheme="majorHAnsi"/>
          <w:b/>
          <w:color w:val="000000"/>
          <w:sz w:val="24"/>
          <w:szCs w:val="24"/>
        </w:rPr>
      </w:pPr>
      <w:r w:rsidRPr="00D637A6">
        <w:rPr>
          <w:rFonts w:asciiTheme="majorHAnsi" w:eastAsia="Calibri" w:hAnsiTheme="majorHAnsi" w:cstheme="majorHAnsi"/>
          <w:b/>
          <w:color w:val="000000"/>
          <w:sz w:val="24"/>
          <w:szCs w:val="24"/>
        </w:rPr>
        <w:t>Introduction</w:t>
      </w:r>
    </w:p>
    <w:p w:rsidR="00066A52" w:rsidRPr="00D637A6" w:rsidRDefault="00AA07E7" w:rsidP="002E311E">
      <w:pPr>
        <w:pBdr>
          <w:top w:val="nil"/>
          <w:left w:val="nil"/>
          <w:bottom w:val="nil"/>
          <w:right w:val="nil"/>
          <w:between w:val="nil"/>
        </w:pBdr>
        <w:ind w:firstLine="318"/>
        <w:rPr>
          <w:rFonts w:asciiTheme="majorHAnsi" w:eastAsia="Calibri" w:hAnsiTheme="majorHAnsi" w:cstheme="majorHAnsi"/>
          <w:color w:val="000000"/>
          <w:sz w:val="21"/>
          <w:szCs w:val="21"/>
        </w:rPr>
      </w:pPr>
      <w:r w:rsidRPr="00D637A6">
        <w:rPr>
          <w:rFonts w:asciiTheme="majorHAnsi" w:eastAsia="Calibri" w:hAnsiTheme="majorHAnsi" w:cstheme="majorHAnsi"/>
          <w:color w:val="000000"/>
          <w:sz w:val="21"/>
          <w:szCs w:val="21"/>
        </w:rPr>
        <w:t>Bioarchaeology has laboured for many decades to reconstruct the living conditions and socioeconomic aspects of past human experiences through the study of skeletal remains. In lack of either material or textual evidence, bioarchaeological approaches hold great value in developing a synergy effect with historical, demographic and archaeological data. Within the vastly broad area of bioarchaeological research lies oral pathology, and stable carbon and nitrogen analysis. These approaches are regarded today as powerful tools for archaeologists to monitor the shifts in the carbohydrate intake and the dietary protein consumption of past populations. Several previous studies have demonstrated the combination of stable isotopic and dental health data to shed light on the lifestyle, diet, nutrition, and subsistence economies</w:t>
      </w:r>
      <w:r w:rsidR="0081779B" w:rsidRPr="00D637A6">
        <w:rPr>
          <w:rFonts w:asciiTheme="majorHAnsi" w:eastAsia="Calibri" w:hAnsiTheme="majorHAnsi" w:cstheme="majorHAnsi"/>
          <w:color w:val="000000"/>
          <w:sz w:val="21"/>
          <w:szCs w:val="21"/>
        </w:rPr>
        <w:fldChar w:fldCharType="begin"/>
      </w:r>
      <w:r w:rsidR="009558F0" w:rsidRPr="00D637A6">
        <w:rPr>
          <w:rFonts w:asciiTheme="majorHAnsi" w:eastAsia="Calibri" w:hAnsiTheme="majorHAnsi" w:cstheme="majorHAnsi"/>
          <w:color w:val="000000"/>
          <w:sz w:val="21"/>
          <w:szCs w:val="21"/>
        </w:rPr>
        <w:instrText xml:space="preserve"> ADDIN ZOTERO_ITEM CSL_CITATION {"citationID":"AtFovH8J","properties":{"formattedCitation":"(White, 2007; Ossenberg, 2013; Colleter et al., 2020; Constantinou &amp; Nikita, 2022; Caruso et al., 2023; Georgiadou et al., 2023; Caruso &amp; Nikita, 2024)","plainCitation":"(White, 2007; Ossenberg, 2013; Colleter et al., 2020; Constantinou &amp; Nikita, 2022; Caruso et al., 2023; Georgiadou et al., 2023; Caruso &amp; Nikita, 2024)","noteIndex":0},"citationItems":[{"id":28073,"uris":["http://zotero.org/users/859559/items/WEGM57SU"],"itemData":{"id":28073,"type":"chapter","container-title":"Advances in Human Palaeopathology","edition":"1","ISBN":"978-0-470-03602-0","language":"en","note":"DOI: 10.1002/9780470724187.ch9","page":"177-188","publisher":"Wiley","source":"DOI.org (Crossref)","title":"Databases","URL":"https://onlinelibrary.wiley.com/doi/10.1002/9780470724187.ch9","editor":[{"family":"Pinhasi","given":"Ron"},{"family":"Mays","given":"Simon"}],"author":[{"family":"White","given":"William"}],"accessed":{"date-parts":[["2024",4,3]]},"issued":{"date-parts":[["2007",12,14]]},"citation-key":"pinhasi_databases_2007"}},{"id":236,"uris":["http://zotero.org/users/859559/items/S7BULDFY"],"itemData":{"id":236,"type":"article-journal","abstract":"This brief note announces the publication of a nonmetric cranial trait database as a freely available resource on the Internet at: http://library.queensu.ca/webdoc/ssdc/cntd. The files were constructed in the program Excel, and are available also in comma-delimited format. These one-observer data on 38 traits were recorded in 1963–2003 in skeletal collections curated at many museums. The 8,016 crania represent individuals from a broad geographic and temporal range of recent human populations, with regions best represented being the Arctic and northwestern North America. Am J Phys Anthropol, 2013. © 2013 Wiley Periodicals, Inc.","container-title":"Am. J. Phys. Anthropol.","DOI":"10.1002/ajpa.22377","page":"n/a–n/a","title":"Brief communication: Cranial nonmetric trait database on the internet","author":[{"family":"Ossenberg","given":"Nancy"}],"issued":{"date-parts":[["2013",10]]},"citation-key":"ossenberg_brief_2013"}},{"id":22951,"uris":["http://zotero.org/users/859559/items/P8J4LZNN"],"itemData":{"id":22951,"type":"article-journal","abstract":"&lt;p class=\"VARAbstract\"&gt;With the democratization of computers, tablets and smartphones, the data acquisition and exploration on archaeological sites are changing significantly. The digitization of information allows a faster, more eﬃcient and more standardized data recording that facilitates the synthesis work required by the discipline. Numerous database programmes are being developed in archaeology and physical anthropology, notably with targeted tools developed to meet specific needs. However, to the authors’ knowledge, no efficient, free and open-source program for the recording of human bones in an archaeological context exists yet. In this paper, a mobile application for the intuitive recording of human bones from archaeological sites is described; this app, defined for the field and biological anthropologists, allows making an inventory of the burials from site to the laboratory from archaeological digs in an intuitive style. In addition to the recording of the skeleton, the application permits the recording of the discovery context. The application also gives significant freedom to the user, who can easily create research fields to their own research objectives. Finally, it permits exporting the information, either as text (automatic report) and/or as tables for statistical use. It is a modular, ergonomic and portable tool which meets researchers' requirements without needing an internet connection; it stores the recorded information in several formats (CSV, SVG, HTML and/or JSON), in a sustainable computer language, permitting complementary modules development. The system is implemented in the form of a free and open-source web application, programmed in JavaScript (available from http://www.humanos.cnrs.fr/) and supplied in the form of a simple ZIP file to decompress. The application does not require any special installation, as it opens by clicking on the executable \"&lt;em&gt;HumanOS.html&lt;/em&gt;\" with any web browser, even without an Internet connection.&lt;/p&gt;&lt;p&gt;Highlights:&lt;/p&gt;&lt;ul&gt;&lt;li&gt;&lt;p&gt;We have developed a mobile application which allows \"field anthropologists\" to record burials inventories from archaeological excavations on site and in the laboratory, in an intuitive way.&lt;/p&gt;&lt;/li&gt;&lt;li&gt;&lt;p&gt;In addition to recording the skeleton, the application makes it possible to note the context of the discovery and to create fields of investigation according to its own research objectives.&lt;/p&gt;&lt;/li&gt;&lt;li&gt;&lt;p&gt;It allows data export in the form of text (automatic report) and/or tables for statistical uses.&lt;/p&gt;&lt;/li&gt;&lt;/ul&gt;","container-title":"Virtual Archaeology Review","DOI":"10.4995/var.2020.13422","ISSN":"1989-9947","issue":"23","journalAbbreviation":"Virtual archaeol. rev.","page":"94","source":"DOI.org (Crossref)","title":"HumanOS: an open source nomadic software database for physical anthropology and archaeology","title-short":"HumanOS","volume":"11","author":[{"family":"Colleter","given":"Rozenn"},{"family":"Romain","given":"Jean-Baptiste"},{"family":"Barreau","given":"Jean-Baptiste"}],"issued":{"date-parts":[["2020",7,8]]},"citation-key":"colleter_humanos_2020"}},{"id":23968,"uris":["http://zotero.org/users/859559/items/8W45PKG4"],"itemData":{"id":23968,"type":"article-journal","abstract":"Skeletal sex estimation is an essential step in any osteoarcheological study; hence, several metric and morphological methods have been developed for this purpose, employing different skeletal elements. This paper has a dual purpose: (1) test the performance of several machine learning classification models for skeletal sex estimation using worldwide samples of cranial and postcranial measurements and (2) present a free web application for the implementation of the models that exhibit the highest accuracy so that the sex of unknown skeletons can be straightforwardly estimated. Regarding the first objective, using the Goldman database of postcranial metrics and the William W. Howells craniometric database, machine learning classification models were constructed for sex prediction. The models were optimized with respect to their hyperparameters and cross-validated reaching accuracies ranging from 80.8%–89.5% for the postcranial data and 81.2%–87.7% for the cranial data. The models offering the highest rates of correct sex classification (Extreme Gradient Boosting, Light Gradient Boosting, and Linear Discriminant Analysis) were then selected to construct an open access and open source web application, SexEst, for predicting the sex of unknown skeletons.","container-title":"International Journal of Osteoarchaeology","DOI":"10.1002/oa.3109","ISSN":"1099-1212","issue":"4","language":"en","note":"_eprint: https://onlinelibrary.wiley.com/doi/pdf/10.1002/oa.3109","page":"832-844","source":"Wiley Online Library","title":"SexEst: An open access web application for metric skeletal sex estimation","title-short":"SexEst","volume":"32","author":[{"family":"Constantinou","given":"Chrysovalantis"},{"family":"Nikita","given":"Efthymia"}],"issued":{"date-parts":[["2022"]]},"citation-key":"constantinou_sexest_2022-1"}},{"id":27938,"uris":["http://zotero.org/users/859559/items/RVSYUJT9"],"itemData":{"id":27938,"type":"article-journal","abstract":"This paper introduces an open access resource for recording and sharing macroscopic data on archaeological human skeletal remains: STARC OSTEOARCH. The resource was developed using a cloud collaboration service, Airtable, and it accommodates data collection on individual skeletons as well as disassociated commingled remains. The attributes covered include key information on demography (sex and age-at-death), taphonomy (zonation, anatomical preservation, weathering, fragmentation, and other types of post-mortem alteration), diet (dental diseases and dental wear), mechanical stress (entheseal changes, osteoarthritis, Schmorl's nodes, and vertebral arthritis), biodistances (cranial metrics and nonmetrics and dental metrics and nonmetrics), and various pathological lesions. References and key descriptions of the categories per attribute have been incorporated in the resource to facilitate raw data sharing, which can be achieved using Airtable's sharing functionality. This initiative aims at promoting standard practices in the field and facilitating data collection and sharing.","container-title":"International Journal of Osteoarchaeology","DOI":"10.1002/oa.3256","ISSN":"1099-1212","issue":"5","language":"en","license":"© 2023 John Wiley &amp; Sons Ltd.","note":"_eprint: https://onlinelibrary.wiley.com/doi/pdf/10.1002/oa.3256","page":"973-975","source":"Wiley Online Library","title":"STARC OSTEOARCH: An open access resource for recording and sharing human osteoarchaeological data","title-short":"STARC OSTEOARCH","volume":"33","author":[{"family":"Caruso","given":"Antonio"},{"family":"Karligkioti","given":"Anna"},{"family":"Selempa","given":"Gkampriella"},{"family":"Nikita","given":"Efthymia"}],"issued":{"date-parts":[["2023"]]},"citation-key":"caruso_starc_2023"}},{"id":24764,"uris":["http://zotero.org/users/859559/items/MTBUCRA9"],"itemData":{"id":24764,"type":"paper-conference","container-title":"Isotopes and Archaeological Theories of Complexity","event-place":"Belfast, Northern Ireland","event-title":"29th Annual Meeting","language":"en","publisher":"European Association of Archaeologists","publisher-place":"Belfast, Northern Ireland","source":"Zotero","title":"Estimating the human diet in the ancient Greek colony of Ambracia using Stable Isotopes (δ15N, δ13C) and Bayesian Mixing model.","author":[{"family":"Georgiadou","given":"Angeliki"},{"family":"Ganiatsou","given":"Elissavet"},{"family":"Xanthopoulos","given":"Kiriakos"},{"family":"Papageorgopoulou","given":"Christina"}],"issued":{"date-parts":[["2023"]]},"citation-key":"georgiadou_estimating_2023"}},{"id":28054,"uris":["http://zotero.org/users/859559/items/PGHUMX3V"],"itemData":{"id":28054,"type":"article-journal","abstract":"OBJECTIVE: This paper explores dental diseases and wear as a proxy for dietary patterns in Hellenistic-early Roman Menainon.\nMATERIALS: This study includes 166 individuals (4th-1st c. BCE).\nMETHODS: Carious lesions, dental calculus, antemortem tooth loss, and dental wear were recorded to explore male-female and adult-juvenile differences, and to position Menainon in the broader Hellenistic/early Roman world through comparisons with published data from other sites.\nRESULTS: Males and females showed similar rates of dental diseases. Dental wear, in contrast, was systematically greater in males. Caries rates were high in both adults and juveniles, but adults showed more calculus. The population from Menainon had higher frequencies for calculus and carious lesions compared to contemporary Italian and Greek assemblages, and a similar frequency for antemortem tooth loss.\nCONCLUSION: Some sex-related differences in the dietary patterns of the Menainon population were visible but small. The diet of adults and juveniles must have been similar in terms of carbohydrate consumption but different with regard to protein consumption. The high frequency of carious lesions and calculus compared to other Greco-Roman sites suggests that this population must have had good access to dietary resources (protein and carbohydrates).\nSIGNIFICANCE: This paper provides insights on gender (sex-related) and age divisions in the Hellenistic/early Roman society through the exploration of food consumption in a Sicilian assemblage.\nLIMITATIONS: Dividing the assemblage by sex and age group reduced considerably the sample size.\nSUGGESTIONS FOR FURTHER RESEARCH: Stable isotopes and dental microwear analyses should be used to investigate dietary patterns further.","container-title":"International Journal of Paleopathology","DOI":"10.1016/j.ijpp.2023.11.002","ISSN":"1879-9825","journalAbbreviation":"Int J Paleopathol","language":"eng","note":"PMID: 38039701","page":"10-19","source":"PubMed","title":"Dental diseases and dental wear as a proxy for dietary patterns in Hellenistic-early Roman Menainon, Sicily","volume":"44","author":[{"family":"Caruso","given":"Antonio"},{"family":"Nikita","given":"Efthymia"}],"issued":{"date-parts":[["2024",3]]},"citation-key":"caruso_dental_2024"}}],"schema":"https://github.com/citation-style-language/schema/raw/master/csl-citation.json"} </w:instrText>
      </w:r>
      <w:r w:rsidR="0081779B" w:rsidRPr="00D637A6">
        <w:rPr>
          <w:rFonts w:asciiTheme="majorHAnsi" w:eastAsia="Calibri" w:hAnsiTheme="majorHAnsi" w:cstheme="majorHAnsi"/>
          <w:color w:val="000000"/>
          <w:sz w:val="21"/>
          <w:szCs w:val="21"/>
        </w:rPr>
        <w:fldChar w:fldCharType="separate"/>
      </w:r>
      <w:r w:rsidR="009558F0" w:rsidRPr="00D637A6">
        <w:rPr>
          <w:rFonts w:asciiTheme="majorHAnsi" w:eastAsia="Calibri" w:hAnsiTheme="majorHAnsi" w:cstheme="majorHAnsi"/>
          <w:sz w:val="21"/>
        </w:rPr>
        <w:t>(White, 2007; Ossenberg, 2013; Colleter et al., 2020; Constantinou &amp; Nikita, 2022; Caruso et al., 2023; Georgiadou et al., 2023; Caruso &amp; Nikita, 2024)</w:t>
      </w:r>
      <w:r w:rsidR="0081779B" w:rsidRPr="00D637A6">
        <w:rPr>
          <w:rFonts w:asciiTheme="majorHAnsi" w:eastAsia="Calibri" w:hAnsiTheme="majorHAnsi" w:cstheme="majorHAnsi"/>
          <w:color w:val="000000"/>
          <w:sz w:val="21"/>
          <w:szCs w:val="21"/>
        </w:rPr>
        <w:fldChar w:fldCharType="end"/>
      </w:r>
      <w:r w:rsidRPr="00D637A6">
        <w:rPr>
          <w:rFonts w:asciiTheme="majorHAnsi" w:eastAsia="Calibri" w:hAnsiTheme="majorHAnsi" w:cstheme="majorHAnsi"/>
          <w:color w:val="000000"/>
          <w:sz w:val="21"/>
          <w:szCs w:val="21"/>
        </w:rPr>
        <w:t xml:space="preserve">. Despite the significant efficiency in the correlation process of bioarchaeological data through varied statistical </w:t>
      </w:r>
      <w:r w:rsidRPr="00D637A6">
        <w:rPr>
          <w:rFonts w:asciiTheme="majorHAnsi" w:eastAsia="Calibri" w:hAnsiTheme="majorHAnsi" w:cstheme="majorHAnsi"/>
          <w:color w:val="000000"/>
          <w:sz w:val="21"/>
          <w:szCs w:val="21"/>
        </w:rPr>
        <w:lastRenderedPageBreak/>
        <w:t xml:space="preserve">analyses, the estimations are still performed by the observation, interpretation and comparison of different statistical plots. To avoid time-consuming procedures, we </w:t>
      </w:r>
      <w:r w:rsidR="009558F0" w:rsidRPr="00D637A6">
        <w:rPr>
          <w:rFonts w:asciiTheme="majorHAnsi" w:eastAsia="Calibri" w:hAnsiTheme="majorHAnsi" w:cstheme="majorHAnsi"/>
          <w:color w:val="000000"/>
          <w:sz w:val="21"/>
          <w:szCs w:val="21"/>
        </w:rPr>
        <w:t xml:space="preserve">are in the process of generating a </w:t>
      </w:r>
      <w:r w:rsidRPr="00D637A6">
        <w:rPr>
          <w:rFonts w:asciiTheme="majorHAnsi" w:eastAsia="Calibri" w:hAnsiTheme="majorHAnsi" w:cstheme="majorHAnsi"/>
          <w:color w:val="000000"/>
          <w:sz w:val="21"/>
          <w:szCs w:val="21"/>
        </w:rPr>
        <w:t>tool that enables the researcher to automatically find if there are any correlations between dental pathologies and isotope values.</w:t>
      </w:r>
    </w:p>
    <w:p w:rsidR="00066A52" w:rsidRPr="00D637A6" w:rsidRDefault="00AA07E7" w:rsidP="002E311E">
      <w:pPr>
        <w:pBdr>
          <w:top w:val="nil"/>
          <w:left w:val="nil"/>
          <w:bottom w:val="nil"/>
          <w:right w:val="nil"/>
          <w:between w:val="nil"/>
        </w:pBdr>
        <w:ind w:firstLine="318"/>
        <w:rPr>
          <w:rFonts w:asciiTheme="majorHAnsi" w:eastAsia="Calibri" w:hAnsiTheme="majorHAnsi" w:cstheme="majorHAnsi"/>
          <w:color w:val="000000"/>
          <w:sz w:val="21"/>
          <w:szCs w:val="21"/>
        </w:rPr>
      </w:pPr>
      <w:r w:rsidRPr="00D637A6">
        <w:rPr>
          <w:rFonts w:asciiTheme="majorHAnsi" w:eastAsia="Calibri" w:hAnsiTheme="majorHAnsi" w:cstheme="majorHAnsi"/>
          <w:color w:val="000000"/>
          <w:sz w:val="21"/>
          <w:szCs w:val="21"/>
        </w:rPr>
        <w:t xml:space="preserve">Our research is part of an ongoing project entitled “APOIKIA: Ancient DNA analysis in novel multidisciplinary approach of ancient Corinthian </w:t>
      </w:r>
      <w:r w:rsidR="00FA590A">
        <w:rPr>
          <w:rFonts w:asciiTheme="majorHAnsi" w:eastAsia="Calibri" w:hAnsiTheme="majorHAnsi" w:cstheme="majorHAnsi"/>
          <w:color w:val="000000"/>
          <w:sz w:val="21"/>
          <w:szCs w:val="21"/>
        </w:rPr>
        <w:t>colonis</w:t>
      </w:r>
      <w:r w:rsidRPr="00D637A6">
        <w:rPr>
          <w:rFonts w:asciiTheme="majorHAnsi" w:eastAsia="Calibri" w:hAnsiTheme="majorHAnsi" w:cstheme="majorHAnsi"/>
          <w:color w:val="000000"/>
          <w:sz w:val="21"/>
          <w:szCs w:val="21"/>
        </w:rPr>
        <w:t>ation. Ancient Amvrakia and Ancient Tenea as demonstration examples”. Amvrakia (fig. 1) was officially founded in 625 BC during various colonisation endeavours of the Corinthians in Epirus, Greece. Five research institutes have partnered to enhance the archaeological research on the phenomenon of colonisation by elaborating current lines on the scientific network or carving new ones. The study presented here focuses on the osteoarchaeological and biochemical research field of the project.</w:t>
      </w:r>
    </w:p>
    <w:p w:rsidR="00066A52" w:rsidRPr="00D637A6" w:rsidRDefault="000965B2" w:rsidP="002E311E">
      <w:pPr>
        <w:keepNext/>
        <w:pBdr>
          <w:top w:val="nil"/>
          <w:left w:val="nil"/>
          <w:bottom w:val="nil"/>
          <w:right w:val="nil"/>
          <w:between w:val="nil"/>
        </w:pBdr>
        <w:jc w:val="center"/>
        <w:rPr>
          <w:rFonts w:asciiTheme="majorHAnsi" w:eastAsia="Calibri" w:hAnsiTheme="majorHAnsi" w:cstheme="majorHAnsi"/>
          <w:color w:val="000000"/>
          <w:sz w:val="21"/>
          <w:szCs w:val="21"/>
        </w:rPr>
      </w:pPr>
      <w:r w:rsidRPr="00D637A6">
        <w:rPr>
          <w:rFonts w:asciiTheme="majorHAnsi" w:eastAsia="Calibri" w:hAnsiTheme="majorHAnsi" w:cstheme="majorHAnsi"/>
          <w:noProof/>
          <w:sz w:val="21"/>
          <w:szCs w:val="21"/>
          <w:lang w:val="en-US" w:eastAsia="en-US"/>
        </w:rPr>
        <w:drawing>
          <wp:anchor distT="0" distB="0" distL="114300" distR="114300" simplePos="0" relativeHeight="251658240" behindDoc="0" locked="0" layoutInCell="1" allowOverlap="1">
            <wp:simplePos x="0" y="0"/>
            <wp:positionH relativeFrom="column">
              <wp:posOffset>386195</wp:posOffset>
            </wp:positionH>
            <wp:positionV relativeFrom="paragraph">
              <wp:posOffset>3631103</wp:posOffset>
            </wp:positionV>
            <wp:extent cx="490393" cy="720436"/>
            <wp:effectExtent l="19050" t="0" r="4907" b="0"/>
            <wp:wrapNone/>
            <wp:docPr id="6" name="Picture 3" descr="C:\Users\kirix\AppData\Local\Microsoft\Windows\INetCache\IE\RG3OYRK8\north-arrow-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rix\AppData\Local\Microsoft\Windows\INetCache\IE\RG3OYRK8\north-arrow-2[1].png"/>
                    <pic:cNvPicPr>
                      <a:picLocks noChangeAspect="1" noChangeArrowheads="1"/>
                    </pic:cNvPicPr>
                  </pic:nvPicPr>
                  <pic:blipFill>
                    <a:blip r:embed="rId8" cstate="print"/>
                    <a:srcRect/>
                    <a:stretch>
                      <a:fillRect/>
                    </a:stretch>
                  </pic:blipFill>
                  <pic:spPr bwMode="auto">
                    <a:xfrm>
                      <a:off x="0" y="0"/>
                      <a:ext cx="490393" cy="720436"/>
                    </a:xfrm>
                    <a:prstGeom prst="rect">
                      <a:avLst/>
                    </a:prstGeom>
                    <a:noFill/>
                    <a:ln w="9525">
                      <a:noFill/>
                      <a:miter lim="800000"/>
                      <a:headEnd/>
                      <a:tailEnd/>
                    </a:ln>
                  </pic:spPr>
                </pic:pic>
              </a:graphicData>
            </a:graphic>
          </wp:anchor>
        </w:drawing>
      </w:r>
      <w:r w:rsidR="00AA07E7" w:rsidRPr="00D637A6">
        <w:rPr>
          <w:rFonts w:asciiTheme="majorHAnsi" w:eastAsia="Calibri" w:hAnsiTheme="majorHAnsi" w:cstheme="majorHAnsi"/>
          <w:noProof/>
          <w:sz w:val="21"/>
          <w:szCs w:val="21"/>
          <w:lang w:val="en-US" w:eastAsia="en-US"/>
        </w:rPr>
        <w:drawing>
          <wp:inline distT="114300" distB="114300" distL="114300" distR="114300">
            <wp:extent cx="5731200" cy="4572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4572000"/>
                    </a:xfrm>
                    <a:prstGeom prst="rect">
                      <a:avLst/>
                    </a:prstGeom>
                    <a:ln/>
                  </pic:spPr>
                </pic:pic>
              </a:graphicData>
            </a:graphic>
          </wp:inline>
        </w:drawing>
      </w:r>
    </w:p>
    <w:p w:rsidR="00066A52" w:rsidRPr="00D637A6" w:rsidRDefault="00AA07E7" w:rsidP="002E311E">
      <w:pPr>
        <w:pBdr>
          <w:top w:val="nil"/>
          <w:left w:val="nil"/>
          <w:bottom w:val="nil"/>
          <w:right w:val="nil"/>
          <w:between w:val="nil"/>
        </w:pBdr>
        <w:ind w:left="851" w:right="851"/>
        <w:outlineLvl w:val="0"/>
        <w:rPr>
          <w:rFonts w:asciiTheme="majorHAnsi" w:eastAsia="Calibri" w:hAnsiTheme="majorHAnsi" w:cstheme="majorHAnsi"/>
          <w:color w:val="000000"/>
          <w:sz w:val="18"/>
          <w:szCs w:val="18"/>
        </w:rPr>
      </w:pPr>
      <w:r w:rsidRPr="00D637A6">
        <w:rPr>
          <w:rFonts w:asciiTheme="majorHAnsi" w:eastAsia="Calibri" w:hAnsiTheme="majorHAnsi" w:cstheme="majorHAnsi"/>
          <w:color w:val="000000"/>
          <w:sz w:val="18"/>
          <w:szCs w:val="18"/>
        </w:rPr>
        <w:t>Figure 1 Corinth(metropolis) and Amvrakia(colony) in Greece</w:t>
      </w:r>
    </w:p>
    <w:p w:rsidR="00210482" w:rsidRPr="00D637A6" w:rsidRDefault="00210482" w:rsidP="002E311E">
      <w:pPr>
        <w:pBdr>
          <w:top w:val="nil"/>
          <w:left w:val="nil"/>
          <w:bottom w:val="nil"/>
          <w:right w:val="nil"/>
          <w:between w:val="nil"/>
        </w:pBdr>
        <w:ind w:firstLine="318"/>
        <w:rPr>
          <w:rFonts w:asciiTheme="majorHAnsi" w:eastAsia="Calibri" w:hAnsiTheme="majorHAnsi" w:cstheme="majorHAnsi"/>
          <w:color w:val="000000"/>
          <w:sz w:val="21"/>
          <w:szCs w:val="21"/>
        </w:rPr>
      </w:pPr>
    </w:p>
    <w:p w:rsidR="00066A52" w:rsidRPr="00D637A6" w:rsidRDefault="00AA07E7" w:rsidP="002E311E">
      <w:pPr>
        <w:pBdr>
          <w:top w:val="nil"/>
          <w:left w:val="nil"/>
          <w:bottom w:val="nil"/>
          <w:right w:val="nil"/>
          <w:between w:val="nil"/>
        </w:pBdr>
        <w:ind w:firstLine="318"/>
        <w:rPr>
          <w:rFonts w:asciiTheme="majorHAnsi" w:eastAsia="Calibri" w:hAnsiTheme="majorHAnsi" w:cstheme="majorHAnsi"/>
          <w:color w:val="000000"/>
          <w:sz w:val="21"/>
          <w:szCs w:val="21"/>
        </w:rPr>
      </w:pPr>
      <w:r w:rsidRPr="00D637A6">
        <w:rPr>
          <w:rFonts w:asciiTheme="majorHAnsi" w:eastAsia="Calibri" w:hAnsiTheme="majorHAnsi" w:cstheme="majorHAnsi"/>
          <w:color w:val="000000"/>
          <w:sz w:val="21"/>
          <w:szCs w:val="21"/>
        </w:rPr>
        <w:t xml:space="preserve">Bioarchaeologists are all the more specialising in a specific field of study as technological advances limit the researchers’ ability to keep track of them. Collaboration among specialists is the only viable way to conduct research in the coming years. The obstacles that arise through such collaborations may throw whole scientific projects off balance or even lead to their termination. </w:t>
      </w:r>
      <w:r w:rsidR="009D68E5">
        <w:rPr>
          <w:rFonts w:asciiTheme="majorHAnsi" w:eastAsia="Calibri" w:hAnsiTheme="majorHAnsi" w:cstheme="majorHAnsi"/>
          <w:color w:val="000000"/>
          <w:sz w:val="21"/>
          <w:szCs w:val="21"/>
        </w:rPr>
        <w:t>One of those obstacles is</w:t>
      </w:r>
      <w:r w:rsidRPr="00D637A6">
        <w:rPr>
          <w:rFonts w:asciiTheme="majorHAnsi" w:eastAsia="Calibri" w:hAnsiTheme="majorHAnsi" w:cstheme="majorHAnsi"/>
          <w:color w:val="000000"/>
          <w:sz w:val="21"/>
          <w:szCs w:val="21"/>
        </w:rPr>
        <w:t xml:space="preserve"> </w:t>
      </w:r>
      <w:r w:rsidR="009D68E5" w:rsidRPr="009D68E5">
        <w:rPr>
          <w:rFonts w:asciiTheme="majorHAnsi" w:eastAsia="Calibri" w:hAnsiTheme="majorHAnsi" w:cstheme="majorHAnsi"/>
          <w:color w:val="000000"/>
          <w:sz w:val="21"/>
          <w:szCs w:val="21"/>
        </w:rPr>
        <w:t xml:space="preserve">the complexity of merging diverse types of recorded data into a unified database. In attempts to address this challenge, bioarchaeologists have turned to utilizing different web-based platforms, including Google Drive, Dropbox, Box, and GitHub. While these tools have been beneficial, they often lack a cohesive interface, making them less user-friendly. To mitigate these issues, there is a growing trend within the scientific community to develop new tools, ranging from mobile applications to cloud-based software, with varying licenses and methodological applications, spanning historical research to forensic law enforcement. </w:t>
      </w:r>
      <w:r w:rsidRPr="00D637A6">
        <w:rPr>
          <w:rFonts w:asciiTheme="majorHAnsi" w:eastAsia="Calibri" w:hAnsiTheme="majorHAnsi" w:cstheme="majorHAnsi"/>
          <w:color w:val="000000"/>
          <w:sz w:val="21"/>
          <w:szCs w:val="21"/>
        </w:rPr>
        <w:t>(Bartholdy, Hoogland, and Waters‐Rist 2019; Berg and Kenyhercz 2017; Colleter, Romain, and Barreau 2020; Hunt 2019; Klales 2020; G. R. Scott et al. 2018).</w:t>
      </w:r>
    </w:p>
    <w:p w:rsidR="00066A52" w:rsidRPr="00D637A6" w:rsidRDefault="006E6CCB" w:rsidP="002E311E">
      <w:pPr>
        <w:keepNext/>
        <w:pBdr>
          <w:top w:val="nil"/>
          <w:left w:val="nil"/>
          <w:bottom w:val="nil"/>
          <w:right w:val="nil"/>
          <w:between w:val="nil"/>
        </w:pBdr>
        <w:jc w:val="center"/>
        <w:outlineLvl w:val="0"/>
        <w:rPr>
          <w:rFonts w:asciiTheme="majorHAnsi" w:eastAsia="Calibri" w:hAnsiTheme="majorHAnsi" w:cstheme="majorHAnsi"/>
          <w:b/>
          <w:color w:val="000000"/>
          <w:sz w:val="24"/>
          <w:szCs w:val="24"/>
        </w:rPr>
      </w:pPr>
      <w:bookmarkStart w:id="1" w:name="_30j0zll" w:colFirst="0" w:colLast="0"/>
      <w:bookmarkEnd w:id="1"/>
      <w:r>
        <w:rPr>
          <w:rFonts w:asciiTheme="majorHAnsi" w:eastAsia="Calibri" w:hAnsiTheme="majorHAnsi" w:cstheme="majorHAnsi"/>
          <w:b/>
          <w:color w:val="000000"/>
          <w:sz w:val="24"/>
          <w:szCs w:val="24"/>
        </w:rPr>
        <w:lastRenderedPageBreak/>
        <w:t xml:space="preserve">Material and </w:t>
      </w:r>
      <w:r w:rsidR="00AA07E7" w:rsidRPr="00D637A6">
        <w:rPr>
          <w:rFonts w:asciiTheme="majorHAnsi" w:eastAsia="Calibri" w:hAnsiTheme="majorHAnsi" w:cstheme="majorHAnsi"/>
          <w:b/>
          <w:color w:val="000000"/>
          <w:sz w:val="24"/>
          <w:szCs w:val="24"/>
        </w:rPr>
        <w:t>Methods</w:t>
      </w:r>
    </w:p>
    <w:p w:rsidR="00066A52" w:rsidRPr="00D637A6" w:rsidRDefault="00AA07E7" w:rsidP="002E311E">
      <w:pPr>
        <w:pBdr>
          <w:top w:val="nil"/>
          <w:left w:val="nil"/>
          <w:bottom w:val="nil"/>
          <w:right w:val="nil"/>
          <w:between w:val="nil"/>
        </w:pBdr>
        <w:ind w:firstLine="318"/>
        <w:rPr>
          <w:rFonts w:asciiTheme="majorHAnsi" w:eastAsia="Calibri" w:hAnsiTheme="majorHAnsi" w:cstheme="majorHAnsi"/>
          <w:color w:val="000000"/>
          <w:sz w:val="21"/>
          <w:szCs w:val="21"/>
        </w:rPr>
      </w:pPr>
      <w:r w:rsidRPr="00D637A6">
        <w:rPr>
          <w:rFonts w:asciiTheme="majorHAnsi" w:eastAsia="Calibri" w:hAnsiTheme="majorHAnsi" w:cstheme="majorHAnsi"/>
          <w:color w:val="000000"/>
          <w:sz w:val="21"/>
          <w:szCs w:val="21"/>
        </w:rPr>
        <w:t xml:space="preserve">The osteoarchaeological material comes from various excavational periods of the Western Necropolis (WN) and Eastern </w:t>
      </w:r>
      <w:r w:rsidRPr="00D637A6">
        <w:rPr>
          <w:rFonts w:asciiTheme="majorHAnsi" w:eastAsia="Calibri" w:hAnsiTheme="majorHAnsi" w:cstheme="majorHAnsi"/>
          <w:sz w:val="21"/>
          <w:szCs w:val="21"/>
        </w:rPr>
        <w:t xml:space="preserve">Necropolis (EN) </w:t>
      </w:r>
      <w:r w:rsidRPr="00D637A6">
        <w:rPr>
          <w:rFonts w:asciiTheme="majorHAnsi" w:eastAsia="Calibri" w:hAnsiTheme="majorHAnsi" w:cstheme="majorHAnsi"/>
          <w:color w:val="000000"/>
          <w:sz w:val="21"/>
          <w:szCs w:val="21"/>
        </w:rPr>
        <w:t xml:space="preserve">of Amvrakia that took place between 1993-2022 (fig. 2). </w:t>
      </w:r>
      <w:r w:rsidR="00B83B09" w:rsidRPr="00B83B09">
        <w:rPr>
          <w:rFonts w:asciiTheme="majorHAnsi" w:eastAsia="Calibri" w:hAnsiTheme="majorHAnsi" w:cstheme="majorHAnsi"/>
          <w:color w:val="000000"/>
          <w:sz w:val="21"/>
          <w:szCs w:val="21"/>
        </w:rPr>
        <w:br/>
      </w:r>
      <w:r w:rsidR="00B83B09">
        <w:rPr>
          <w:rFonts w:asciiTheme="majorHAnsi" w:eastAsia="Calibri" w:hAnsiTheme="majorHAnsi" w:cstheme="majorHAnsi"/>
          <w:color w:val="000000"/>
          <w:sz w:val="21"/>
          <w:szCs w:val="21"/>
        </w:rPr>
        <w:t>The WN</w:t>
      </w:r>
      <w:r w:rsidR="00B83B09" w:rsidRPr="00B83B09">
        <w:rPr>
          <w:rFonts w:asciiTheme="majorHAnsi" w:eastAsia="Calibri" w:hAnsiTheme="majorHAnsi" w:cstheme="majorHAnsi"/>
          <w:color w:val="000000"/>
          <w:sz w:val="21"/>
          <w:szCs w:val="21"/>
        </w:rPr>
        <w:t xml:space="preserve"> stands out as one of Greece's largest and most intact necropo</w:t>
      </w:r>
      <w:r w:rsidR="00344EF2">
        <w:rPr>
          <w:rFonts w:asciiTheme="majorHAnsi" w:eastAsia="Calibri" w:hAnsiTheme="majorHAnsi" w:cstheme="majorHAnsi"/>
          <w:color w:val="000000"/>
          <w:sz w:val="21"/>
          <w:szCs w:val="21"/>
        </w:rPr>
        <w:t>lises uncovered to date. It has</w:t>
      </w:r>
      <w:r w:rsidR="00344EF2" w:rsidRPr="00344EF2">
        <w:rPr>
          <w:rFonts w:asciiTheme="majorHAnsi" w:eastAsia="Calibri" w:hAnsiTheme="majorHAnsi" w:cstheme="majorHAnsi"/>
          <w:color w:val="000000"/>
          <w:sz w:val="21"/>
          <w:szCs w:val="21"/>
          <w:lang w:val="en-US"/>
        </w:rPr>
        <w:t xml:space="preserve"> </w:t>
      </w:r>
      <w:r w:rsidR="00B83B09" w:rsidRPr="00B83B09">
        <w:rPr>
          <w:rFonts w:asciiTheme="majorHAnsi" w:eastAsia="Calibri" w:hAnsiTheme="majorHAnsi" w:cstheme="majorHAnsi"/>
          <w:color w:val="000000"/>
          <w:sz w:val="21"/>
          <w:szCs w:val="21"/>
        </w:rPr>
        <w:t xml:space="preserve">revealed over 600 </w:t>
      </w:r>
      <w:r w:rsidR="009D68E5">
        <w:rPr>
          <w:rFonts w:asciiTheme="majorHAnsi" w:eastAsia="Calibri" w:hAnsiTheme="majorHAnsi" w:cstheme="majorHAnsi"/>
          <w:color w:val="000000"/>
          <w:sz w:val="21"/>
          <w:szCs w:val="21"/>
        </w:rPr>
        <w:t>grave sites</w:t>
      </w:r>
      <w:r w:rsidR="00B83B09" w:rsidRPr="00B83B09">
        <w:rPr>
          <w:rFonts w:asciiTheme="majorHAnsi" w:eastAsia="Calibri" w:hAnsiTheme="majorHAnsi" w:cstheme="majorHAnsi"/>
          <w:color w:val="000000"/>
          <w:sz w:val="21"/>
          <w:szCs w:val="21"/>
        </w:rPr>
        <w:t>, coll</w:t>
      </w:r>
      <w:r w:rsidR="00344EF2">
        <w:rPr>
          <w:rFonts w:asciiTheme="majorHAnsi" w:eastAsia="Calibri" w:hAnsiTheme="majorHAnsi" w:cstheme="majorHAnsi"/>
          <w:color w:val="000000"/>
          <w:sz w:val="21"/>
          <w:szCs w:val="21"/>
        </w:rPr>
        <w:t xml:space="preserve">ectively </w:t>
      </w:r>
      <w:r w:rsidR="009D68E5">
        <w:rPr>
          <w:rFonts w:asciiTheme="majorHAnsi" w:eastAsia="Calibri" w:hAnsiTheme="majorHAnsi" w:cstheme="majorHAnsi"/>
          <w:color w:val="000000"/>
          <w:sz w:val="21"/>
          <w:szCs w:val="21"/>
        </w:rPr>
        <w:t>containing</w:t>
      </w:r>
      <w:r w:rsidR="00344EF2">
        <w:rPr>
          <w:rFonts w:asciiTheme="majorHAnsi" w:eastAsia="Calibri" w:hAnsiTheme="majorHAnsi" w:cstheme="majorHAnsi"/>
          <w:color w:val="000000"/>
          <w:sz w:val="21"/>
          <w:szCs w:val="21"/>
        </w:rPr>
        <w:t xml:space="preserve"> more than</w:t>
      </w:r>
      <w:r w:rsidR="00B83B09" w:rsidRPr="00B83B09">
        <w:rPr>
          <w:rFonts w:asciiTheme="majorHAnsi" w:eastAsia="Calibri" w:hAnsiTheme="majorHAnsi" w:cstheme="majorHAnsi"/>
          <w:color w:val="000000"/>
          <w:sz w:val="21"/>
          <w:szCs w:val="21"/>
        </w:rPr>
        <w:t xml:space="preserve"> </w:t>
      </w:r>
      <w:r w:rsidR="00344EF2" w:rsidRPr="00344EF2">
        <w:rPr>
          <w:rFonts w:asciiTheme="majorHAnsi" w:eastAsia="Calibri" w:hAnsiTheme="majorHAnsi" w:cstheme="majorHAnsi"/>
          <w:color w:val="000000"/>
          <w:sz w:val="21"/>
          <w:szCs w:val="21"/>
          <w:lang w:val="en-US"/>
        </w:rPr>
        <w:t xml:space="preserve">700 </w:t>
      </w:r>
      <w:r w:rsidR="00B83B09" w:rsidRPr="00B83B09">
        <w:rPr>
          <w:rFonts w:asciiTheme="majorHAnsi" w:eastAsia="Calibri" w:hAnsiTheme="majorHAnsi" w:cstheme="majorHAnsi"/>
          <w:color w:val="000000"/>
          <w:sz w:val="21"/>
          <w:szCs w:val="21"/>
        </w:rPr>
        <w:t>individuals.</w:t>
      </w:r>
      <w:r w:rsidR="00B83B09">
        <w:rPr>
          <w:rFonts w:asciiTheme="majorHAnsi" w:eastAsia="Calibri" w:hAnsiTheme="majorHAnsi" w:cstheme="majorHAnsi"/>
          <w:color w:val="000000"/>
          <w:sz w:val="21"/>
          <w:szCs w:val="21"/>
        </w:rPr>
        <w:t xml:space="preserve"> </w:t>
      </w:r>
      <w:r w:rsidRPr="00D637A6">
        <w:rPr>
          <w:rFonts w:asciiTheme="majorHAnsi" w:eastAsia="Calibri" w:hAnsiTheme="majorHAnsi" w:cstheme="majorHAnsi"/>
          <w:color w:val="000000"/>
          <w:sz w:val="21"/>
          <w:szCs w:val="21"/>
        </w:rPr>
        <w:t xml:space="preserve">The </w:t>
      </w:r>
      <w:r w:rsidRPr="00D637A6">
        <w:rPr>
          <w:rFonts w:asciiTheme="majorHAnsi" w:eastAsia="Calibri" w:hAnsiTheme="majorHAnsi" w:cstheme="majorHAnsi"/>
          <w:sz w:val="21"/>
          <w:szCs w:val="21"/>
        </w:rPr>
        <w:t>EN of Amvrakia is</w:t>
      </w:r>
      <w:r w:rsidR="00DE4A04" w:rsidRPr="00D637A6">
        <w:rPr>
          <w:rFonts w:asciiTheme="majorHAnsi" w:eastAsia="Calibri" w:hAnsiTheme="majorHAnsi" w:cstheme="majorHAnsi"/>
          <w:sz w:val="21"/>
          <w:szCs w:val="21"/>
          <w:lang w:val="en-US"/>
        </w:rPr>
        <w:t xml:space="preserve"> </w:t>
      </w:r>
      <w:r w:rsidRPr="00D637A6">
        <w:rPr>
          <w:rFonts w:asciiTheme="majorHAnsi" w:eastAsia="Calibri" w:hAnsiTheme="majorHAnsi" w:cstheme="majorHAnsi"/>
          <w:color w:val="000000"/>
          <w:sz w:val="21"/>
          <w:szCs w:val="21"/>
        </w:rPr>
        <w:t xml:space="preserve">more </w:t>
      </w:r>
      <w:r w:rsidRPr="00D637A6">
        <w:rPr>
          <w:rFonts w:asciiTheme="majorHAnsi" w:eastAsia="Calibri" w:hAnsiTheme="majorHAnsi" w:cstheme="majorHAnsi"/>
          <w:sz w:val="21"/>
          <w:szCs w:val="21"/>
        </w:rPr>
        <w:t>segmented than WN</w:t>
      </w:r>
      <w:r w:rsidR="00DE4A04" w:rsidRPr="00D637A6">
        <w:rPr>
          <w:rFonts w:asciiTheme="majorHAnsi" w:eastAsia="Calibri" w:hAnsiTheme="majorHAnsi" w:cstheme="majorHAnsi"/>
          <w:sz w:val="21"/>
          <w:szCs w:val="21"/>
          <w:lang w:val="en-US"/>
        </w:rPr>
        <w:t xml:space="preserve"> </w:t>
      </w:r>
      <w:r w:rsidRPr="00D637A6">
        <w:rPr>
          <w:rFonts w:asciiTheme="majorHAnsi" w:eastAsia="Calibri" w:hAnsiTheme="majorHAnsi" w:cstheme="majorHAnsi"/>
          <w:color w:val="000000"/>
          <w:sz w:val="21"/>
          <w:szCs w:val="21"/>
        </w:rPr>
        <w:t>with</w:t>
      </w:r>
      <w:r w:rsidRPr="00D637A6">
        <w:rPr>
          <w:rFonts w:asciiTheme="majorHAnsi" w:eastAsia="Calibri" w:hAnsiTheme="majorHAnsi" w:cstheme="majorHAnsi"/>
          <w:sz w:val="21"/>
          <w:szCs w:val="21"/>
        </w:rPr>
        <w:t xml:space="preserve"> approximately 200 </w:t>
      </w:r>
      <w:r w:rsidR="009D68E5">
        <w:rPr>
          <w:rFonts w:asciiTheme="majorHAnsi" w:eastAsia="Calibri" w:hAnsiTheme="majorHAnsi" w:cstheme="majorHAnsi"/>
          <w:sz w:val="21"/>
          <w:szCs w:val="21"/>
        </w:rPr>
        <w:t xml:space="preserve">grave sites </w:t>
      </w:r>
      <w:r w:rsidRPr="00D637A6">
        <w:rPr>
          <w:rFonts w:asciiTheme="majorHAnsi" w:eastAsia="Calibri" w:hAnsiTheme="majorHAnsi" w:cstheme="majorHAnsi"/>
          <w:sz w:val="21"/>
          <w:szCs w:val="21"/>
        </w:rPr>
        <w:t xml:space="preserve">and around 100 individuals. </w:t>
      </w:r>
      <w:r w:rsidRPr="00D637A6">
        <w:rPr>
          <w:rFonts w:asciiTheme="majorHAnsi" w:eastAsia="Calibri" w:hAnsiTheme="majorHAnsi" w:cstheme="majorHAnsi"/>
          <w:color w:val="000000"/>
          <w:sz w:val="21"/>
          <w:szCs w:val="21"/>
        </w:rPr>
        <w:t>The fragmented state of skeletal preservation in bo</w:t>
      </w:r>
      <w:r w:rsidRPr="00D637A6">
        <w:rPr>
          <w:rFonts w:asciiTheme="majorHAnsi" w:eastAsia="Calibri" w:hAnsiTheme="majorHAnsi" w:cstheme="majorHAnsi"/>
          <w:sz w:val="21"/>
          <w:szCs w:val="21"/>
        </w:rPr>
        <w:t>th Necropolises</w:t>
      </w:r>
      <w:r w:rsidRPr="00D637A6">
        <w:rPr>
          <w:rFonts w:asciiTheme="majorHAnsi" w:eastAsia="Calibri" w:hAnsiTheme="majorHAnsi" w:cstheme="majorHAnsi"/>
          <w:color w:val="000000"/>
          <w:sz w:val="21"/>
          <w:szCs w:val="21"/>
        </w:rPr>
        <w:t xml:space="preserve"> posed </w:t>
      </w:r>
      <w:r w:rsidRPr="00D637A6">
        <w:rPr>
          <w:rFonts w:asciiTheme="majorHAnsi" w:eastAsia="Calibri" w:hAnsiTheme="majorHAnsi" w:cstheme="majorHAnsi"/>
          <w:sz w:val="21"/>
          <w:szCs w:val="21"/>
        </w:rPr>
        <w:t>an interesting</w:t>
      </w:r>
      <w:r w:rsidRPr="00D637A6">
        <w:rPr>
          <w:rFonts w:asciiTheme="majorHAnsi" w:eastAsia="Calibri" w:hAnsiTheme="majorHAnsi" w:cstheme="majorHAnsi"/>
          <w:color w:val="000000"/>
          <w:sz w:val="21"/>
          <w:szCs w:val="21"/>
        </w:rPr>
        <w:t xml:space="preserve"> challenge of creating a proper database for commingled and individual burial</w:t>
      </w:r>
      <w:r w:rsidR="00B83B09">
        <w:rPr>
          <w:rFonts w:asciiTheme="majorHAnsi" w:eastAsia="Calibri" w:hAnsiTheme="majorHAnsi" w:cstheme="majorHAnsi"/>
          <w:color w:val="000000"/>
          <w:sz w:val="21"/>
          <w:szCs w:val="21"/>
        </w:rPr>
        <w:t xml:space="preserve"> </w:t>
      </w:r>
      <w:r w:rsidR="0081779B">
        <w:rPr>
          <w:rFonts w:asciiTheme="majorHAnsi" w:eastAsia="Calibri" w:hAnsiTheme="majorHAnsi" w:cstheme="majorHAnsi"/>
          <w:color w:val="000000"/>
          <w:sz w:val="21"/>
          <w:szCs w:val="21"/>
        </w:rPr>
        <w:fldChar w:fldCharType="begin"/>
      </w:r>
      <w:r w:rsidR="00B83B09">
        <w:rPr>
          <w:rFonts w:asciiTheme="majorHAnsi" w:eastAsia="Calibri" w:hAnsiTheme="majorHAnsi" w:cstheme="majorHAnsi"/>
          <w:color w:val="000000"/>
          <w:sz w:val="21"/>
          <w:szCs w:val="21"/>
        </w:rPr>
        <w:instrText xml:space="preserve"> ADDIN ZOTERO_ITEM CSL_CITATION {"citationID":"FpUd5rHg","properties":{"formattedCitation":"(Adams &amp; Konigsberg, 2008)","plainCitation":"(Adams &amp; Konigsberg, 2008)","noteIndex":0},"citationItems":[{"id":13,"uris":["http://zotero.org/users/859559/items/2KZI2KY8"],"itemData":{"id":13,"type":"chapter","container-title":"Recovery, Analysis, and Identification of Commingled Human Remains","ISBN":"978-1-58829-769-3","language":"en","note":"DOI: 10.1007/978-1-59745-316-5_12","page":"241-255","publisher":"Humana Press","source":"link.springer.com","title":"How Many People? Determining the Number of Individuals Represented by Commingled Human Remains","title-short":"How Many People?","URL":"https://link.springer.com/chapter/10.1007/978-1-59745-316-5_12","author":[{"family":"Adams","given":"Bradley J."},{"family":"Konigsberg","given":"Lyle W."}],"accessed":{"date-parts":[["2018",8,10]]},"issued":{"date-parts":[["2008"]]},"citation-key":"adams_how_2008"}}],"schema":"https://github.com/citation-style-language/schema/raw/master/csl-citation.json"} </w:instrText>
      </w:r>
      <w:r w:rsidR="0081779B">
        <w:rPr>
          <w:rFonts w:asciiTheme="majorHAnsi" w:eastAsia="Calibri" w:hAnsiTheme="majorHAnsi" w:cstheme="majorHAnsi"/>
          <w:color w:val="000000"/>
          <w:sz w:val="21"/>
          <w:szCs w:val="21"/>
        </w:rPr>
        <w:fldChar w:fldCharType="separate"/>
      </w:r>
      <w:r w:rsidR="00B83B09" w:rsidRPr="00B83B09">
        <w:rPr>
          <w:rFonts w:ascii="Calibri" w:eastAsia="Calibri" w:hAnsi="Calibri" w:cs="Calibri"/>
          <w:sz w:val="21"/>
        </w:rPr>
        <w:t>(Adams &amp; Konigsberg, 2008)</w:t>
      </w:r>
      <w:r w:rsidR="0081779B">
        <w:rPr>
          <w:rFonts w:asciiTheme="majorHAnsi" w:eastAsia="Calibri" w:hAnsiTheme="majorHAnsi" w:cstheme="majorHAnsi"/>
          <w:color w:val="000000"/>
          <w:sz w:val="21"/>
          <w:szCs w:val="21"/>
        </w:rPr>
        <w:fldChar w:fldCharType="end"/>
      </w:r>
      <w:r w:rsidRPr="00D637A6">
        <w:rPr>
          <w:rFonts w:asciiTheme="majorHAnsi" w:eastAsia="Calibri" w:hAnsiTheme="majorHAnsi" w:cstheme="majorHAnsi"/>
          <w:color w:val="000000"/>
          <w:sz w:val="21"/>
          <w:szCs w:val="21"/>
        </w:rPr>
        <w:t xml:space="preserve"> as well as establishing a convenient methodology for filtering and selecting the most appropriat</w:t>
      </w:r>
      <w:r w:rsidR="00B83B09">
        <w:rPr>
          <w:rFonts w:asciiTheme="majorHAnsi" w:eastAsia="Calibri" w:hAnsiTheme="majorHAnsi" w:cstheme="majorHAnsi"/>
          <w:color w:val="000000"/>
          <w:sz w:val="21"/>
          <w:szCs w:val="21"/>
        </w:rPr>
        <w:t>e samples for isotope analysis</w:t>
      </w:r>
      <w:r w:rsidRPr="00D637A6">
        <w:rPr>
          <w:rFonts w:asciiTheme="majorHAnsi" w:eastAsia="Calibri" w:hAnsiTheme="majorHAnsi" w:cstheme="majorHAnsi"/>
          <w:color w:val="000000"/>
          <w:sz w:val="21"/>
          <w:szCs w:val="21"/>
        </w:rPr>
        <w:t>.</w:t>
      </w:r>
    </w:p>
    <w:p w:rsidR="00066A52" w:rsidRPr="00D637A6" w:rsidRDefault="00D50684" w:rsidP="002E311E">
      <w:pPr>
        <w:pBdr>
          <w:top w:val="nil"/>
          <w:left w:val="nil"/>
          <w:bottom w:val="nil"/>
          <w:right w:val="nil"/>
          <w:between w:val="nil"/>
        </w:pBdr>
        <w:jc w:val="center"/>
        <w:rPr>
          <w:rFonts w:asciiTheme="majorHAnsi" w:eastAsia="Calibri" w:hAnsiTheme="majorHAnsi" w:cstheme="majorHAnsi"/>
          <w:color w:val="000000"/>
          <w:sz w:val="21"/>
          <w:szCs w:val="21"/>
        </w:rPr>
      </w:pPr>
      <w:r w:rsidRPr="00D50684">
        <w:rPr>
          <w:rFonts w:asciiTheme="majorHAnsi" w:eastAsia="Calibri" w:hAnsiTheme="majorHAnsi" w:cstheme="majorHAnsi"/>
          <w:color w:val="000000"/>
          <w:sz w:val="21"/>
          <w:szCs w:val="21"/>
        </w:rPr>
        <w:drawing>
          <wp:inline distT="0" distB="0" distL="0" distR="0">
            <wp:extent cx="5737985" cy="5001415"/>
            <wp:effectExtent l="19050" t="0" r="0" b="0"/>
            <wp:docPr id="8" name="Picture 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cstate="print"/>
                    <a:stretch>
                      <a:fillRect/>
                    </a:stretch>
                  </pic:blipFill>
                  <pic:spPr>
                    <a:xfrm>
                      <a:off x="0" y="0"/>
                      <a:ext cx="5741997" cy="5004912"/>
                    </a:xfrm>
                    <a:prstGeom prst="rect">
                      <a:avLst/>
                    </a:prstGeom>
                  </pic:spPr>
                </pic:pic>
              </a:graphicData>
            </a:graphic>
          </wp:inline>
        </w:drawing>
      </w:r>
    </w:p>
    <w:p w:rsidR="00066A52" w:rsidRPr="00D50684" w:rsidRDefault="00AA07E7" w:rsidP="002E311E">
      <w:pPr>
        <w:pBdr>
          <w:top w:val="nil"/>
          <w:left w:val="nil"/>
          <w:bottom w:val="nil"/>
          <w:right w:val="nil"/>
          <w:between w:val="nil"/>
        </w:pBdr>
        <w:ind w:left="851" w:right="851"/>
        <w:rPr>
          <w:rFonts w:asciiTheme="majorHAnsi" w:eastAsia="Calibri" w:hAnsiTheme="majorHAnsi" w:cstheme="majorHAnsi"/>
          <w:color w:val="000000"/>
          <w:sz w:val="21"/>
          <w:szCs w:val="21"/>
          <w:lang w:val="en-US"/>
        </w:rPr>
      </w:pPr>
      <w:r w:rsidRPr="00D637A6">
        <w:rPr>
          <w:rFonts w:asciiTheme="majorHAnsi" w:eastAsia="Calibri" w:hAnsiTheme="majorHAnsi" w:cstheme="majorHAnsi"/>
          <w:color w:val="000000"/>
          <w:sz w:val="18"/>
          <w:szCs w:val="18"/>
        </w:rPr>
        <w:t>Figure 2 Western Necropolis (white box 1), Eastern Necropolis (white box 2), City of Amvrakia (inside the red perimeter)</w:t>
      </w:r>
      <w:r w:rsidR="001C147D">
        <w:rPr>
          <w:rFonts w:asciiTheme="majorHAnsi" w:eastAsia="Calibri" w:hAnsiTheme="majorHAnsi" w:cstheme="majorHAnsi"/>
          <w:color w:val="000000"/>
          <w:sz w:val="18"/>
          <w:szCs w:val="18"/>
        </w:rPr>
        <w:t xml:space="preserve"> </w:t>
      </w:r>
      <w:r w:rsidR="001C147D">
        <w:rPr>
          <w:rFonts w:asciiTheme="majorHAnsi" w:eastAsia="Calibri" w:hAnsiTheme="majorHAnsi" w:cstheme="majorHAnsi"/>
          <w:color w:val="000000"/>
          <w:sz w:val="18"/>
          <w:szCs w:val="18"/>
        </w:rPr>
        <w:fldChar w:fldCharType="begin"/>
      </w:r>
      <w:r w:rsidR="00E55686">
        <w:rPr>
          <w:rFonts w:asciiTheme="majorHAnsi" w:eastAsia="Calibri" w:hAnsiTheme="majorHAnsi" w:cstheme="majorHAnsi"/>
          <w:color w:val="000000"/>
          <w:sz w:val="18"/>
          <w:szCs w:val="18"/>
        </w:rPr>
        <w:instrText xml:space="preserve"> ADDIN ZOTERO_ITEM CSL_CITATION {"citationID":"EDAdt6u5","properties":{"formattedCitation":"(\\uc0\\u928{}\\uc0\\u945{}\\uc0\\u960{}\\uc0\\u945{}\\uc0\\u948{}\\uc0\\u959{}\\uc0\\u960{}\\uc0\\u959{}\\uc0\\u973{}\\uc0\\u955{}\\uc0\\u959{}\\uc0\\u965{} et al., 2021)","plainCitation":"(Παπαδοπούλου et al., 2021)","dontUpdate":true,"noteIndex":0},"citationItems":[{"id":23195,"uris":["http://zotero.org/users/859559/items/HV7X4IQU"],"itemData":{"id":23195,"type":"article-journal","container-title":"Θέματα Αρχαιολογίας","ISSN":"2653-9292","issue":"1","note":"tex.ids= __2021-2, __2021-3, __2021-4","page":"112-123","title":"ΑΠΟΙΚΙΑ Ένα ερευνητικό πρόγραμμα ανασύστασης της πληθυσμιακής εικόνας της Αμβρακίας την εποχή του κορινθιακού αποικισμού","volume":"5","author":[{"family":"Παπαδοπούλου","given":"Βαρβάρα"},{"family":"Βάσιος","given":"Αριστίδης"},{"family":"Παπακώστα","given":"Δήμητρα"},{"family":"Ξανθόπουλος","given":"Κυριάκος"}],"issued":{"date-parts":[["2021"]]},"citation-key":"__2021-1"}}],"schema":"https://github.com/citation-style-language/schema/raw/master/csl-citation.json"} </w:instrText>
      </w:r>
      <w:r w:rsidR="001C147D">
        <w:rPr>
          <w:rFonts w:asciiTheme="majorHAnsi" w:eastAsia="Calibri" w:hAnsiTheme="majorHAnsi" w:cstheme="majorHAnsi"/>
          <w:color w:val="000000"/>
          <w:sz w:val="18"/>
          <w:szCs w:val="18"/>
        </w:rPr>
        <w:fldChar w:fldCharType="separate"/>
      </w:r>
      <w:r w:rsidR="00D50684">
        <w:rPr>
          <w:rFonts w:ascii="Calibri" w:hAnsi="Calibri" w:cs="Calibri"/>
          <w:sz w:val="18"/>
          <w:szCs w:val="24"/>
        </w:rPr>
        <w:t>(</w:t>
      </w:r>
      <w:r w:rsidR="00D50684">
        <w:rPr>
          <w:rFonts w:ascii="Calibri" w:hAnsi="Calibri" w:cs="Calibri"/>
          <w:sz w:val="18"/>
          <w:szCs w:val="24"/>
          <w:lang w:val="en-US"/>
        </w:rPr>
        <w:t>Papadopoulou</w:t>
      </w:r>
      <w:r w:rsidR="001C147D" w:rsidRPr="001C147D">
        <w:rPr>
          <w:rFonts w:ascii="Calibri" w:hAnsi="Calibri" w:cs="Calibri"/>
          <w:sz w:val="18"/>
          <w:szCs w:val="24"/>
        </w:rPr>
        <w:t xml:space="preserve"> et al., 2021)</w:t>
      </w:r>
      <w:r w:rsidR="001C147D">
        <w:rPr>
          <w:rFonts w:asciiTheme="majorHAnsi" w:eastAsia="Calibri" w:hAnsiTheme="majorHAnsi" w:cstheme="majorHAnsi"/>
          <w:color w:val="000000"/>
          <w:sz w:val="18"/>
          <w:szCs w:val="18"/>
        </w:rPr>
        <w:fldChar w:fldCharType="end"/>
      </w:r>
    </w:p>
    <w:p w:rsidR="006A0198" w:rsidRPr="006A0198" w:rsidRDefault="00AA07E7" w:rsidP="002E311E">
      <w:pPr>
        <w:pBdr>
          <w:top w:val="nil"/>
          <w:left w:val="nil"/>
          <w:bottom w:val="nil"/>
          <w:right w:val="nil"/>
          <w:between w:val="nil"/>
        </w:pBdr>
        <w:ind w:firstLine="318"/>
        <w:rPr>
          <w:rFonts w:asciiTheme="majorHAnsi" w:hAnsiTheme="majorHAnsi" w:cstheme="majorHAnsi"/>
          <w:color w:val="0D0D0D"/>
          <w:sz w:val="21"/>
          <w:szCs w:val="21"/>
          <w:shd w:val="clear" w:color="auto" w:fill="FFFFFF"/>
        </w:rPr>
      </w:pPr>
      <w:r w:rsidRPr="00D637A6">
        <w:rPr>
          <w:rFonts w:asciiTheme="majorHAnsi" w:eastAsia="Calibri" w:hAnsiTheme="majorHAnsi" w:cstheme="majorHAnsi"/>
          <w:color w:val="000000"/>
          <w:sz w:val="21"/>
          <w:szCs w:val="21"/>
        </w:rPr>
        <w:t xml:space="preserve">The methodology was designed on the basis of novel approaches to data collection and FAIR </w:t>
      </w:r>
      <w:r w:rsidRPr="00D637A6">
        <w:rPr>
          <w:rFonts w:asciiTheme="majorHAnsi" w:eastAsia="Calibri" w:hAnsiTheme="majorHAnsi" w:cstheme="majorHAnsi"/>
          <w:sz w:val="21"/>
          <w:szCs w:val="21"/>
        </w:rPr>
        <w:t xml:space="preserve">(Findable, Accessible, Interoperable, Reusable) </w:t>
      </w:r>
      <w:r w:rsidRPr="00D637A6">
        <w:rPr>
          <w:rFonts w:asciiTheme="majorHAnsi" w:eastAsia="Calibri" w:hAnsiTheme="majorHAnsi" w:cstheme="majorHAnsi"/>
          <w:color w:val="000000"/>
          <w:sz w:val="21"/>
          <w:szCs w:val="21"/>
        </w:rPr>
        <w:t xml:space="preserve">principles (Schmidt and Marwick 2020). Proprietary software is used as minimally as possible and only for transitioning from old but established methodologies into new tools based on free and preferably open-source software. The principle behind this is to maximise the longevity of data and maintain their expediency. In particular, we create R programming language scripts that correlate paleodemographic, </w:t>
      </w:r>
      <w:r w:rsidRPr="00D637A6">
        <w:rPr>
          <w:rFonts w:asciiTheme="majorHAnsi" w:eastAsia="Calibri" w:hAnsiTheme="majorHAnsi" w:cstheme="majorHAnsi"/>
          <w:sz w:val="21"/>
          <w:szCs w:val="21"/>
        </w:rPr>
        <w:t>palaeo</w:t>
      </w:r>
      <w:r w:rsidRPr="00D637A6">
        <w:rPr>
          <w:rFonts w:asciiTheme="majorHAnsi" w:eastAsia="Calibri" w:hAnsiTheme="majorHAnsi" w:cstheme="majorHAnsi"/>
          <w:color w:val="000000"/>
          <w:sz w:val="21"/>
          <w:szCs w:val="21"/>
        </w:rPr>
        <w:t>pathological, osteometric and isotope data by following revised methodology and utilising free cloud webware.</w:t>
      </w:r>
      <w:r w:rsidR="000965B2" w:rsidRPr="00D637A6">
        <w:rPr>
          <w:rFonts w:asciiTheme="majorHAnsi" w:hAnsiTheme="majorHAnsi" w:cstheme="majorHAnsi"/>
        </w:rPr>
        <w:t xml:space="preserve"> </w:t>
      </w:r>
      <w:r w:rsidR="000965B2" w:rsidRPr="00D637A6">
        <w:rPr>
          <w:rFonts w:asciiTheme="majorHAnsi" w:hAnsiTheme="majorHAnsi" w:cstheme="majorHAnsi"/>
          <w:color w:val="0D0D0D"/>
          <w:sz w:val="21"/>
          <w:szCs w:val="21"/>
          <w:shd w:val="clear" w:color="auto" w:fill="FFFFFF"/>
        </w:rPr>
        <w:t>To adhere to each tenet of FAIR principles, meticulous scrutiny was applied to the processes of material management and data documentation.</w:t>
      </w:r>
    </w:p>
    <w:p w:rsidR="006A0198" w:rsidRPr="006A0198" w:rsidRDefault="00565450" w:rsidP="002E311E">
      <w:pPr>
        <w:pBdr>
          <w:top w:val="nil"/>
          <w:left w:val="nil"/>
          <w:bottom w:val="nil"/>
          <w:right w:val="nil"/>
          <w:between w:val="nil"/>
        </w:pBdr>
        <w:ind w:firstLine="318"/>
        <w:rPr>
          <w:rFonts w:asciiTheme="majorHAnsi" w:hAnsiTheme="majorHAnsi" w:cstheme="majorHAnsi"/>
          <w:color w:val="0D0D0D"/>
          <w:sz w:val="21"/>
          <w:szCs w:val="21"/>
          <w:shd w:val="clear" w:color="auto" w:fill="FFFFFF"/>
          <w:lang w:val="en-US"/>
        </w:rPr>
      </w:pPr>
      <w:r w:rsidRPr="00D637A6">
        <w:rPr>
          <w:rFonts w:asciiTheme="majorHAnsi" w:hAnsiTheme="majorHAnsi" w:cstheme="majorHAnsi"/>
          <w:color w:val="0D0D0D"/>
          <w:sz w:val="21"/>
          <w:szCs w:val="21"/>
          <w:shd w:val="clear" w:color="auto" w:fill="FFFFFF"/>
        </w:rPr>
        <w:t xml:space="preserve">First of all, </w:t>
      </w:r>
      <w:r w:rsidR="000965B2" w:rsidRPr="00D637A6">
        <w:rPr>
          <w:rFonts w:asciiTheme="majorHAnsi" w:eastAsia="Calibri" w:hAnsiTheme="majorHAnsi" w:cstheme="majorHAnsi"/>
          <w:color w:val="000000"/>
          <w:sz w:val="21"/>
          <w:szCs w:val="21"/>
          <w:lang w:val="en-US"/>
        </w:rPr>
        <w:t xml:space="preserve">findability </w:t>
      </w:r>
      <w:r w:rsidR="00E46FD7" w:rsidRPr="00D637A6">
        <w:rPr>
          <w:rFonts w:asciiTheme="majorHAnsi" w:eastAsia="Calibri" w:hAnsiTheme="majorHAnsi" w:cstheme="majorHAnsi"/>
          <w:color w:val="000000"/>
          <w:sz w:val="21"/>
          <w:szCs w:val="21"/>
          <w:lang w:val="en-US"/>
        </w:rPr>
        <w:t xml:space="preserve">of </w:t>
      </w:r>
      <w:r w:rsidR="006A0198">
        <w:rPr>
          <w:rFonts w:asciiTheme="majorHAnsi" w:eastAsia="Calibri" w:hAnsiTheme="majorHAnsi" w:cstheme="majorHAnsi"/>
          <w:color w:val="000000"/>
          <w:sz w:val="21"/>
          <w:szCs w:val="21"/>
          <w:lang w:val="en-US"/>
        </w:rPr>
        <w:t xml:space="preserve">osteological </w:t>
      </w:r>
      <w:r w:rsidR="00E46FD7" w:rsidRPr="00D637A6">
        <w:rPr>
          <w:rFonts w:asciiTheme="majorHAnsi" w:eastAsia="Calibri" w:hAnsiTheme="majorHAnsi" w:cstheme="majorHAnsi"/>
          <w:color w:val="000000"/>
          <w:sz w:val="21"/>
          <w:szCs w:val="21"/>
          <w:lang w:val="en-US"/>
        </w:rPr>
        <w:t xml:space="preserve">material </w:t>
      </w:r>
      <w:r w:rsidRPr="00D637A6">
        <w:rPr>
          <w:rFonts w:asciiTheme="majorHAnsi" w:eastAsia="Calibri" w:hAnsiTheme="majorHAnsi" w:cstheme="majorHAnsi"/>
          <w:color w:val="000000"/>
          <w:sz w:val="21"/>
          <w:szCs w:val="21"/>
          <w:lang w:val="en-US"/>
        </w:rPr>
        <w:t xml:space="preserve">was </w:t>
      </w:r>
      <w:r w:rsidR="006A0198" w:rsidRPr="006A0198">
        <w:rPr>
          <w:rFonts w:asciiTheme="majorHAnsi" w:hAnsiTheme="majorHAnsi" w:cstheme="majorHAnsi"/>
          <w:color w:val="0D0D0D"/>
          <w:sz w:val="21"/>
          <w:szCs w:val="21"/>
          <w:shd w:val="clear" w:color="auto" w:fill="FFFFFF"/>
          <w:lang w:val="en-US"/>
        </w:rPr>
        <w:t>facilitated through the implementation of a meticulously devised file storage protocol, informed by internationally recognized guidelines</w:t>
      </w:r>
      <w:r w:rsidR="00E46FD7" w:rsidRPr="00D637A6">
        <w:rPr>
          <w:rFonts w:asciiTheme="majorHAnsi" w:eastAsia="Calibri" w:hAnsiTheme="majorHAnsi" w:cstheme="majorHAnsi"/>
          <w:color w:val="000000"/>
          <w:sz w:val="21"/>
          <w:szCs w:val="21"/>
          <w:lang w:val="en-US"/>
        </w:rPr>
        <w:t xml:space="preserve"> </w:t>
      </w:r>
      <w:r w:rsidR="0081779B" w:rsidRPr="00D637A6">
        <w:rPr>
          <w:rFonts w:asciiTheme="majorHAnsi" w:eastAsia="Calibri" w:hAnsiTheme="majorHAnsi" w:cstheme="majorHAnsi"/>
          <w:color w:val="000000"/>
          <w:sz w:val="21"/>
          <w:szCs w:val="21"/>
          <w:lang w:val="en-US"/>
        </w:rPr>
        <w:fldChar w:fldCharType="begin"/>
      </w:r>
      <w:r w:rsidR="00E46FD7" w:rsidRPr="00D637A6">
        <w:rPr>
          <w:rFonts w:asciiTheme="majorHAnsi" w:eastAsia="Calibri" w:hAnsiTheme="majorHAnsi" w:cstheme="majorHAnsi"/>
          <w:color w:val="000000"/>
          <w:sz w:val="21"/>
          <w:szCs w:val="21"/>
          <w:lang w:val="en-US"/>
        </w:rPr>
        <w:instrText xml:space="preserve"> ADDIN ZOTERO_ITEM CSL_CITATION {"citationID":"VsEIDmVG","properties":{"formattedCitation":"(Buikstra &amp; Ubelaker, 1994; Schwartz, 1995; Scheuer &amp; Black, 2000; Hillson, 2005; Lewis, 2007; Schaefer et al., 2009; White et al., 2012; Nikita, 2017; Seguchi &amp; Dudzik, 2019; Nikita &amp; Karligkioti, 2020)","plainCitation":"(Buikstra &amp; Ubelaker, 1994; Schwartz, 1995; Scheuer &amp; Black, 2000; Hillson, 2005; Lewis, 2007; Schaefer et al., 2009; White et al., 2012; Nikita, 2017; Seguchi &amp; Dudzik, 2019; Nikita &amp; Karligkioti, 2020)","noteIndex":0},"citationItems":[{"id":74,"uris":["http://zotero.org/users/859559/items/QYTZIG9R"],"itemData":{"id":74,"type":"book","collection-title":"Arkansas Archeological Survey research series","ISBN":"978-1-56349-075-0","note":"LCCN: 94036389","publisher":"Arkansas Archeological Survey","title":"Standards for Data Collection from Human Skeletal Remains: Proceedings of a Seminar at the Field Museum of Natural History, Organized by Jonathan Haas","URL":"https://books.google.gr/books?id=dnt2QgAACAAJ","author":[{"family":"Buikstra","given":"J.E."},{"family":"Ubelaker","given":"D.H."}],"editor":[{"family":"Haas","given":"J."},{"literal":"Field Museum of Natural History (last)"}],"issued":{"date-parts":[["1994"]]},"citation-key":"buikstra_standards_1994"}},{"id":335,"uris":["http://zotero.org/users/859559/items/9NQS3SBJ"],"itemData":{"id":335,"type":"book","event-place":"New York","ISBN":"978-0-19-505638-9","publisher":"Oxford University Press","publisher-place":"New York","title":"Skeleton keys: an introduction to human skeletal morphology, development, and analysis","title-short":"Skeleton keys","author":[{"family":"Schwartz","given":"Jeffrey H."}],"issued":{"date-parts":[["1995"]]},"citation-key":"schwartz_skeleton_1995"}},{"id":666,"uris":["http://zotero.org/users/859559/items/Y52X8M9Z"],"itemData":{"id":666,"type":"book","event-place":"San Diego, CA","ISBN":"978-0-12-624000-9","publisher":"Academic Press","publisher-place":"San Diego, CA","title":"Developmental juvenile osteology","author":[{"family":"Scheuer","given":"Louise"},{"family":"Black","given":"Sue M."}],"issued":{"date-parts":[["2000"]]},"citation-key":"scheuer_developmental_2000"}},{"id":22155,"uris":["http://zotero.org/users/859559/items/I8XI859H"],"itemData":{"id":22155,"type":"book","event-place":"Cambridge; New York","ISBN":"978-0-511-61447-7","language":"English","note":"OCLC: 1120427636","publisher":"Cambridge University Press","publisher-place":"Cambridge; New York","source":"Open WorldCat","title":"Teeth","URL":"https://doi.org/10.1017/CBO9780511614477","author":[{"family":"Hillson","given":"Simon"}],"accessed":{"date-parts":[["2021",1,2]]},"issued":{"date-parts":[["2005"]]},"citation-key":"hillson_teeth_2005"}},{"id":24834,"uris":["http://zotero.org/users/859559/items/VS9VB37F"],"itemData":{"id":24834,"type":"book","abstract":"This book is entirely devoted to the study of children's skeletons from archaeological and forensic contexts. It provides an extensive review of the osteological methods and theoretical concepts of their analysis. Non-adult skeletons provide a wealth of information on the physical and social life of the child from their growth, diet and age at death, to factors that expose them to trauma and disease at different stages of their lives. This book covers the factors that affect non-adult skeletal preservation; the assessment of their age, sex and ancestry; growth and development; infant and child mortality including infanticide; weaning ages and disease of dietary deficiency; skeletal pathology; personal identification and exposure to trauma from birth injuries, accidents and child abuse; providing insights for graduates and postgraduates in osteology, palaeopathology and forensic anthropology.","ISBN":"978-0-521-83602-9","language":"en","note":"Google-Books-ID: xPGuvmF9oLUC","number-of-pages":"280","publisher":"Cambridge University Press","source":"Google Books","title":"The Bioarchaeology of Children: Perspectives from Biological and Forensic Anthropology","title-short":"The Bioarchaeology of Children","author":[{"family":"Lewis","given":"Mary E."}],"issued":{"date-parts":[["2007"]]},"citation-key":"lewis_bioarchaeology_2007"}},{"id":979,"uris":["http://zotero.org/users/859559/items/EJPIJEY8"],"itemData":{"id":979,"type":"book","call-number":"QM101 .S3467 2009","event-place":"Amsterdam ; Burlington, MA","ISBN":"978-0-12-374635-1","language":"en","note":"OCLC: ocn248977781","number-of-pages":"369","publisher":"Elsevier/Academic Press","publisher-place":"Amsterdam ; Burlington, MA","source":"Library of Congress ISBN","title":"Juvenile osteology: a laboratory and field manual","title-short":"Juvenile osteology","author":[{"family":"Schaefer","given":"Maureen"},{"family":"Scheuer","given":"Louise"},{"family":"Black","given":"Sue M."}],"issued":{"date-parts":[["2009"]]},"citation-key":"schaefer_juvenile_2009"}},{"id":67,"uris":["http://zotero.org/users/859559/items/I2TSXI6P"],"itemData":{"id":67,"type":"book","edition":"3rd ed","event-place":"San Diego, Calif","ISBN":"978-0-12-374134-9","publisher":"Academic Press","publisher-place":"San Diego, Calif","title":"Human osteology","author":[{"family":"White","given":"T. D."},{"family":"Black","given":"Michael T."},{"family":"Folkens","given":"Pieter A."}],"issued":{"date-parts":[["2012"]]},"citation-key":"white_human_2012"}},{"id":25093,"uris":["http://zotero.org/users/859559/items/J8I899UJ"],"itemData":{"id":25093,"type":"book","call-number":"CC79.5.H85 N55 2017","event-place":"Amsterdam","ISBN":"978-0-12-804021-8","language":"en","note":"OCLC: ocn959034578","number-of-pages":"449","publisher":"Elsevier/Academic Press","publisher-place":"Amsterdam","source":"Library of Congress ISBN","title":"Osteoarchaeology: a guide to the macroscopic study of human skeletal remains","title-short":"Osteoarchaeology","author":[{"family":"Nikita","given":"Efthymia"}],"issued":{"date-parts":[["2017"]]},"citation-key":"nikita_osteoarchaeology_2017"}},{"id":21885,"uris":["http://zotero.org/users/859559/items/HG8PI647"],"itemData":{"id":21885,"type":"book","event-place":"San Deigo","ISBN":"978-0-12-815309-3","publisher":"Elsevier","publisher-place":"San Deigo","source":"Library of Congress ISBN","title":"3d data acquisition for bioarchaeology, forensic anthropology, and archaeology","editor":[{"family":"Seguchi","given":"Noriko"},{"family":"Dudzik","given":"Beatrix"}],"issued":{"date-parts":[["2019"]]},"citation-key":"seguchi_3d_2019"}},{"id":23339,"uris":["http://zotero.org/users/859559/items/X7BHV28R"],"itemData":{"id":23339,"type":"book","abstract":"This document is the first in a series of guides aimed at promoting best practice in different aspects of archaeological science, produced by members of the Science and Technology in Archaeology and Culture Research Centre (STARC) of The Cyprus Institute. The current document was largely developed in the context of two projects: People in Motion and Promised. The implementation of People in Motion involved the study of large skeletal assemblages from Byzantine sites across the Mediterranean. Osteological work on these assemblages was co-funded by the European Regional Development Fund and the Republic of Cyprus through the Research and Innovation Foundation (Project: EXCELLENCE/1216/ 0023). In addition, Promised aims at promoting archaeological sciences in the Eastern Mediterranean, with funding from the European Union’s Horizon 2020 research and innovation programme under grant agreement No 811068. The aim of this guide is to cover the main aspects of the excavation and macroscopic study of human skeletal remains. The focus is on bioarchaeological/human osteoarchaeological assemblages, rather than forensic anthropological material, though many of the practices described are shared between these disciplines. It cannot be overemphasized that each skeletal assemblage will pose different challenges and any approach to field recovery and laboratory procedures will have to be adapted to these. Therefore, the current guide is meant to serve only as a general outline of best practices and the described field and lab-based methods should be modified depending on individual circumstances, such as the sample size, preservation of the material, research questions and other parameters. References are given throughout the document, but our aim is by no means to provide an exhaustive account of the literature. This document is an open resource and it is anticipated to be updated at regular intervals. We would greatly appreciate any feedback and recommendations for future improvement.","note":"DOI: 10.5281/zenodo.4641953","publisher":"Zenodo","source":"Zenodo","title":"BASIC GUIDELINES FOR THE  EXCAVATION AND STUDY  OF HUMAN SKELETAL REMAINS","URL":"https://zenodo.org/record/4641953","author":[{"family":"Nikita","given":"Efthymia"},{"family":"Karligkioti","given":"Anna"}],"accessed":{"date-parts":[["2022",1,13]]},"issued":{"date-parts":[["2020",10,3]]},"citation-key":"nikita_basic_2020"}}],"schema":"https://github.com/citation-style-language/schema/raw/master/csl-citation.json"} </w:instrText>
      </w:r>
      <w:r w:rsidR="0081779B" w:rsidRPr="00D637A6">
        <w:rPr>
          <w:rFonts w:asciiTheme="majorHAnsi" w:eastAsia="Calibri" w:hAnsiTheme="majorHAnsi" w:cstheme="majorHAnsi"/>
          <w:color w:val="000000"/>
          <w:sz w:val="21"/>
          <w:szCs w:val="21"/>
          <w:lang w:val="en-US"/>
        </w:rPr>
        <w:fldChar w:fldCharType="separate"/>
      </w:r>
      <w:r w:rsidR="00E46FD7" w:rsidRPr="00D637A6">
        <w:rPr>
          <w:rFonts w:asciiTheme="majorHAnsi" w:eastAsia="Calibri" w:hAnsiTheme="majorHAnsi" w:cstheme="majorHAnsi"/>
          <w:sz w:val="21"/>
          <w:szCs w:val="21"/>
        </w:rPr>
        <w:t xml:space="preserve">(Buikstra &amp; </w:t>
      </w:r>
      <w:r w:rsidR="00E46FD7" w:rsidRPr="00D637A6">
        <w:rPr>
          <w:rFonts w:asciiTheme="majorHAnsi" w:eastAsia="Calibri" w:hAnsiTheme="majorHAnsi" w:cstheme="majorHAnsi"/>
          <w:sz w:val="21"/>
          <w:szCs w:val="21"/>
        </w:rPr>
        <w:lastRenderedPageBreak/>
        <w:t>Ubelaker, 1994; Schwartz, 1995; Scheuer &amp; Black, 2000; Hillson, 2005; Lewis, 2007; Schaefer et al., 2009; White et al., 2012; Nikita, 2017; Seguchi &amp; Dudzik, 2019; Nikita &amp; Karligkioti, 2020)</w:t>
      </w:r>
      <w:r w:rsidR="0081779B" w:rsidRPr="00D637A6">
        <w:rPr>
          <w:rFonts w:asciiTheme="majorHAnsi" w:eastAsia="Calibri" w:hAnsiTheme="majorHAnsi" w:cstheme="majorHAnsi"/>
          <w:color w:val="000000"/>
          <w:sz w:val="21"/>
          <w:szCs w:val="21"/>
          <w:lang w:val="en-US"/>
        </w:rPr>
        <w:fldChar w:fldCharType="end"/>
      </w:r>
      <w:r w:rsidR="00510563" w:rsidRPr="00D637A6">
        <w:rPr>
          <w:rFonts w:asciiTheme="majorHAnsi" w:eastAsia="Calibri" w:hAnsiTheme="majorHAnsi" w:cstheme="majorHAnsi"/>
          <w:color w:val="000000"/>
          <w:sz w:val="21"/>
          <w:szCs w:val="21"/>
          <w:lang w:val="en-US"/>
        </w:rPr>
        <w:t xml:space="preserve">. </w:t>
      </w:r>
      <w:r w:rsidR="006A0198" w:rsidRPr="006A0198">
        <w:rPr>
          <w:rFonts w:asciiTheme="majorHAnsi" w:hAnsiTheme="majorHAnsi" w:cstheme="majorHAnsi"/>
          <w:color w:val="0D0D0D"/>
          <w:sz w:val="21"/>
          <w:szCs w:val="21"/>
          <w:shd w:val="clear" w:color="auto" w:fill="FFFFFF"/>
          <w:lang w:val="en-US"/>
        </w:rPr>
        <w:t>All files were systematically recorded and stored locally, leveraging the cloud-based service provided by Dropbox. This approach not only ensures accessibility but also offers robust mechanisms for file integrity preservation, enabling restoration to previous versions in cases of file corruption. Additionally, the platform extends the option to share files publicly, enhancing accessibility and dissemination.</w:t>
      </w:r>
    </w:p>
    <w:p w:rsidR="006A0198" w:rsidRPr="006A0198" w:rsidRDefault="006A0198" w:rsidP="002E311E">
      <w:pPr>
        <w:pBdr>
          <w:top w:val="nil"/>
          <w:left w:val="nil"/>
          <w:bottom w:val="nil"/>
          <w:right w:val="nil"/>
          <w:between w:val="nil"/>
        </w:pBdr>
        <w:ind w:firstLine="318"/>
        <w:rPr>
          <w:rFonts w:asciiTheme="majorHAnsi" w:hAnsiTheme="majorHAnsi" w:cstheme="majorHAnsi"/>
          <w:color w:val="0D0D0D"/>
          <w:sz w:val="21"/>
          <w:szCs w:val="21"/>
          <w:shd w:val="clear" w:color="auto" w:fill="FFFFFF"/>
          <w:lang w:val="en-US"/>
        </w:rPr>
      </w:pPr>
      <w:r w:rsidRPr="006A0198">
        <w:rPr>
          <w:rFonts w:asciiTheme="majorHAnsi" w:hAnsiTheme="majorHAnsi" w:cstheme="majorHAnsi"/>
          <w:color w:val="0D0D0D"/>
          <w:sz w:val="21"/>
          <w:szCs w:val="21"/>
          <w:shd w:val="clear" w:color="auto" w:fill="FFFFFF"/>
          <w:lang w:val="en-US"/>
        </w:rPr>
        <w:t>Data pertaining to storage were meticulously documented in spreadsheets, utilizing file formats such as .ods or .xlsx. Demographic, pathological, and osteometric data, on the other hand, were systematically recorded in databases, employing file formats like .odb or .accdb. To facilitate statistical analyses, databases were exported to spreadsheets in the .csv format, ensuring compatibility and ease of manipulation.</w:t>
      </w:r>
    </w:p>
    <w:p w:rsidR="00510563" w:rsidRDefault="00D637A6" w:rsidP="002E311E">
      <w:pPr>
        <w:pBdr>
          <w:top w:val="nil"/>
          <w:left w:val="nil"/>
          <w:bottom w:val="nil"/>
          <w:right w:val="nil"/>
          <w:between w:val="nil"/>
        </w:pBdr>
        <w:ind w:firstLine="318"/>
        <w:rPr>
          <w:rFonts w:asciiTheme="majorHAnsi" w:hAnsiTheme="majorHAnsi" w:cstheme="majorHAnsi"/>
          <w:color w:val="0D0D0D"/>
          <w:sz w:val="21"/>
          <w:szCs w:val="21"/>
          <w:shd w:val="clear" w:color="auto" w:fill="FFFFFF"/>
        </w:rPr>
      </w:pPr>
      <w:r>
        <w:rPr>
          <w:rFonts w:asciiTheme="majorHAnsi" w:hAnsiTheme="majorHAnsi" w:cstheme="majorHAnsi"/>
          <w:color w:val="0D0D0D"/>
          <w:sz w:val="21"/>
          <w:szCs w:val="21"/>
          <w:shd w:val="clear" w:color="auto" w:fill="FFFFFF"/>
        </w:rPr>
        <w:t>The</w:t>
      </w:r>
      <w:r w:rsidR="006A0198">
        <w:rPr>
          <w:rFonts w:asciiTheme="majorHAnsi" w:hAnsiTheme="majorHAnsi" w:cstheme="majorHAnsi"/>
          <w:color w:val="0D0D0D"/>
          <w:sz w:val="21"/>
          <w:szCs w:val="21"/>
          <w:shd w:val="clear" w:color="auto" w:fill="FFFFFF"/>
        </w:rPr>
        <w:t xml:space="preserve"> skeletal</w:t>
      </w:r>
      <w:r>
        <w:rPr>
          <w:rFonts w:asciiTheme="majorHAnsi" w:hAnsiTheme="majorHAnsi" w:cstheme="majorHAnsi"/>
          <w:color w:val="0D0D0D"/>
          <w:sz w:val="21"/>
          <w:szCs w:val="21"/>
          <w:shd w:val="clear" w:color="auto" w:fill="FFFFFF"/>
        </w:rPr>
        <w:t xml:space="preserve"> material was</w:t>
      </w:r>
      <w:r w:rsidRPr="00D637A6">
        <w:rPr>
          <w:rFonts w:asciiTheme="majorHAnsi" w:hAnsiTheme="majorHAnsi" w:cstheme="majorHAnsi"/>
          <w:color w:val="0D0D0D"/>
          <w:sz w:val="21"/>
          <w:szCs w:val="21"/>
          <w:shd w:val="clear" w:color="auto" w:fill="FFFFFF"/>
        </w:rPr>
        <w:t xml:space="preserve"> securely stored within the infrastr</w:t>
      </w:r>
      <w:r>
        <w:rPr>
          <w:rFonts w:asciiTheme="majorHAnsi" w:hAnsiTheme="majorHAnsi" w:cstheme="majorHAnsi"/>
          <w:color w:val="0D0D0D"/>
          <w:sz w:val="21"/>
          <w:szCs w:val="21"/>
          <w:shd w:val="clear" w:color="auto" w:fill="FFFFFF"/>
        </w:rPr>
        <w:t>ucture of the archaeological museum</w:t>
      </w:r>
      <w:r w:rsidRPr="00D637A6">
        <w:rPr>
          <w:rFonts w:asciiTheme="majorHAnsi" w:hAnsiTheme="majorHAnsi" w:cstheme="majorHAnsi"/>
          <w:color w:val="0D0D0D"/>
          <w:sz w:val="21"/>
          <w:szCs w:val="21"/>
          <w:shd w:val="clear" w:color="auto" w:fill="FFFFFF"/>
        </w:rPr>
        <w:t xml:space="preserve"> </w:t>
      </w:r>
      <w:r>
        <w:rPr>
          <w:rFonts w:asciiTheme="majorHAnsi" w:hAnsiTheme="majorHAnsi" w:cstheme="majorHAnsi"/>
          <w:color w:val="0D0D0D"/>
          <w:sz w:val="21"/>
          <w:szCs w:val="21"/>
          <w:shd w:val="clear" w:color="auto" w:fill="FFFFFF"/>
        </w:rPr>
        <w:t xml:space="preserve">in Arta (Greece) </w:t>
      </w:r>
      <w:r w:rsidRPr="00D637A6">
        <w:rPr>
          <w:rFonts w:asciiTheme="majorHAnsi" w:hAnsiTheme="majorHAnsi" w:cstheme="majorHAnsi"/>
          <w:color w:val="0D0D0D"/>
          <w:sz w:val="21"/>
          <w:szCs w:val="21"/>
          <w:shd w:val="clear" w:color="auto" w:fill="FFFFFF"/>
        </w:rPr>
        <w:t>to facilitate accessibility for researchers.</w:t>
      </w:r>
      <w:r>
        <w:rPr>
          <w:rFonts w:asciiTheme="majorHAnsi" w:hAnsiTheme="majorHAnsi" w:cstheme="majorHAnsi"/>
          <w:color w:val="0D0D0D"/>
          <w:sz w:val="21"/>
          <w:szCs w:val="21"/>
          <w:shd w:val="clear" w:color="auto" w:fill="FFFFFF"/>
        </w:rPr>
        <w:t xml:space="preserve"> To further ensure accessibility, we have proposed the use of governmental servers so that future researchers </w:t>
      </w:r>
      <w:r w:rsidR="00166483">
        <w:rPr>
          <w:rFonts w:asciiTheme="majorHAnsi" w:hAnsiTheme="majorHAnsi" w:cstheme="majorHAnsi"/>
          <w:color w:val="0D0D0D"/>
          <w:sz w:val="21"/>
          <w:szCs w:val="21"/>
          <w:shd w:val="clear" w:color="auto" w:fill="FFFFFF"/>
        </w:rPr>
        <w:t xml:space="preserve">can have remote access. </w:t>
      </w:r>
      <w:r w:rsidR="00166483" w:rsidRPr="00166483">
        <w:rPr>
          <w:rFonts w:asciiTheme="majorHAnsi" w:hAnsiTheme="majorHAnsi" w:cstheme="majorHAnsi"/>
          <w:color w:val="0D0D0D"/>
          <w:sz w:val="21"/>
          <w:szCs w:val="21"/>
          <w:shd w:val="clear" w:color="auto" w:fill="FFFFFF"/>
        </w:rPr>
        <w:br/>
        <w:t>Despite the fact that the Greek legal framework has not yet addressed the matter, there are indications that it will do so in the near future</w:t>
      </w:r>
      <w:r w:rsidR="0081779B">
        <w:rPr>
          <w:rFonts w:asciiTheme="majorHAnsi" w:hAnsiTheme="majorHAnsi" w:cstheme="majorHAnsi"/>
          <w:color w:val="0D0D0D"/>
          <w:sz w:val="21"/>
          <w:szCs w:val="21"/>
          <w:shd w:val="clear" w:color="auto" w:fill="FFFFFF"/>
        </w:rPr>
        <w:fldChar w:fldCharType="begin"/>
      </w:r>
      <w:r w:rsidR="00A00F22">
        <w:rPr>
          <w:rFonts w:asciiTheme="majorHAnsi" w:hAnsiTheme="majorHAnsi" w:cstheme="majorHAnsi"/>
          <w:color w:val="0D0D0D"/>
          <w:sz w:val="21"/>
          <w:szCs w:val="21"/>
          <w:shd w:val="clear" w:color="auto" w:fill="FFFFFF"/>
        </w:rPr>
        <w:instrText xml:space="preserve"> ADDIN ZOTERO_ITEM CSL_CITATION {"citationID":"Rc2H8bXI","properties":{"formattedCitation":"(\\uc0\\u917{}\\uc0\\u955{}\\uc0\\u955{}\\uc0\\u951{}\\uc0\\u957{}\\uc0\\u953{}\\uc0\\u954{}\\uc0\\u942{} \\uc0\\u922{}\\uc0\\u965{}\\uc0\\u946{}\\uc0\\u941{}\\uc0\\u961{}\\uc0\\u957{}\\uc0\\u951{}\\uc0\\u963{}\\uc0\\u951{}, 2015)","plainCitation":"(Ελληνική Κυβέρνηση, 2015)","dontUpdate":true,"noteIndex":0},"citationItems":[{"id":254,"uris":["http://zotero.org/users/859559/items/Z4U5SS6S"],"itemData":{"id":254,"type":"book","language":"el","number-of-pages":"456","title":"Εθνική Στρατηγική Έξυπνης Εξειδικευσης","title-short":"Εθνική Στρατηγική Έξυπνης Εξειδίκευσης","URL":"http://www.gsrt.gr//central.aspx?sId=110I458I1163I646I453967&amp;olID=402&amp;neID=589&amp;neTa=1_1034&amp;ncID=0&amp;neHC=0&amp;tbid=0&amp;lrID=2&amp;oldUIID=aI402I0I100I271I941I0I1&amp;actionID=load","author":[{"literal":"Ελληνική Κυβέρνηση"}],"accessed":{"date-parts":[["2015",10,30]]},"issued":{"date-parts":[["2015",8]]},"citation-key":"___2015"}}],"schema":"https://github.com/citation-style-language/schema/raw/master/csl-citation.json"} </w:instrText>
      </w:r>
      <w:r w:rsidR="0081779B">
        <w:rPr>
          <w:rFonts w:asciiTheme="majorHAnsi" w:hAnsiTheme="majorHAnsi" w:cstheme="majorHAnsi"/>
          <w:color w:val="0D0D0D"/>
          <w:sz w:val="21"/>
          <w:szCs w:val="21"/>
          <w:shd w:val="clear" w:color="auto" w:fill="FFFFFF"/>
        </w:rPr>
        <w:fldChar w:fldCharType="separate"/>
      </w:r>
      <w:r w:rsidR="00166483" w:rsidRPr="00166483">
        <w:rPr>
          <w:rFonts w:ascii="Calibri" w:hAnsi="Calibri" w:cs="Calibri"/>
          <w:sz w:val="21"/>
          <w:szCs w:val="24"/>
        </w:rPr>
        <w:t>(</w:t>
      </w:r>
      <w:r w:rsidR="006E6CCB">
        <w:rPr>
          <w:rFonts w:ascii="Calibri" w:hAnsi="Calibri" w:cs="Calibri"/>
          <w:sz w:val="21"/>
          <w:szCs w:val="24"/>
        </w:rPr>
        <w:t>Hellenic Republic</w:t>
      </w:r>
      <w:r w:rsidR="00166483" w:rsidRPr="00166483">
        <w:rPr>
          <w:rFonts w:ascii="Calibri" w:hAnsi="Calibri" w:cs="Calibri"/>
          <w:sz w:val="21"/>
          <w:szCs w:val="24"/>
        </w:rPr>
        <w:t>, 2015)</w:t>
      </w:r>
      <w:r w:rsidR="0081779B">
        <w:rPr>
          <w:rFonts w:asciiTheme="majorHAnsi" w:hAnsiTheme="majorHAnsi" w:cstheme="majorHAnsi"/>
          <w:color w:val="0D0D0D"/>
          <w:sz w:val="21"/>
          <w:szCs w:val="21"/>
          <w:shd w:val="clear" w:color="auto" w:fill="FFFFFF"/>
        </w:rPr>
        <w:fldChar w:fldCharType="end"/>
      </w:r>
      <w:r w:rsidR="00166483" w:rsidRPr="00166483">
        <w:rPr>
          <w:rFonts w:asciiTheme="majorHAnsi" w:hAnsiTheme="majorHAnsi" w:cstheme="majorHAnsi"/>
          <w:color w:val="0D0D0D"/>
          <w:sz w:val="21"/>
          <w:szCs w:val="21"/>
          <w:shd w:val="clear" w:color="auto" w:fill="FFFFFF"/>
        </w:rPr>
        <w:t>.</w:t>
      </w:r>
    </w:p>
    <w:p w:rsidR="00C07823" w:rsidRDefault="00C31CEA" w:rsidP="002E311E">
      <w:pPr>
        <w:pBdr>
          <w:top w:val="nil"/>
          <w:left w:val="nil"/>
          <w:bottom w:val="nil"/>
          <w:right w:val="nil"/>
          <w:between w:val="nil"/>
        </w:pBdr>
        <w:ind w:firstLine="318"/>
        <w:rPr>
          <w:rFonts w:asciiTheme="majorHAnsi" w:hAnsiTheme="majorHAnsi" w:cstheme="majorHAnsi"/>
          <w:color w:val="0D0D0D"/>
          <w:sz w:val="21"/>
          <w:szCs w:val="21"/>
          <w:shd w:val="clear" w:color="auto" w:fill="FFFFFF"/>
        </w:rPr>
      </w:pPr>
      <w:r w:rsidRPr="00C31CEA">
        <w:rPr>
          <w:rFonts w:asciiTheme="majorHAnsi" w:hAnsiTheme="majorHAnsi" w:cstheme="majorHAnsi"/>
          <w:color w:val="0D0D0D"/>
          <w:sz w:val="21"/>
          <w:szCs w:val="21"/>
          <w:shd w:val="clear" w:color="auto" w:fill="FFFFFF"/>
        </w:rPr>
        <w:t>The selection of file types and platforms, whether local or cloud-based, facilitates interoperability. Given the swift pace of technological advancement, it is essential to employ files and platforms that ensure medium-term data usage across diverse computational systems. This approach remains crucial until novel technologies offer alternative solutions to preserve interoperability</w:t>
      </w:r>
      <w:r w:rsidR="00A465AA">
        <w:rPr>
          <w:rFonts w:asciiTheme="majorHAnsi" w:hAnsiTheme="majorHAnsi" w:cstheme="majorHAnsi"/>
          <w:color w:val="0D0D0D"/>
          <w:sz w:val="21"/>
          <w:szCs w:val="21"/>
          <w:shd w:val="clear" w:color="auto" w:fill="FFFFFF"/>
        </w:rPr>
        <w:t>.</w:t>
      </w:r>
    </w:p>
    <w:p w:rsidR="00A465AA" w:rsidRDefault="00A465AA" w:rsidP="002E311E">
      <w:pPr>
        <w:pBdr>
          <w:top w:val="nil"/>
          <w:left w:val="nil"/>
          <w:bottom w:val="nil"/>
          <w:right w:val="nil"/>
          <w:between w:val="nil"/>
        </w:pBdr>
        <w:ind w:firstLine="318"/>
        <w:rPr>
          <w:rFonts w:asciiTheme="majorHAnsi" w:hAnsiTheme="majorHAnsi" w:cstheme="majorHAnsi"/>
          <w:color w:val="0D0D0D"/>
          <w:sz w:val="21"/>
          <w:szCs w:val="21"/>
          <w:shd w:val="clear" w:color="auto" w:fill="FFFFFF"/>
        </w:rPr>
      </w:pPr>
      <w:r w:rsidRPr="00A465AA">
        <w:rPr>
          <w:rFonts w:asciiTheme="majorHAnsi" w:hAnsiTheme="majorHAnsi" w:cstheme="majorHAnsi"/>
          <w:color w:val="0D0D0D"/>
          <w:sz w:val="21"/>
          <w:szCs w:val="21"/>
          <w:shd w:val="clear" w:color="auto" w:fill="FFFFFF"/>
        </w:rPr>
        <w:t>The utilization of foundational file formats</w:t>
      </w:r>
      <w:r w:rsidR="00A00F22">
        <w:rPr>
          <w:rFonts w:asciiTheme="majorHAnsi" w:hAnsiTheme="majorHAnsi" w:cstheme="majorHAnsi"/>
          <w:color w:val="0D0D0D"/>
          <w:sz w:val="21"/>
          <w:szCs w:val="21"/>
          <w:shd w:val="clear" w:color="auto" w:fill="FFFFFF"/>
        </w:rPr>
        <w:t xml:space="preserve"> –such as .csv-</w:t>
      </w:r>
      <w:r w:rsidRPr="00A465AA">
        <w:rPr>
          <w:rFonts w:asciiTheme="majorHAnsi" w:hAnsiTheme="majorHAnsi" w:cstheme="majorHAnsi"/>
          <w:color w:val="0D0D0D"/>
          <w:sz w:val="21"/>
          <w:szCs w:val="21"/>
          <w:shd w:val="clear" w:color="auto" w:fill="FFFFFF"/>
        </w:rPr>
        <w:t>, particularly in conjunction with script programming in R</w:t>
      </w:r>
      <w:r w:rsidR="00A00F22">
        <w:rPr>
          <w:rFonts w:asciiTheme="majorHAnsi" w:hAnsiTheme="majorHAnsi" w:cstheme="majorHAnsi"/>
          <w:color w:val="0D0D0D"/>
          <w:sz w:val="21"/>
          <w:szCs w:val="21"/>
          <w:shd w:val="clear" w:color="auto" w:fill="FFFFFF"/>
        </w:rPr>
        <w:t xml:space="preserve"> </w:t>
      </w:r>
      <w:r w:rsidR="0081779B">
        <w:rPr>
          <w:rFonts w:asciiTheme="majorHAnsi" w:hAnsiTheme="majorHAnsi" w:cstheme="majorHAnsi"/>
          <w:color w:val="0D0D0D"/>
          <w:sz w:val="21"/>
          <w:szCs w:val="21"/>
          <w:shd w:val="clear" w:color="auto" w:fill="FFFFFF"/>
        </w:rPr>
        <w:fldChar w:fldCharType="begin"/>
      </w:r>
      <w:r w:rsidR="00A00F22">
        <w:rPr>
          <w:rFonts w:asciiTheme="majorHAnsi" w:hAnsiTheme="majorHAnsi" w:cstheme="majorHAnsi"/>
          <w:color w:val="0D0D0D"/>
          <w:sz w:val="21"/>
          <w:szCs w:val="21"/>
          <w:shd w:val="clear" w:color="auto" w:fill="FFFFFF"/>
        </w:rPr>
        <w:instrText xml:space="preserve"> ADDIN ZOTERO_ITEM CSL_CITATION {"citationID":"WoLdB9ep","properties":{"formattedCitation":"(Marwick, 2017)","plainCitation":"(Marwick, 2017)","noteIndex":0},"citationItems":[{"id":21855,"uris":["http://zotero.org/users/859559/items/865QSCTR"],"itemData":{"id":21855,"type":"article-journal","abstract":"The use of computers and complex software is pervasive in archaeology, yet their role in the analytical pipeline is rarely exposed for other researchers to inspect or reuse. This limits the progress of archaeology because researchers cannot easily reproduce each other’s work to verify or extend it. Four general principles of reproducible research that have emerged in other fields are presented. An archaeological case study is described that shows how each principle can be implemented using freely available software. The costs and benefits of implementing reproducible research are assessed. The primary benefit, of sharing data in particular, is increased impact via an increased number of citations. The primary cost is the additional time required to enhance reproducibility, although the exact amount is difficult to quantify.","container-title":"Journal of Archaeological Method and Theory","DOI":"10.1007/s10816-015-9272-9","ISSN":"1573-7764","issue":"2","journalAbbreviation":"J Archaeol Method Theory","language":"en","note":"tex.ids= marwick_computational_2017-1","page":"424-450","source":"Springer Link","title":"Computational Reproducibility in Archaeological Research: Basic Principles and a Case Study of Their Implementation","title-short":"Computational Reproducibility in Archaeological Research","volume":"24","author":[{"family":"Marwick","given":"Ben"}],"issued":{"date-parts":[["2017",6,1]]},"citation-key":"marwick_computational_2017"}}],"schema":"https://github.com/citation-style-language/schema/raw/master/csl-citation.json"} </w:instrText>
      </w:r>
      <w:r w:rsidR="0081779B">
        <w:rPr>
          <w:rFonts w:asciiTheme="majorHAnsi" w:hAnsiTheme="majorHAnsi" w:cstheme="majorHAnsi"/>
          <w:color w:val="0D0D0D"/>
          <w:sz w:val="21"/>
          <w:szCs w:val="21"/>
          <w:shd w:val="clear" w:color="auto" w:fill="FFFFFF"/>
        </w:rPr>
        <w:fldChar w:fldCharType="separate"/>
      </w:r>
      <w:r w:rsidR="00A00F22" w:rsidRPr="00A00F22">
        <w:rPr>
          <w:rFonts w:ascii="Calibri" w:hAnsi="Calibri" w:cs="Calibri"/>
          <w:sz w:val="21"/>
        </w:rPr>
        <w:t>(Marwick, 2017)</w:t>
      </w:r>
      <w:r w:rsidR="0081779B">
        <w:rPr>
          <w:rFonts w:asciiTheme="majorHAnsi" w:hAnsiTheme="majorHAnsi" w:cstheme="majorHAnsi"/>
          <w:color w:val="0D0D0D"/>
          <w:sz w:val="21"/>
          <w:szCs w:val="21"/>
          <w:shd w:val="clear" w:color="auto" w:fill="FFFFFF"/>
        </w:rPr>
        <w:fldChar w:fldCharType="end"/>
      </w:r>
      <w:r w:rsidRPr="00A465AA">
        <w:rPr>
          <w:rFonts w:asciiTheme="majorHAnsi" w:hAnsiTheme="majorHAnsi" w:cstheme="majorHAnsi"/>
          <w:color w:val="0D0D0D"/>
          <w:sz w:val="21"/>
          <w:szCs w:val="21"/>
          <w:shd w:val="clear" w:color="auto" w:fill="FFFFFF"/>
        </w:rPr>
        <w:t xml:space="preserve">, facilitates the reusability of both data analysis procedures and the raw data itself. The R programming language </w:t>
      </w:r>
      <w:r w:rsidR="00A00F22">
        <w:rPr>
          <w:rFonts w:asciiTheme="majorHAnsi" w:hAnsiTheme="majorHAnsi" w:cstheme="majorHAnsi"/>
          <w:color w:val="0D0D0D"/>
          <w:sz w:val="21"/>
          <w:szCs w:val="21"/>
          <w:shd w:val="clear" w:color="auto" w:fill="FFFFFF"/>
        </w:rPr>
        <w:t>safeguards</w:t>
      </w:r>
      <w:r w:rsidRPr="00A465AA">
        <w:rPr>
          <w:rFonts w:asciiTheme="majorHAnsi" w:hAnsiTheme="majorHAnsi" w:cstheme="majorHAnsi"/>
          <w:color w:val="0D0D0D"/>
          <w:sz w:val="21"/>
          <w:szCs w:val="21"/>
          <w:shd w:val="clear" w:color="auto" w:fill="FFFFFF"/>
        </w:rPr>
        <w:t xml:space="preserve"> the sustainability of data analysis processes, even amidst alterations in the file formats </w:t>
      </w:r>
      <w:r w:rsidR="00A00F22">
        <w:rPr>
          <w:rFonts w:asciiTheme="majorHAnsi" w:hAnsiTheme="majorHAnsi" w:cstheme="majorHAnsi"/>
          <w:color w:val="0D0D0D"/>
          <w:sz w:val="21"/>
          <w:szCs w:val="21"/>
          <w:shd w:val="clear" w:color="auto" w:fill="FFFFFF"/>
        </w:rPr>
        <w:t xml:space="preserve">currently </w:t>
      </w:r>
      <w:r w:rsidRPr="00A465AA">
        <w:rPr>
          <w:rFonts w:asciiTheme="majorHAnsi" w:hAnsiTheme="majorHAnsi" w:cstheme="majorHAnsi"/>
          <w:color w:val="0D0D0D"/>
          <w:sz w:val="21"/>
          <w:szCs w:val="21"/>
          <w:shd w:val="clear" w:color="auto" w:fill="FFFFFF"/>
        </w:rPr>
        <w:t>employed for statistical analysis brought about by technological advancements</w:t>
      </w:r>
      <w:r w:rsidR="00A00F22">
        <w:rPr>
          <w:rFonts w:asciiTheme="majorHAnsi" w:hAnsiTheme="majorHAnsi" w:cstheme="majorHAnsi"/>
          <w:color w:val="0D0D0D"/>
          <w:sz w:val="21"/>
          <w:szCs w:val="21"/>
          <w:shd w:val="clear" w:color="auto" w:fill="FFFFFF"/>
        </w:rPr>
        <w:t xml:space="preserve"> </w:t>
      </w:r>
      <w:r w:rsidR="0081779B">
        <w:rPr>
          <w:rFonts w:asciiTheme="majorHAnsi" w:hAnsiTheme="majorHAnsi" w:cstheme="majorHAnsi"/>
          <w:color w:val="0D0D0D"/>
          <w:sz w:val="21"/>
          <w:szCs w:val="21"/>
          <w:shd w:val="clear" w:color="auto" w:fill="FFFFFF"/>
        </w:rPr>
        <w:fldChar w:fldCharType="begin"/>
      </w:r>
      <w:r w:rsidR="00A00F22">
        <w:rPr>
          <w:rFonts w:asciiTheme="majorHAnsi" w:hAnsiTheme="majorHAnsi" w:cstheme="majorHAnsi"/>
          <w:color w:val="0D0D0D"/>
          <w:sz w:val="21"/>
          <w:szCs w:val="21"/>
          <w:shd w:val="clear" w:color="auto" w:fill="FFFFFF"/>
        </w:rPr>
        <w:instrText xml:space="preserve"> ADDIN ZOTERO_ITEM CSL_CITATION {"citationID":"Sbb1Wy3B","properties":{"formattedCitation":"(RStudio Team, 2020)","plainCitation":"(RStudio Team, 2020)","noteIndex":0},"citationItems":[{"id":24058,"uris":["http://zotero.org/users/859559/items/34UFIJLR"],"itemData":{"id":24058,"type":"book","event-place":"Boston, MA","publisher":"RStudio, PBC.","publisher-place":"Boston, MA","title":"RStudio: Integrated Development Environment for R","URL":"http://www.rstudio.com/","author":[{"literal":"RStudio Team"}],"issued":{"date-parts":[["2020"]]},"citation-key":"rstudio_team_rstudio_2020"}}],"schema":"https://github.com/citation-style-language/schema/raw/master/csl-citation.json"} </w:instrText>
      </w:r>
      <w:r w:rsidR="0081779B">
        <w:rPr>
          <w:rFonts w:asciiTheme="majorHAnsi" w:hAnsiTheme="majorHAnsi" w:cstheme="majorHAnsi"/>
          <w:color w:val="0D0D0D"/>
          <w:sz w:val="21"/>
          <w:szCs w:val="21"/>
          <w:shd w:val="clear" w:color="auto" w:fill="FFFFFF"/>
        </w:rPr>
        <w:fldChar w:fldCharType="separate"/>
      </w:r>
      <w:r w:rsidR="00A00F22" w:rsidRPr="00A00F22">
        <w:rPr>
          <w:rFonts w:ascii="Calibri" w:hAnsi="Calibri" w:cs="Calibri"/>
          <w:sz w:val="21"/>
        </w:rPr>
        <w:t>(RStudio Team, 2020)</w:t>
      </w:r>
      <w:r w:rsidR="0081779B">
        <w:rPr>
          <w:rFonts w:asciiTheme="majorHAnsi" w:hAnsiTheme="majorHAnsi" w:cstheme="majorHAnsi"/>
          <w:color w:val="0D0D0D"/>
          <w:sz w:val="21"/>
          <w:szCs w:val="21"/>
          <w:shd w:val="clear" w:color="auto" w:fill="FFFFFF"/>
        </w:rPr>
        <w:fldChar w:fldCharType="end"/>
      </w:r>
      <w:r w:rsidRPr="00A465AA">
        <w:rPr>
          <w:rFonts w:asciiTheme="majorHAnsi" w:hAnsiTheme="majorHAnsi" w:cstheme="majorHAnsi"/>
          <w:color w:val="0D0D0D"/>
          <w:sz w:val="21"/>
          <w:szCs w:val="21"/>
          <w:shd w:val="clear" w:color="auto" w:fill="FFFFFF"/>
        </w:rPr>
        <w:t>. Leveraging R programming packages capable of seamlessly converting file formats enhances the adaptability of data files for future applications.</w:t>
      </w:r>
    </w:p>
    <w:p w:rsidR="00A465AA" w:rsidRDefault="00A465AA" w:rsidP="002E311E">
      <w:pPr>
        <w:pBdr>
          <w:top w:val="nil"/>
          <w:left w:val="nil"/>
          <w:bottom w:val="nil"/>
          <w:right w:val="nil"/>
          <w:between w:val="nil"/>
        </w:pBdr>
        <w:ind w:firstLine="318"/>
        <w:rPr>
          <w:rFonts w:asciiTheme="majorHAnsi" w:hAnsiTheme="majorHAnsi" w:cstheme="majorHAnsi"/>
          <w:color w:val="0D0D0D"/>
          <w:sz w:val="21"/>
          <w:szCs w:val="21"/>
          <w:shd w:val="clear" w:color="auto" w:fill="FFFFFF"/>
        </w:rPr>
      </w:pPr>
    </w:p>
    <w:p w:rsidR="00C07823" w:rsidRDefault="00C07823" w:rsidP="002E311E">
      <w:pPr>
        <w:pBdr>
          <w:top w:val="nil"/>
          <w:left w:val="nil"/>
          <w:bottom w:val="nil"/>
          <w:right w:val="nil"/>
          <w:between w:val="nil"/>
        </w:pBdr>
        <w:ind w:firstLine="318"/>
        <w:rPr>
          <w:rFonts w:asciiTheme="majorHAnsi" w:eastAsia="Calibri" w:hAnsiTheme="majorHAnsi" w:cstheme="majorHAnsi"/>
          <w:color w:val="000000"/>
          <w:sz w:val="21"/>
          <w:szCs w:val="21"/>
          <w:lang w:val="en-US"/>
        </w:rPr>
      </w:pPr>
    </w:p>
    <w:p w:rsidR="00C07823" w:rsidRPr="00166483" w:rsidRDefault="00C07823" w:rsidP="002E311E">
      <w:pPr>
        <w:pBdr>
          <w:top w:val="nil"/>
          <w:left w:val="nil"/>
          <w:bottom w:val="nil"/>
          <w:right w:val="nil"/>
          <w:between w:val="nil"/>
        </w:pBdr>
        <w:ind w:firstLine="318"/>
        <w:rPr>
          <w:rFonts w:asciiTheme="majorHAnsi" w:eastAsia="Calibri" w:hAnsiTheme="majorHAnsi" w:cstheme="majorHAnsi"/>
          <w:color w:val="000000"/>
          <w:sz w:val="21"/>
          <w:szCs w:val="21"/>
          <w:lang w:val="en-US"/>
        </w:rPr>
      </w:pPr>
    </w:p>
    <w:p w:rsidR="00066A52" w:rsidRPr="00D637A6" w:rsidRDefault="009C232A" w:rsidP="002E311E">
      <w:pPr>
        <w:pBdr>
          <w:top w:val="nil"/>
          <w:left w:val="nil"/>
          <w:bottom w:val="nil"/>
          <w:right w:val="nil"/>
          <w:between w:val="nil"/>
        </w:pBdr>
        <w:ind w:firstLine="318"/>
        <w:rPr>
          <w:rFonts w:asciiTheme="majorHAnsi" w:eastAsia="Calibri" w:hAnsiTheme="majorHAnsi" w:cstheme="majorHAnsi"/>
          <w:sz w:val="21"/>
          <w:szCs w:val="21"/>
        </w:rPr>
      </w:pPr>
      <w:commentRangeStart w:id="2"/>
      <w:r w:rsidRPr="00D637A6">
        <w:rPr>
          <w:rFonts w:asciiTheme="majorHAnsi" w:eastAsia="Calibri" w:hAnsiTheme="majorHAnsi" w:cstheme="majorHAnsi"/>
          <w:sz w:val="21"/>
          <w:szCs w:val="21"/>
        </w:rPr>
        <w:t>+++</w:t>
      </w:r>
      <w:commentRangeEnd w:id="2"/>
      <w:r w:rsidRPr="00D637A6">
        <w:rPr>
          <w:rStyle w:val="CommentReference"/>
          <w:rFonts w:asciiTheme="majorHAnsi" w:hAnsiTheme="majorHAnsi" w:cstheme="majorHAnsi"/>
        </w:rPr>
        <w:commentReference w:id="2"/>
      </w:r>
    </w:p>
    <w:p w:rsidR="00066A52" w:rsidRPr="00D637A6" w:rsidRDefault="00AA07E7" w:rsidP="002E311E">
      <w:pPr>
        <w:pBdr>
          <w:top w:val="nil"/>
          <w:left w:val="nil"/>
          <w:bottom w:val="nil"/>
          <w:right w:val="nil"/>
          <w:between w:val="nil"/>
        </w:pBdr>
        <w:ind w:firstLine="318"/>
        <w:rPr>
          <w:rFonts w:asciiTheme="majorHAnsi" w:eastAsia="Calibri" w:hAnsiTheme="majorHAnsi" w:cstheme="majorHAnsi"/>
          <w:sz w:val="21"/>
          <w:szCs w:val="21"/>
        </w:rPr>
      </w:pPr>
      <w:r w:rsidRPr="00D637A6">
        <w:rPr>
          <w:rFonts w:asciiTheme="majorHAnsi" w:eastAsia="Calibri" w:hAnsiTheme="majorHAnsi" w:cstheme="majorHAnsi"/>
          <w:sz w:val="21"/>
          <w:szCs w:val="21"/>
        </w:rPr>
        <w:t>We create databases based on international bibliography and protocols created in the Laboratory of Physical Anthropology of Democritus University of Thrace. We use macroscopy</w:t>
      </w:r>
      <w:r w:rsidR="007A4D0D">
        <w:rPr>
          <w:rFonts w:asciiTheme="majorHAnsi" w:eastAsia="Calibri" w:hAnsiTheme="majorHAnsi" w:cstheme="majorHAnsi"/>
          <w:sz w:val="21"/>
          <w:szCs w:val="21"/>
        </w:rPr>
        <w:t xml:space="preserve"> to record the morphoscopical indices -for age calculation and sex determination- and pathological lesions –for palaeopathology study). We use</w:t>
      </w:r>
      <w:r w:rsidRPr="00D637A6">
        <w:rPr>
          <w:rFonts w:asciiTheme="majorHAnsi" w:eastAsia="Calibri" w:hAnsiTheme="majorHAnsi" w:cstheme="majorHAnsi"/>
          <w:sz w:val="21"/>
          <w:szCs w:val="21"/>
        </w:rPr>
        <w:t xml:space="preserve"> endoscopy</w:t>
      </w:r>
      <w:r w:rsidR="007A4D0D">
        <w:rPr>
          <w:rFonts w:asciiTheme="majorHAnsi" w:eastAsia="Calibri" w:hAnsiTheme="majorHAnsi" w:cstheme="majorHAnsi"/>
          <w:sz w:val="21"/>
          <w:szCs w:val="21"/>
        </w:rPr>
        <w:t xml:space="preserve"> to record specific pathologic lesions –eg Hyperostosis Frontali Interna- in the endocranium.</w:t>
      </w:r>
      <w:r w:rsidRPr="00D637A6">
        <w:rPr>
          <w:rFonts w:asciiTheme="majorHAnsi" w:eastAsia="Calibri" w:hAnsiTheme="majorHAnsi" w:cstheme="majorHAnsi"/>
          <w:sz w:val="21"/>
          <w:szCs w:val="21"/>
        </w:rPr>
        <w:t xml:space="preserve"> </w:t>
      </w:r>
      <w:r w:rsidR="007A4D0D">
        <w:rPr>
          <w:rFonts w:asciiTheme="majorHAnsi" w:eastAsia="Calibri" w:hAnsiTheme="majorHAnsi" w:cstheme="majorHAnsi"/>
          <w:sz w:val="21"/>
          <w:szCs w:val="21"/>
        </w:rPr>
        <w:t xml:space="preserve">We use </w:t>
      </w:r>
      <w:r w:rsidRPr="00D637A6">
        <w:rPr>
          <w:rFonts w:asciiTheme="majorHAnsi" w:eastAsia="Calibri" w:hAnsiTheme="majorHAnsi" w:cstheme="majorHAnsi"/>
          <w:sz w:val="21"/>
          <w:szCs w:val="21"/>
        </w:rPr>
        <w:t>digital osteometric tools</w:t>
      </w:r>
      <w:r w:rsidR="007A4D0D">
        <w:rPr>
          <w:rFonts w:asciiTheme="majorHAnsi" w:eastAsia="Calibri" w:hAnsiTheme="majorHAnsi" w:cstheme="majorHAnsi"/>
          <w:sz w:val="21"/>
          <w:szCs w:val="21"/>
        </w:rPr>
        <w:t xml:space="preserve"> to record dimensions of bone that can faciliatate height calculation.</w:t>
      </w:r>
    </w:p>
    <w:p w:rsidR="00AA719D" w:rsidRDefault="00AA07E7" w:rsidP="002E311E">
      <w:pPr>
        <w:pBdr>
          <w:top w:val="nil"/>
          <w:left w:val="nil"/>
          <w:bottom w:val="nil"/>
          <w:right w:val="nil"/>
          <w:between w:val="nil"/>
        </w:pBdr>
        <w:ind w:firstLine="318"/>
        <w:rPr>
          <w:rFonts w:asciiTheme="majorHAnsi" w:eastAsia="Calibri" w:hAnsiTheme="majorHAnsi" w:cstheme="majorHAnsi"/>
          <w:color w:val="000000"/>
          <w:sz w:val="21"/>
          <w:szCs w:val="21"/>
        </w:rPr>
      </w:pPr>
      <w:r w:rsidRPr="00D637A6">
        <w:rPr>
          <w:rFonts w:asciiTheme="majorHAnsi" w:eastAsia="Calibri" w:hAnsiTheme="majorHAnsi" w:cstheme="majorHAnsi"/>
          <w:color w:val="000000"/>
          <w:sz w:val="21"/>
          <w:szCs w:val="21"/>
        </w:rPr>
        <w:t xml:space="preserve">We create a pipeline of procedures that begin with the recording of bioarchaeological and biochemical data and finish with their statistical analysis while valuable insights are generated alongside a webware environment. We use </w:t>
      </w:r>
      <w:r w:rsidRPr="00D637A6">
        <w:rPr>
          <w:rFonts w:asciiTheme="majorHAnsi" w:eastAsia="Calibri" w:hAnsiTheme="majorHAnsi" w:cstheme="majorHAnsi"/>
          <w:sz w:val="21"/>
          <w:szCs w:val="21"/>
        </w:rPr>
        <w:t>open-source</w:t>
      </w:r>
      <w:r w:rsidRPr="00D637A6">
        <w:rPr>
          <w:rFonts w:asciiTheme="majorHAnsi" w:eastAsia="Calibri" w:hAnsiTheme="majorHAnsi" w:cstheme="majorHAnsi"/>
          <w:color w:val="000000"/>
          <w:sz w:val="21"/>
          <w:szCs w:val="21"/>
        </w:rPr>
        <w:t xml:space="preserve"> databases and spreadsheets </w:t>
      </w:r>
      <w:r w:rsidRPr="00D637A6">
        <w:rPr>
          <w:rFonts w:asciiTheme="majorHAnsi" w:eastAsia="Calibri" w:hAnsiTheme="majorHAnsi" w:cstheme="majorHAnsi"/>
          <w:sz w:val="21"/>
          <w:szCs w:val="21"/>
        </w:rPr>
        <w:t>like Open Office</w:t>
      </w:r>
      <w:r w:rsidR="001F1CE1">
        <w:rPr>
          <w:rFonts w:asciiTheme="majorHAnsi" w:eastAsia="Calibri" w:hAnsiTheme="majorHAnsi" w:cstheme="majorHAnsi"/>
          <w:sz w:val="21"/>
          <w:szCs w:val="21"/>
        </w:rPr>
        <w:t xml:space="preserve"> Database and Calc</w:t>
      </w:r>
      <w:r w:rsidRPr="00D637A6">
        <w:rPr>
          <w:rFonts w:asciiTheme="majorHAnsi" w:eastAsia="Calibri" w:hAnsiTheme="majorHAnsi" w:cstheme="majorHAnsi"/>
          <w:sz w:val="21"/>
          <w:szCs w:val="21"/>
        </w:rPr>
        <w:t xml:space="preserve"> and </w:t>
      </w:r>
      <w:r w:rsidR="00C1790E">
        <w:rPr>
          <w:rFonts w:asciiTheme="majorHAnsi" w:eastAsia="Calibri" w:hAnsiTheme="majorHAnsi" w:cstheme="majorHAnsi"/>
          <w:sz w:val="21"/>
          <w:szCs w:val="21"/>
        </w:rPr>
        <w:t>Dropbox</w:t>
      </w:r>
      <w:r w:rsidRPr="00D637A6">
        <w:rPr>
          <w:rFonts w:asciiTheme="majorHAnsi" w:eastAsia="Calibri" w:hAnsiTheme="majorHAnsi" w:cstheme="majorHAnsi"/>
          <w:sz w:val="21"/>
          <w:szCs w:val="21"/>
        </w:rPr>
        <w:t xml:space="preserve"> as </w:t>
      </w:r>
      <w:r w:rsidR="00C1790E">
        <w:rPr>
          <w:rFonts w:asciiTheme="majorHAnsi" w:eastAsia="Calibri" w:hAnsiTheme="majorHAnsi" w:cstheme="majorHAnsi"/>
          <w:sz w:val="21"/>
          <w:szCs w:val="21"/>
        </w:rPr>
        <w:t xml:space="preserve">software and </w:t>
      </w:r>
      <w:r w:rsidRPr="00D637A6">
        <w:rPr>
          <w:rFonts w:asciiTheme="majorHAnsi" w:eastAsia="Calibri" w:hAnsiTheme="majorHAnsi" w:cstheme="majorHAnsi"/>
          <w:sz w:val="21"/>
          <w:szCs w:val="21"/>
        </w:rPr>
        <w:t xml:space="preserve">digital </w:t>
      </w:r>
      <w:r w:rsidR="00C1790E">
        <w:rPr>
          <w:rFonts w:asciiTheme="majorHAnsi" w:eastAsia="Calibri" w:hAnsiTheme="majorHAnsi" w:cstheme="majorHAnsi"/>
          <w:sz w:val="21"/>
          <w:szCs w:val="21"/>
        </w:rPr>
        <w:t xml:space="preserve">repositories </w:t>
      </w:r>
      <w:r w:rsidRPr="00D637A6">
        <w:rPr>
          <w:rFonts w:asciiTheme="majorHAnsi" w:eastAsia="Calibri" w:hAnsiTheme="majorHAnsi" w:cstheme="majorHAnsi"/>
          <w:sz w:val="21"/>
          <w:szCs w:val="21"/>
        </w:rPr>
        <w:t>items for feeding data</w:t>
      </w:r>
      <w:r w:rsidR="00F3798F" w:rsidRPr="00D637A6">
        <w:rPr>
          <w:rFonts w:asciiTheme="majorHAnsi" w:eastAsia="Calibri" w:hAnsiTheme="majorHAnsi" w:cstheme="majorHAnsi"/>
          <w:sz w:val="21"/>
          <w:szCs w:val="21"/>
        </w:rPr>
        <w:t xml:space="preserve"> </w:t>
      </w:r>
      <w:r w:rsidRPr="00D637A6">
        <w:rPr>
          <w:rFonts w:asciiTheme="majorHAnsi" w:eastAsia="Calibri" w:hAnsiTheme="majorHAnsi" w:cstheme="majorHAnsi"/>
          <w:color w:val="000000"/>
          <w:sz w:val="21"/>
          <w:szCs w:val="21"/>
        </w:rPr>
        <w:t xml:space="preserve">and R (Marwick 2017, 432) as the programming language for </w:t>
      </w:r>
      <w:r w:rsidRPr="00D637A6">
        <w:rPr>
          <w:rFonts w:asciiTheme="majorHAnsi" w:eastAsia="Calibri" w:hAnsiTheme="majorHAnsi" w:cstheme="majorHAnsi"/>
          <w:sz w:val="21"/>
          <w:szCs w:val="21"/>
        </w:rPr>
        <w:t xml:space="preserve">creating </w:t>
      </w:r>
      <w:r w:rsidRPr="00D637A6">
        <w:rPr>
          <w:rFonts w:asciiTheme="majorHAnsi" w:eastAsia="Calibri" w:hAnsiTheme="majorHAnsi" w:cstheme="majorHAnsi"/>
          <w:color w:val="000000"/>
          <w:sz w:val="21"/>
          <w:szCs w:val="21"/>
        </w:rPr>
        <w:t xml:space="preserve">webware applications </w:t>
      </w:r>
      <w:r w:rsidRPr="00D637A6">
        <w:rPr>
          <w:rFonts w:asciiTheme="majorHAnsi" w:eastAsia="Calibri" w:hAnsiTheme="majorHAnsi" w:cstheme="majorHAnsi"/>
          <w:sz w:val="21"/>
          <w:szCs w:val="21"/>
        </w:rPr>
        <w:t>that process the data</w:t>
      </w:r>
      <w:r w:rsidRPr="00D637A6">
        <w:rPr>
          <w:rFonts w:asciiTheme="majorHAnsi" w:eastAsia="Calibri" w:hAnsiTheme="majorHAnsi" w:cstheme="majorHAnsi"/>
          <w:color w:val="000000"/>
          <w:sz w:val="21"/>
          <w:szCs w:val="21"/>
        </w:rPr>
        <w:t xml:space="preserve"> (RStudio Team 2020).</w:t>
      </w:r>
      <w:r w:rsidR="00592E27">
        <w:rPr>
          <w:rFonts w:asciiTheme="majorHAnsi" w:eastAsia="Calibri" w:hAnsiTheme="majorHAnsi" w:cstheme="majorHAnsi"/>
          <w:color w:val="000000"/>
          <w:sz w:val="21"/>
          <w:szCs w:val="21"/>
        </w:rPr>
        <w:t xml:space="preserve"> </w:t>
      </w:r>
      <w:r w:rsidR="00C1790E">
        <w:rPr>
          <w:rFonts w:asciiTheme="majorHAnsi" w:eastAsia="Calibri" w:hAnsiTheme="majorHAnsi" w:cstheme="majorHAnsi"/>
          <w:color w:val="000000"/>
          <w:sz w:val="21"/>
          <w:szCs w:val="21"/>
        </w:rPr>
        <w:t>W</w:t>
      </w:r>
      <w:r w:rsidR="00AA719D" w:rsidRPr="00AA719D">
        <w:rPr>
          <w:rFonts w:asciiTheme="majorHAnsi" w:eastAsia="Calibri" w:hAnsiTheme="majorHAnsi" w:cstheme="majorHAnsi"/>
          <w:color w:val="000000"/>
          <w:sz w:val="21"/>
          <w:szCs w:val="21"/>
        </w:rPr>
        <w:t>e utilize R packages</w:t>
      </w:r>
      <w:r w:rsidR="00AA719D">
        <w:rPr>
          <w:rStyle w:val="FootnoteReference"/>
          <w:rFonts w:asciiTheme="majorHAnsi" w:eastAsia="Calibri" w:hAnsiTheme="majorHAnsi" w:cstheme="majorHAnsi"/>
          <w:color w:val="000000"/>
          <w:sz w:val="21"/>
          <w:szCs w:val="21"/>
        </w:rPr>
        <w:footnoteReference w:id="2"/>
      </w:r>
      <w:r w:rsidR="00AA719D" w:rsidRPr="00AA719D">
        <w:rPr>
          <w:rFonts w:asciiTheme="majorHAnsi" w:eastAsia="Calibri" w:hAnsiTheme="majorHAnsi" w:cstheme="majorHAnsi"/>
          <w:color w:val="000000"/>
          <w:sz w:val="21"/>
          <w:szCs w:val="21"/>
        </w:rPr>
        <w:t xml:space="preserve"> to facilitate database managemen</w:t>
      </w:r>
      <w:r w:rsidR="00C1790E">
        <w:rPr>
          <w:rFonts w:asciiTheme="majorHAnsi" w:eastAsia="Calibri" w:hAnsiTheme="majorHAnsi" w:cstheme="majorHAnsi"/>
          <w:color w:val="000000"/>
          <w:sz w:val="21"/>
          <w:szCs w:val="21"/>
        </w:rPr>
        <w:t>t, data tidy</w:t>
      </w:r>
      <w:r w:rsidR="00AA719D" w:rsidRPr="00AA719D">
        <w:rPr>
          <w:rFonts w:asciiTheme="majorHAnsi" w:eastAsia="Calibri" w:hAnsiTheme="majorHAnsi" w:cstheme="majorHAnsi"/>
          <w:color w:val="000000"/>
          <w:sz w:val="21"/>
          <w:szCs w:val="21"/>
        </w:rPr>
        <w:t>ing, and statistical analyses in addition to the default packages provided by the R programming language</w:t>
      </w:r>
      <w:r w:rsidR="00AA719D">
        <w:rPr>
          <w:rFonts w:asciiTheme="majorHAnsi" w:eastAsia="Calibri" w:hAnsiTheme="majorHAnsi" w:cstheme="majorHAnsi"/>
          <w:color w:val="000000"/>
          <w:sz w:val="21"/>
          <w:szCs w:val="21"/>
        </w:rPr>
        <w:t>.</w:t>
      </w:r>
      <w:r w:rsidR="001F1CE1">
        <w:rPr>
          <w:rFonts w:asciiTheme="majorHAnsi" w:eastAsia="Calibri" w:hAnsiTheme="majorHAnsi" w:cstheme="majorHAnsi"/>
          <w:color w:val="000000"/>
          <w:sz w:val="21"/>
          <w:szCs w:val="21"/>
        </w:rPr>
        <w:t xml:space="preserve"> </w:t>
      </w:r>
    </w:p>
    <w:p w:rsidR="001F1CE1" w:rsidRPr="001F1CE1" w:rsidRDefault="001F1CE1" w:rsidP="001F1CE1">
      <w:pPr>
        <w:pBdr>
          <w:top w:val="nil"/>
          <w:left w:val="nil"/>
          <w:bottom w:val="nil"/>
          <w:right w:val="nil"/>
          <w:between w:val="nil"/>
        </w:pBdr>
        <w:ind w:firstLine="318"/>
        <w:rPr>
          <w:rFonts w:asciiTheme="majorHAnsi" w:eastAsia="Calibri" w:hAnsiTheme="majorHAnsi" w:cstheme="majorHAnsi"/>
          <w:color w:val="000000"/>
          <w:sz w:val="21"/>
          <w:szCs w:val="21"/>
          <w:lang w:val="en-US"/>
        </w:rPr>
      </w:pPr>
      <w:r>
        <w:rPr>
          <w:rFonts w:asciiTheme="majorHAnsi" w:eastAsia="Calibri" w:hAnsiTheme="majorHAnsi" w:cstheme="majorHAnsi"/>
          <w:color w:val="000000"/>
          <w:sz w:val="21"/>
          <w:szCs w:val="21"/>
          <w:lang w:val="en-US"/>
        </w:rPr>
        <w:t>Statistical analysis follows the standard methodology employed in bioarchaeological studies. D</w:t>
      </w:r>
      <w:r w:rsidRPr="001F1CE1">
        <w:rPr>
          <w:rFonts w:asciiTheme="majorHAnsi" w:eastAsia="Calibri" w:hAnsiTheme="majorHAnsi" w:cstheme="majorHAnsi"/>
          <w:color w:val="000000"/>
          <w:sz w:val="21"/>
          <w:szCs w:val="21"/>
          <w:lang w:val="en-US"/>
        </w:rPr>
        <w:t xml:space="preserve">escriptive statistical analysis </w:t>
      </w:r>
      <w:r>
        <w:rPr>
          <w:rFonts w:asciiTheme="majorHAnsi" w:eastAsia="Calibri" w:hAnsiTheme="majorHAnsi" w:cstheme="majorHAnsi"/>
          <w:color w:val="000000"/>
          <w:sz w:val="21"/>
          <w:szCs w:val="21"/>
          <w:lang w:val="en-US"/>
        </w:rPr>
        <w:t>a</w:t>
      </w:r>
      <w:r w:rsidRPr="001F1CE1">
        <w:rPr>
          <w:rFonts w:asciiTheme="majorHAnsi" w:eastAsia="Calibri" w:hAnsiTheme="majorHAnsi" w:cstheme="majorHAnsi"/>
          <w:color w:val="000000"/>
          <w:sz w:val="21"/>
          <w:szCs w:val="21"/>
          <w:lang w:val="en-US"/>
        </w:rPr>
        <w:t>im</w:t>
      </w:r>
      <w:r>
        <w:rPr>
          <w:rFonts w:asciiTheme="majorHAnsi" w:eastAsia="Calibri" w:hAnsiTheme="majorHAnsi" w:cstheme="majorHAnsi"/>
          <w:color w:val="000000"/>
          <w:sz w:val="21"/>
          <w:szCs w:val="21"/>
          <w:lang w:val="en-US"/>
        </w:rPr>
        <w:t>s</w:t>
      </w:r>
      <w:r w:rsidRPr="001F1CE1">
        <w:rPr>
          <w:rFonts w:asciiTheme="majorHAnsi" w:eastAsia="Calibri" w:hAnsiTheme="majorHAnsi" w:cstheme="majorHAnsi"/>
          <w:color w:val="000000"/>
          <w:sz w:val="21"/>
          <w:szCs w:val="21"/>
          <w:lang w:val="en-US"/>
        </w:rPr>
        <w:t xml:space="preserve"> to gain a general overview of the data and explore potential patterns in its distribution. Specifically, we analyze the distribution o</w:t>
      </w:r>
      <w:r>
        <w:rPr>
          <w:rFonts w:asciiTheme="majorHAnsi" w:eastAsia="Calibri" w:hAnsiTheme="majorHAnsi" w:cstheme="majorHAnsi"/>
          <w:color w:val="000000"/>
          <w:sz w:val="21"/>
          <w:szCs w:val="21"/>
          <w:lang w:val="en-US"/>
        </w:rPr>
        <w:t>f age groups and biological sex</w:t>
      </w:r>
      <w:r w:rsidRPr="001F1CE1">
        <w:rPr>
          <w:rFonts w:asciiTheme="majorHAnsi" w:eastAsia="Calibri" w:hAnsiTheme="majorHAnsi" w:cstheme="majorHAnsi"/>
          <w:color w:val="000000"/>
          <w:sz w:val="21"/>
          <w:szCs w:val="21"/>
          <w:lang w:val="en-US"/>
        </w:rPr>
        <w:t xml:space="preserve">. Additionally, bone measurements are examined to compute measures such as mean, median, and dispersion (overall and by </w:t>
      </w:r>
      <w:r>
        <w:rPr>
          <w:rFonts w:asciiTheme="majorHAnsi" w:eastAsia="Calibri" w:hAnsiTheme="majorHAnsi" w:cstheme="majorHAnsi"/>
          <w:color w:val="000000"/>
          <w:sz w:val="21"/>
          <w:szCs w:val="21"/>
          <w:lang w:val="en-US"/>
        </w:rPr>
        <w:t>biological sex</w:t>
      </w:r>
      <w:r w:rsidRPr="001F1CE1">
        <w:rPr>
          <w:rFonts w:asciiTheme="majorHAnsi" w:eastAsia="Calibri" w:hAnsiTheme="majorHAnsi" w:cstheme="majorHAnsi"/>
          <w:color w:val="000000"/>
          <w:sz w:val="21"/>
          <w:szCs w:val="21"/>
          <w:lang w:val="en-US"/>
        </w:rPr>
        <w:t>). Furthermore, the freque</w:t>
      </w:r>
      <w:r w:rsidR="00471EAF">
        <w:rPr>
          <w:rFonts w:asciiTheme="majorHAnsi" w:eastAsia="Calibri" w:hAnsiTheme="majorHAnsi" w:cstheme="majorHAnsi"/>
          <w:color w:val="000000"/>
          <w:sz w:val="21"/>
          <w:szCs w:val="21"/>
          <w:lang w:val="en-US"/>
        </w:rPr>
        <w:t xml:space="preserve">ncy and distributions of dental </w:t>
      </w:r>
      <w:r w:rsidR="00900991">
        <w:rPr>
          <w:rFonts w:asciiTheme="majorHAnsi" w:eastAsia="Calibri" w:hAnsiTheme="majorHAnsi" w:cstheme="majorHAnsi"/>
          <w:color w:val="000000"/>
          <w:sz w:val="21"/>
          <w:szCs w:val="21"/>
          <w:lang w:val="en-US"/>
        </w:rPr>
        <w:t>lesions</w:t>
      </w:r>
      <w:r w:rsidRPr="001F1CE1">
        <w:rPr>
          <w:rFonts w:asciiTheme="majorHAnsi" w:eastAsia="Calibri" w:hAnsiTheme="majorHAnsi" w:cstheme="majorHAnsi"/>
          <w:color w:val="000000"/>
          <w:sz w:val="21"/>
          <w:szCs w:val="21"/>
          <w:lang w:val="en-US"/>
        </w:rPr>
        <w:t xml:space="preserve"> (overall, by </w:t>
      </w:r>
      <w:r>
        <w:rPr>
          <w:rFonts w:asciiTheme="majorHAnsi" w:eastAsia="Calibri" w:hAnsiTheme="majorHAnsi" w:cstheme="majorHAnsi"/>
          <w:color w:val="000000"/>
          <w:sz w:val="21"/>
          <w:szCs w:val="21"/>
          <w:lang w:val="en-US"/>
        </w:rPr>
        <w:t>biological sex</w:t>
      </w:r>
      <w:r w:rsidRPr="001F1CE1">
        <w:rPr>
          <w:rFonts w:asciiTheme="majorHAnsi" w:eastAsia="Calibri" w:hAnsiTheme="majorHAnsi" w:cstheme="majorHAnsi"/>
          <w:color w:val="000000"/>
          <w:sz w:val="21"/>
          <w:szCs w:val="21"/>
          <w:lang w:val="en-US"/>
        </w:rPr>
        <w:t>, and age), osteoarthriti</w:t>
      </w:r>
      <w:r>
        <w:rPr>
          <w:rFonts w:asciiTheme="majorHAnsi" w:eastAsia="Calibri" w:hAnsiTheme="majorHAnsi" w:cstheme="majorHAnsi"/>
          <w:color w:val="000000"/>
          <w:sz w:val="21"/>
          <w:szCs w:val="21"/>
          <w:lang w:val="en-US"/>
        </w:rPr>
        <w:t xml:space="preserve">c </w:t>
      </w:r>
      <w:r w:rsidR="00471EAF">
        <w:rPr>
          <w:rFonts w:asciiTheme="majorHAnsi" w:eastAsia="Calibri" w:hAnsiTheme="majorHAnsi" w:cstheme="majorHAnsi"/>
          <w:color w:val="000000"/>
          <w:sz w:val="21"/>
          <w:szCs w:val="21"/>
          <w:lang w:val="en-US"/>
        </w:rPr>
        <w:t>lesions</w:t>
      </w:r>
      <w:r>
        <w:rPr>
          <w:rFonts w:asciiTheme="majorHAnsi" w:eastAsia="Calibri" w:hAnsiTheme="majorHAnsi" w:cstheme="majorHAnsi"/>
          <w:color w:val="000000"/>
          <w:sz w:val="21"/>
          <w:szCs w:val="21"/>
          <w:lang w:val="en-US"/>
        </w:rPr>
        <w:t xml:space="preserve"> (overall, by age </w:t>
      </w:r>
      <w:r w:rsidRPr="001F1CE1">
        <w:rPr>
          <w:rFonts w:asciiTheme="majorHAnsi" w:eastAsia="Calibri" w:hAnsiTheme="majorHAnsi" w:cstheme="majorHAnsi"/>
          <w:color w:val="000000"/>
          <w:sz w:val="21"/>
          <w:szCs w:val="21"/>
          <w:lang w:val="en-US"/>
        </w:rPr>
        <w:t xml:space="preserve">and </w:t>
      </w:r>
      <w:r>
        <w:rPr>
          <w:rFonts w:asciiTheme="majorHAnsi" w:eastAsia="Calibri" w:hAnsiTheme="majorHAnsi" w:cstheme="majorHAnsi"/>
          <w:color w:val="000000"/>
          <w:sz w:val="21"/>
          <w:szCs w:val="21"/>
          <w:lang w:val="en-US"/>
        </w:rPr>
        <w:t>by biological sex</w:t>
      </w:r>
      <w:r w:rsidRPr="001F1CE1">
        <w:rPr>
          <w:rFonts w:asciiTheme="majorHAnsi" w:eastAsia="Calibri" w:hAnsiTheme="majorHAnsi" w:cstheme="majorHAnsi"/>
          <w:color w:val="000000"/>
          <w:sz w:val="21"/>
          <w:szCs w:val="21"/>
          <w:lang w:val="en-US"/>
        </w:rPr>
        <w:t xml:space="preserve">), as well as cranial and post-cranial </w:t>
      </w:r>
      <w:r w:rsidR="00471EAF">
        <w:rPr>
          <w:rFonts w:asciiTheme="majorHAnsi" w:eastAsia="Calibri" w:hAnsiTheme="majorHAnsi" w:cstheme="majorHAnsi"/>
          <w:color w:val="000000"/>
          <w:sz w:val="21"/>
          <w:szCs w:val="21"/>
          <w:lang w:val="en-US"/>
        </w:rPr>
        <w:t>lesions</w:t>
      </w:r>
      <w:r w:rsidRPr="001F1CE1">
        <w:rPr>
          <w:rFonts w:asciiTheme="majorHAnsi" w:eastAsia="Calibri" w:hAnsiTheme="majorHAnsi" w:cstheme="majorHAnsi"/>
          <w:color w:val="000000"/>
          <w:sz w:val="21"/>
          <w:szCs w:val="21"/>
          <w:lang w:val="en-US"/>
        </w:rPr>
        <w:t xml:space="preserve"> (overall, by </w:t>
      </w:r>
      <w:r>
        <w:rPr>
          <w:rFonts w:asciiTheme="majorHAnsi" w:eastAsia="Calibri" w:hAnsiTheme="majorHAnsi" w:cstheme="majorHAnsi"/>
          <w:color w:val="000000"/>
          <w:sz w:val="21"/>
          <w:szCs w:val="21"/>
          <w:lang w:val="en-US"/>
        </w:rPr>
        <w:t xml:space="preserve">biological sex </w:t>
      </w:r>
      <w:r w:rsidRPr="001F1CE1">
        <w:rPr>
          <w:rFonts w:asciiTheme="majorHAnsi" w:eastAsia="Calibri" w:hAnsiTheme="majorHAnsi" w:cstheme="majorHAnsi"/>
          <w:color w:val="000000"/>
          <w:sz w:val="21"/>
          <w:szCs w:val="21"/>
          <w:lang w:val="en-US"/>
        </w:rPr>
        <w:t xml:space="preserve">and </w:t>
      </w:r>
      <w:r>
        <w:rPr>
          <w:rFonts w:asciiTheme="majorHAnsi" w:eastAsia="Calibri" w:hAnsiTheme="majorHAnsi" w:cstheme="majorHAnsi"/>
          <w:color w:val="000000"/>
          <w:sz w:val="21"/>
          <w:szCs w:val="21"/>
          <w:lang w:val="en-US"/>
        </w:rPr>
        <w:t xml:space="preserve">by </w:t>
      </w:r>
      <w:r w:rsidRPr="001F1CE1">
        <w:rPr>
          <w:rFonts w:asciiTheme="majorHAnsi" w:eastAsia="Calibri" w:hAnsiTheme="majorHAnsi" w:cstheme="majorHAnsi"/>
          <w:color w:val="000000"/>
          <w:sz w:val="21"/>
          <w:szCs w:val="21"/>
          <w:lang w:val="en-US"/>
        </w:rPr>
        <w:t>age) are analyzed.</w:t>
      </w:r>
    </w:p>
    <w:p w:rsidR="001F1CE1" w:rsidRPr="001F1CE1" w:rsidRDefault="00DE573D" w:rsidP="001F1CE1">
      <w:pPr>
        <w:pBdr>
          <w:top w:val="nil"/>
          <w:left w:val="nil"/>
          <w:bottom w:val="nil"/>
          <w:right w:val="nil"/>
          <w:between w:val="nil"/>
        </w:pBdr>
        <w:ind w:firstLine="318"/>
        <w:rPr>
          <w:rFonts w:asciiTheme="majorHAnsi" w:eastAsia="Calibri" w:hAnsiTheme="majorHAnsi" w:cstheme="majorHAnsi"/>
          <w:color w:val="000000"/>
          <w:sz w:val="21"/>
          <w:szCs w:val="21"/>
          <w:lang w:val="en-US"/>
        </w:rPr>
      </w:pPr>
      <w:r>
        <w:rPr>
          <w:rFonts w:asciiTheme="majorHAnsi" w:eastAsia="Calibri" w:hAnsiTheme="majorHAnsi" w:cstheme="majorHAnsi"/>
          <w:color w:val="000000"/>
          <w:sz w:val="21"/>
          <w:szCs w:val="21"/>
          <w:lang w:val="en-US"/>
        </w:rPr>
        <w:lastRenderedPageBreak/>
        <w:t>B</w:t>
      </w:r>
      <w:r w:rsidR="001F1CE1" w:rsidRPr="001F1CE1">
        <w:rPr>
          <w:rFonts w:asciiTheme="majorHAnsi" w:eastAsia="Calibri" w:hAnsiTheme="majorHAnsi" w:cstheme="majorHAnsi"/>
          <w:color w:val="000000"/>
          <w:sz w:val="21"/>
          <w:szCs w:val="21"/>
          <w:lang w:val="en-US"/>
        </w:rPr>
        <w:t>ased on the results of descriptive statistics</w:t>
      </w:r>
      <w:r>
        <w:rPr>
          <w:rFonts w:asciiTheme="majorHAnsi" w:eastAsia="Calibri" w:hAnsiTheme="majorHAnsi" w:cstheme="majorHAnsi"/>
          <w:color w:val="000000"/>
          <w:sz w:val="21"/>
          <w:szCs w:val="21"/>
          <w:lang w:val="en-US"/>
        </w:rPr>
        <w:t xml:space="preserve">, more elaborate </w:t>
      </w:r>
      <w:r w:rsidRPr="001F1CE1">
        <w:rPr>
          <w:rFonts w:asciiTheme="majorHAnsi" w:eastAsia="Calibri" w:hAnsiTheme="majorHAnsi" w:cstheme="majorHAnsi"/>
          <w:color w:val="000000"/>
          <w:sz w:val="21"/>
          <w:szCs w:val="21"/>
          <w:lang w:val="en-US"/>
        </w:rPr>
        <w:t>statist</w:t>
      </w:r>
      <w:r>
        <w:rPr>
          <w:rFonts w:asciiTheme="majorHAnsi" w:eastAsia="Calibri" w:hAnsiTheme="majorHAnsi" w:cstheme="majorHAnsi"/>
          <w:color w:val="000000"/>
          <w:sz w:val="21"/>
          <w:szCs w:val="21"/>
          <w:lang w:val="en-US"/>
        </w:rPr>
        <w:t>ical analyses is</w:t>
      </w:r>
      <w:r w:rsidR="001F1CE1" w:rsidRPr="001F1CE1">
        <w:rPr>
          <w:rFonts w:asciiTheme="majorHAnsi" w:eastAsia="Calibri" w:hAnsiTheme="majorHAnsi" w:cstheme="majorHAnsi"/>
          <w:color w:val="000000"/>
          <w:sz w:val="21"/>
          <w:szCs w:val="21"/>
          <w:lang w:val="en-US"/>
        </w:rPr>
        <w:t xml:space="preserve"> </w:t>
      </w:r>
      <w:r>
        <w:rPr>
          <w:rFonts w:asciiTheme="majorHAnsi" w:eastAsia="Calibri" w:hAnsiTheme="majorHAnsi" w:cstheme="majorHAnsi"/>
          <w:color w:val="000000"/>
          <w:sz w:val="21"/>
          <w:szCs w:val="21"/>
          <w:lang w:val="en-US"/>
        </w:rPr>
        <w:t xml:space="preserve">employed. </w:t>
      </w:r>
      <w:r w:rsidR="001F1CE1" w:rsidRPr="001F1CE1">
        <w:rPr>
          <w:rFonts w:asciiTheme="majorHAnsi" w:eastAsia="Calibri" w:hAnsiTheme="majorHAnsi" w:cstheme="majorHAnsi"/>
          <w:color w:val="000000"/>
          <w:sz w:val="21"/>
          <w:szCs w:val="21"/>
          <w:lang w:val="en-US"/>
        </w:rPr>
        <w:t xml:space="preserve">Exploratory </w:t>
      </w:r>
      <w:r>
        <w:rPr>
          <w:rFonts w:asciiTheme="majorHAnsi" w:eastAsia="Calibri" w:hAnsiTheme="majorHAnsi" w:cstheme="majorHAnsi"/>
          <w:color w:val="000000"/>
          <w:sz w:val="21"/>
          <w:szCs w:val="21"/>
          <w:lang w:val="en-US"/>
        </w:rPr>
        <w:t>Data Analysis is conducted in order to investigate t</w:t>
      </w:r>
      <w:r w:rsidR="001F1CE1" w:rsidRPr="001F1CE1">
        <w:rPr>
          <w:rFonts w:asciiTheme="majorHAnsi" w:eastAsia="Calibri" w:hAnsiTheme="majorHAnsi" w:cstheme="majorHAnsi"/>
          <w:color w:val="000000"/>
          <w:sz w:val="21"/>
          <w:szCs w:val="21"/>
          <w:lang w:val="en-US"/>
        </w:rPr>
        <w:t xml:space="preserve">he correlation between bone measurements and age </w:t>
      </w:r>
      <w:r>
        <w:rPr>
          <w:rFonts w:asciiTheme="majorHAnsi" w:eastAsia="Calibri" w:hAnsiTheme="majorHAnsi" w:cstheme="majorHAnsi"/>
          <w:color w:val="000000"/>
          <w:sz w:val="21"/>
          <w:szCs w:val="21"/>
          <w:lang w:val="en-US"/>
        </w:rPr>
        <w:t xml:space="preserve">by </w:t>
      </w:r>
      <w:r w:rsidR="001F1CE1" w:rsidRPr="001F1CE1">
        <w:rPr>
          <w:rFonts w:asciiTheme="majorHAnsi" w:eastAsia="Calibri" w:hAnsiTheme="majorHAnsi" w:cstheme="majorHAnsi"/>
          <w:color w:val="000000"/>
          <w:sz w:val="21"/>
          <w:szCs w:val="21"/>
          <w:lang w:val="en-US"/>
        </w:rPr>
        <w:t>using techniques such as scatterplots, histo</w:t>
      </w:r>
      <w:r>
        <w:rPr>
          <w:rFonts w:asciiTheme="majorHAnsi" w:eastAsia="Calibri" w:hAnsiTheme="majorHAnsi" w:cstheme="majorHAnsi"/>
          <w:color w:val="000000"/>
          <w:sz w:val="21"/>
          <w:szCs w:val="21"/>
          <w:lang w:val="en-US"/>
        </w:rPr>
        <w:t>grams, and correlation matrices</w:t>
      </w:r>
      <w:r w:rsidR="00E55686">
        <w:rPr>
          <w:rFonts w:asciiTheme="majorHAnsi" w:eastAsia="Calibri" w:hAnsiTheme="majorHAnsi" w:cstheme="majorHAnsi"/>
          <w:color w:val="000000"/>
          <w:sz w:val="21"/>
          <w:szCs w:val="21"/>
          <w:lang w:val="en-US"/>
        </w:rPr>
        <w:t xml:space="preserve"> </w:t>
      </w:r>
      <w:r w:rsidR="00E55686">
        <w:rPr>
          <w:rFonts w:asciiTheme="majorHAnsi" w:eastAsia="Calibri" w:hAnsiTheme="majorHAnsi" w:cstheme="majorHAnsi"/>
          <w:color w:val="000000"/>
          <w:sz w:val="21"/>
          <w:szCs w:val="21"/>
          <w:lang w:val="en-US"/>
        </w:rPr>
        <w:fldChar w:fldCharType="begin"/>
      </w:r>
      <w:r w:rsidR="00E55686">
        <w:rPr>
          <w:rFonts w:asciiTheme="majorHAnsi" w:eastAsia="Calibri" w:hAnsiTheme="majorHAnsi" w:cstheme="majorHAnsi"/>
          <w:color w:val="000000"/>
          <w:sz w:val="21"/>
          <w:szCs w:val="21"/>
          <w:lang w:val="en-US"/>
        </w:rPr>
        <w:instrText xml:space="preserve"> ADDIN ZOTERO_ITEM CSL_CITATION {"citationID":"rqBzgise","properties":{"formattedCitation":"(Vark &amp; Howells, 1984)","plainCitation":"(Vark &amp; Howells, 1984)","noteIndex":0},"citationItems":[{"id":21364,"uris":["http://zotero.org/users/859559/items/IEGU39E6"],"itemData":{"id":21364,"type":"book","abstract":"Physical anthropologists, like other research workers, are recognizing that the standard multivariate statistical techniques of recent decades are in need of refinement and greater precision. Increasingly it is felt that more sophisticated methods are called for, specifically designed for the materials and problems at issue. To this end the editors were asked by organizers of the First Intercongress of the International Union of Anthropological and Ethnological Sciences to develop a symposium on this general subject. With the title of this book, the symposium was held in Amsterdam on April 23-25, 1981. Invited were mathematical statisticians who were known to have an acquaintance with and interest in anthropological problems, together with anthropologists and human geneticists who consider multivariate methodology essential for their research. This volume constitutes an updated and revised selection from among the papers presented, together with a few supplementary papers by authors who were not present but whose work fills out the intended coverage and makes the volume more complete with respect to the state of affairs in the field. The papers are devoted both to new methodology and to its practical application. Mathematical statisticians may wish to know more about the biological nature and the kinds of materials and samples on which mathematical thinking can be exercised. Anthropologists as practitioners may not be fully aware of the possibilities and limitations in particular mathematical models and methods. Our purpose has been to bring the two groups together, for personal discussions across disciplinary lines as well as within disciplines.","event-place":"Dordrecht","ISBN":"978-94-009-6357-3","language":"English","note":"OCLC: 840306079","publisher":"Springer Netherlands","publisher-place":"Dordrecht","source":"Open WorldCat","title":"Multivariate Statistical Methods in Physical Anthropology: a Review of Recent Advances and Current Developments","URL":"https://doi.org/10.1007/978-94-009-6357-3","author":[{"family":"Vark","given":"G. N"},{"family":"Howells","given":"W. W"}],"accessed":{"date-parts":[["2020",10,11]]},"issued":{"date-parts":[["1984"]]},"citation-key":"vark_multivariate_1984"}}],"schema":"https://github.com/citation-style-language/schema/raw/master/csl-citation.json"} </w:instrText>
      </w:r>
      <w:r w:rsidR="00E55686">
        <w:rPr>
          <w:rFonts w:asciiTheme="majorHAnsi" w:eastAsia="Calibri" w:hAnsiTheme="majorHAnsi" w:cstheme="majorHAnsi"/>
          <w:color w:val="000000"/>
          <w:sz w:val="21"/>
          <w:szCs w:val="21"/>
          <w:lang w:val="en-US"/>
        </w:rPr>
        <w:fldChar w:fldCharType="separate"/>
      </w:r>
      <w:r w:rsidR="00E55686" w:rsidRPr="00E55686">
        <w:rPr>
          <w:rFonts w:ascii="Calibri" w:eastAsia="Calibri" w:hAnsi="Calibri" w:cs="Calibri"/>
          <w:sz w:val="21"/>
        </w:rPr>
        <w:t>(Vark &amp; Howells, 1984)</w:t>
      </w:r>
      <w:r w:rsidR="00E55686">
        <w:rPr>
          <w:rFonts w:asciiTheme="majorHAnsi" w:eastAsia="Calibri" w:hAnsiTheme="majorHAnsi" w:cstheme="majorHAnsi"/>
          <w:color w:val="000000"/>
          <w:sz w:val="21"/>
          <w:szCs w:val="21"/>
          <w:lang w:val="en-US"/>
        </w:rPr>
        <w:fldChar w:fldCharType="end"/>
      </w:r>
      <w:r w:rsidR="001F1CE1" w:rsidRPr="001F1CE1">
        <w:rPr>
          <w:rFonts w:asciiTheme="majorHAnsi" w:eastAsia="Calibri" w:hAnsiTheme="majorHAnsi" w:cstheme="majorHAnsi"/>
          <w:color w:val="000000"/>
          <w:sz w:val="21"/>
          <w:szCs w:val="21"/>
          <w:lang w:val="en-US"/>
        </w:rPr>
        <w:t>.</w:t>
      </w:r>
    </w:p>
    <w:p w:rsidR="001F1CE1" w:rsidRPr="001F1CE1" w:rsidRDefault="001F1CE1" w:rsidP="001F1CE1">
      <w:pPr>
        <w:pBdr>
          <w:top w:val="nil"/>
          <w:left w:val="nil"/>
          <w:bottom w:val="nil"/>
          <w:right w:val="nil"/>
          <w:between w:val="nil"/>
        </w:pBdr>
        <w:ind w:firstLine="318"/>
        <w:rPr>
          <w:rFonts w:asciiTheme="majorHAnsi" w:eastAsia="Calibri" w:hAnsiTheme="majorHAnsi" w:cstheme="majorHAnsi"/>
          <w:color w:val="000000"/>
          <w:sz w:val="21"/>
          <w:szCs w:val="21"/>
          <w:lang w:val="en-US"/>
        </w:rPr>
      </w:pPr>
      <w:r w:rsidRPr="001F1CE1">
        <w:rPr>
          <w:rFonts w:asciiTheme="majorHAnsi" w:eastAsia="Calibri" w:hAnsiTheme="majorHAnsi" w:cstheme="majorHAnsi"/>
          <w:color w:val="000000"/>
          <w:sz w:val="21"/>
          <w:szCs w:val="21"/>
          <w:lang w:val="en-US"/>
        </w:rPr>
        <w:t xml:space="preserve">Predictive Modeling is anticipated to be employed only if the samples and data are considered sufficient and reliable. In this case, the correlation of bone measurements for </w:t>
      </w:r>
      <w:r>
        <w:rPr>
          <w:rFonts w:asciiTheme="majorHAnsi" w:eastAsia="Calibri" w:hAnsiTheme="majorHAnsi" w:cstheme="majorHAnsi"/>
          <w:color w:val="000000"/>
          <w:sz w:val="21"/>
          <w:szCs w:val="21"/>
          <w:lang w:val="en-US"/>
        </w:rPr>
        <w:t>biological sex</w:t>
      </w:r>
      <w:r w:rsidRPr="001F1CE1">
        <w:rPr>
          <w:rFonts w:asciiTheme="majorHAnsi" w:eastAsia="Calibri" w:hAnsiTheme="majorHAnsi" w:cstheme="majorHAnsi"/>
          <w:color w:val="000000"/>
          <w:sz w:val="21"/>
          <w:szCs w:val="21"/>
          <w:lang w:val="en-US"/>
        </w:rPr>
        <w:t xml:space="preserve"> inference </w:t>
      </w:r>
      <w:r w:rsidR="00DE573D">
        <w:rPr>
          <w:rFonts w:asciiTheme="majorHAnsi" w:eastAsia="Calibri" w:hAnsiTheme="majorHAnsi" w:cstheme="majorHAnsi"/>
          <w:color w:val="000000"/>
          <w:sz w:val="21"/>
          <w:szCs w:val="21"/>
          <w:lang w:val="en-US"/>
        </w:rPr>
        <w:t xml:space="preserve">is </w:t>
      </w:r>
      <w:r w:rsidRPr="001F1CE1">
        <w:rPr>
          <w:rFonts w:asciiTheme="majorHAnsi" w:eastAsia="Calibri" w:hAnsiTheme="majorHAnsi" w:cstheme="majorHAnsi"/>
          <w:color w:val="000000"/>
          <w:sz w:val="21"/>
          <w:szCs w:val="21"/>
          <w:lang w:val="en-US"/>
        </w:rPr>
        <w:t>examined through regression analysis</w:t>
      </w:r>
      <w:r w:rsidR="00FB488B">
        <w:rPr>
          <w:rFonts w:asciiTheme="majorHAnsi" w:eastAsia="Calibri" w:hAnsiTheme="majorHAnsi" w:cstheme="majorHAnsi"/>
          <w:color w:val="000000"/>
          <w:sz w:val="21"/>
          <w:szCs w:val="21"/>
          <w:lang w:val="en-US"/>
        </w:rPr>
        <w:t xml:space="preserve"> </w:t>
      </w:r>
      <w:r w:rsidR="00E55686">
        <w:rPr>
          <w:rFonts w:asciiTheme="majorHAnsi" w:eastAsia="Calibri" w:hAnsiTheme="majorHAnsi" w:cstheme="majorHAnsi"/>
          <w:color w:val="000000"/>
          <w:sz w:val="21"/>
          <w:szCs w:val="21"/>
          <w:lang w:val="en-US"/>
        </w:rPr>
        <w:fldChar w:fldCharType="begin"/>
      </w:r>
      <w:r w:rsidR="00E55686">
        <w:rPr>
          <w:rFonts w:asciiTheme="majorHAnsi" w:eastAsia="Calibri" w:hAnsiTheme="majorHAnsi" w:cstheme="majorHAnsi"/>
          <w:color w:val="000000"/>
          <w:sz w:val="21"/>
          <w:szCs w:val="21"/>
          <w:lang w:val="en-US"/>
        </w:rPr>
        <w:instrText xml:space="preserve"> ADDIN ZOTERO_ITEM CSL_CITATION {"citationID":"uG0CgjF8","properties":{"formattedCitation":"(Viciano et al., 2013)","plainCitation":"(Viciano et al., 2013)","noteIndex":0},"citationItems":[{"id":21149,"uris":["http://zotero.org/users/859559/items/P753EI7S"],"itemData":{"id":21149,"type":"article-journal","abstract":"Sex estimation of skeletal remains with satisfactory allocation accuracy represents an essential step in reconstructing the biological profile of unknown individuals in archaeological research and forensic practice. Teeth are among the most frequently recovered physical elements of an individual that remain after death due to their hardness, durability, and resistance to postmortem insults. This study was based on the deciduous and permanent dentition of 269 individuals (150 males and 119 females) from the Granada osteological collection of identified infants, young children, and adults (Granada, Spain). Mesiodistal, buccolingual, and diagonal crown and cervical diameters of both dentitions were measured, and logistic regression analyses were performed to create equations for sex discrimination. The results show that the first and second deciduous molars and the permanent canines are the teeth with the greatest sexual dimorphism, providing percentages of correct assignment of sex between 78.1 and 93.1% in deciduous dentition and between 79.4 and 92.6% in permanent teeth, depending on the dimensions used. The results indicate that this method may be applicable as an adjunct with other accepted procedures for sex estimation when fragmentary skeletal remains are encountered in archaeological excavations and in forensic contexts. Am J Phys Anthropol 152:163–164, 2013. © 2013 Wiley Periodicals, Inc.","container-title":"American Journal of Physical Anthropology","DOI":"10.1002/ajpa.22324","ISSN":"1096-8644","issue":"1","language":"en","license":"Copyright © 2013 Wiley Periodicals, Inc.","note":"_eprint: https://onlinelibrary.wiley.com/doi/pdf/10.1002/ajpa.22324","page":"31-43","source":"Wiley Online Library","title":"Sex estimation based on deciduous and permanent dentition in a contemporary spanish population","volume":"152","author":[{"family":"Viciano","given":"Joan"},{"family":"López‐Lázaro","given":"Sandra"},{"family":"Alemán","given":"Inmaculada"}],"issued":{"date-parts":[["2013"]]},"citation-key":"viciano_sex_2013"}}],"schema":"https://github.com/citation-style-language/schema/raw/master/csl-citation.json"} </w:instrText>
      </w:r>
      <w:r w:rsidR="00E55686">
        <w:rPr>
          <w:rFonts w:asciiTheme="majorHAnsi" w:eastAsia="Calibri" w:hAnsiTheme="majorHAnsi" w:cstheme="majorHAnsi"/>
          <w:color w:val="000000"/>
          <w:sz w:val="21"/>
          <w:szCs w:val="21"/>
          <w:lang w:val="en-US"/>
        </w:rPr>
        <w:fldChar w:fldCharType="separate"/>
      </w:r>
      <w:r w:rsidR="00E55686" w:rsidRPr="00E55686">
        <w:rPr>
          <w:rFonts w:ascii="Calibri" w:eastAsia="Calibri" w:hAnsi="Calibri" w:cs="Calibri"/>
          <w:sz w:val="21"/>
        </w:rPr>
        <w:t>(Viciano et al., 2013)</w:t>
      </w:r>
      <w:r w:rsidR="00E55686">
        <w:rPr>
          <w:rFonts w:asciiTheme="majorHAnsi" w:eastAsia="Calibri" w:hAnsiTheme="majorHAnsi" w:cstheme="majorHAnsi"/>
          <w:color w:val="000000"/>
          <w:sz w:val="21"/>
          <w:szCs w:val="21"/>
          <w:lang w:val="en-US"/>
        </w:rPr>
        <w:fldChar w:fldCharType="end"/>
      </w:r>
      <w:r w:rsidRPr="001F1CE1">
        <w:rPr>
          <w:rFonts w:asciiTheme="majorHAnsi" w:eastAsia="Calibri" w:hAnsiTheme="majorHAnsi" w:cstheme="majorHAnsi"/>
          <w:color w:val="000000"/>
          <w:sz w:val="21"/>
          <w:szCs w:val="21"/>
          <w:lang w:val="en-US"/>
        </w:rPr>
        <w:t>.</w:t>
      </w:r>
      <w:r w:rsidR="00DE573D">
        <w:rPr>
          <w:rFonts w:asciiTheme="majorHAnsi" w:eastAsia="Calibri" w:hAnsiTheme="majorHAnsi" w:cstheme="majorHAnsi"/>
          <w:color w:val="000000"/>
          <w:sz w:val="21"/>
          <w:szCs w:val="21"/>
          <w:lang w:val="en-US"/>
        </w:rPr>
        <w:t xml:space="preserve"> </w:t>
      </w:r>
      <w:r w:rsidRPr="001F1CE1">
        <w:rPr>
          <w:rFonts w:asciiTheme="majorHAnsi" w:eastAsia="Calibri" w:hAnsiTheme="majorHAnsi" w:cstheme="majorHAnsi"/>
          <w:color w:val="000000"/>
          <w:sz w:val="21"/>
          <w:szCs w:val="21"/>
          <w:lang w:val="en-US"/>
        </w:rPr>
        <w:t xml:space="preserve">Hypothesis testing, including t-tests, chi-square tests, ANOVA, and correlation tests, </w:t>
      </w:r>
      <w:r w:rsidR="00DE573D">
        <w:rPr>
          <w:rFonts w:asciiTheme="majorHAnsi" w:eastAsia="Calibri" w:hAnsiTheme="majorHAnsi" w:cstheme="majorHAnsi"/>
          <w:color w:val="000000"/>
          <w:sz w:val="21"/>
          <w:szCs w:val="21"/>
          <w:lang w:val="en-US"/>
        </w:rPr>
        <w:t>is also</w:t>
      </w:r>
      <w:r w:rsidRPr="001F1CE1">
        <w:rPr>
          <w:rFonts w:asciiTheme="majorHAnsi" w:eastAsia="Calibri" w:hAnsiTheme="majorHAnsi" w:cstheme="majorHAnsi"/>
          <w:color w:val="000000"/>
          <w:sz w:val="21"/>
          <w:szCs w:val="21"/>
          <w:lang w:val="en-US"/>
        </w:rPr>
        <w:t xml:space="preserve"> conducted to test correlations between parameters and</w:t>
      </w:r>
      <w:r w:rsidR="00DE573D">
        <w:rPr>
          <w:rFonts w:asciiTheme="majorHAnsi" w:eastAsia="Calibri" w:hAnsiTheme="majorHAnsi" w:cstheme="majorHAnsi"/>
          <w:color w:val="000000"/>
          <w:sz w:val="21"/>
          <w:szCs w:val="21"/>
          <w:lang w:val="en-US"/>
        </w:rPr>
        <w:t xml:space="preserve"> unravel differences between groups e.g. between males and females </w:t>
      </w:r>
      <w:r w:rsidR="00DE573D">
        <w:rPr>
          <w:rFonts w:asciiTheme="majorHAnsi" w:eastAsia="Calibri" w:hAnsiTheme="majorHAnsi" w:cstheme="majorHAnsi"/>
          <w:color w:val="000000"/>
          <w:sz w:val="21"/>
          <w:szCs w:val="21"/>
          <w:lang w:val="en-US"/>
        </w:rPr>
        <w:fldChar w:fldCharType="begin"/>
      </w:r>
      <w:r w:rsidR="00DE573D">
        <w:rPr>
          <w:rFonts w:asciiTheme="majorHAnsi" w:eastAsia="Calibri" w:hAnsiTheme="majorHAnsi" w:cstheme="majorHAnsi"/>
          <w:color w:val="000000"/>
          <w:sz w:val="21"/>
          <w:szCs w:val="21"/>
          <w:lang w:val="en-US"/>
        </w:rPr>
        <w:instrText xml:space="preserve"> ADDIN ZOTERO_ITEM CSL_CITATION {"citationID":"wPbU3yrm","properties":{"formattedCitation":"(Nikita et al., 2013)","plainCitation":"(Nikita et al., 2013)","noteIndex":0},"citationItems":[{"id":21554,"uris":["http://zotero.org/users/859559/items/LK2KNGZV"],"itemData":{"id":21554,"type":"article-journal","abstract":"The present paper compares different statistical tests on presence/absence (dichotomous) data for degenerative joint disease (DJD) and degenerative disc disease (DDD) from Late Holocene North African populations. The aim is to assess the most efficient statistical model for such analyses. Our results suggest that generalized linear models (GLM) give practically identical results to the conventional Chi-square tests, Fisher's Exact tests and Cochran–Mantel–Haenszel partial correlations. Moreover, GLM allow for the examination of the impact of several predictors on the outcome variable, namely age, sex, population and body mass, as well as the interaction of these predictors on DJD/DDD expression. GLM additionally offer insights as to whether each factor correlates positively or negatively with the outcome variable and permit the modeling of the experimental data. As a result, we argue that GLM should be preferentially used in place of conventional tests. Moreover, both binary and linear GLM give convergant results despite the outcome variable DJD/DDD being dichotomous. Therefore, considering that the binary models occasionally present computational problems and the simplicity of the linear models, the linear form may be preferred.","container-title":"International Journal of Paleopathology","DOI":"10.1016/j.ijpp.2013.03.002","ISSN":"1879-9817","issue":"2","journalAbbreviation":"International Journal of Paleopathology","language":"en","page":"105-112","source":"ScienceDirect","title":"Methodological considerations in the statistical analysis of degenerative joint and disc disease","volume":"3","author":[{"family":"Nikita","given":"Efthymia"},{"family":"Mattingly","given":"David"},{"family":"Lahr","given":"Marta Mirazón"}],"issued":{"date-parts":[["2013",6,1]]},"citation-key":"nikita_methodological_2013"}}],"schema":"https://github.com/citation-style-language/schema/raw/master/csl-citation.json"} </w:instrText>
      </w:r>
      <w:r w:rsidR="00DE573D">
        <w:rPr>
          <w:rFonts w:asciiTheme="majorHAnsi" w:eastAsia="Calibri" w:hAnsiTheme="majorHAnsi" w:cstheme="majorHAnsi"/>
          <w:color w:val="000000"/>
          <w:sz w:val="21"/>
          <w:szCs w:val="21"/>
          <w:lang w:val="en-US"/>
        </w:rPr>
        <w:fldChar w:fldCharType="separate"/>
      </w:r>
      <w:r w:rsidR="00DE573D" w:rsidRPr="00DE573D">
        <w:rPr>
          <w:rFonts w:ascii="Calibri" w:eastAsia="Calibri" w:hAnsi="Calibri" w:cs="Calibri"/>
          <w:sz w:val="21"/>
        </w:rPr>
        <w:t>(Nikita et al., 2013)</w:t>
      </w:r>
      <w:r w:rsidR="00DE573D">
        <w:rPr>
          <w:rFonts w:asciiTheme="majorHAnsi" w:eastAsia="Calibri" w:hAnsiTheme="majorHAnsi" w:cstheme="majorHAnsi"/>
          <w:color w:val="000000"/>
          <w:sz w:val="21"/>
          <w:szCs w:val="21"/>
          <w:lang w:val="en-US"/>
        </w:rPr>
        <w:fldChar w:fldCharType="end"/>
      </w:r>
      <w:r w:rsidRPr="001F1CE1">
        <w:rPr>
          <w:rFonts w:asciiTheme="majorHAnsi" w:eastAsia="Calibri" w:hAnsiTheme="majorHAnsi" w:cstheme="majorHAnsi"/>
          <w:color w:val="000000"/>
          <w:sz w:val="21"/>
          <w:szCs w:val="21"/>
          <w:lang w:val="en-US"/>
        </w:rPr>
        <w:t>.</w:t>
      </w:r>
      <w:r w:rsidR="00DE573D">
        <w:rPr>
          <w:rFonts w:asciiTheme="majorHAnsi" w:eastAsia="Calibri" w:hAnsiTheme="majorHAnsi" w:cstheme="majorHAnsi"/>
          <w:color w:val="000000"/>
          <w:sz w:val="21"/>
          <w:szCs w:val="21"/>
          <w:lang w:val="en-US"/>
        </w:rPr>
        <w:t xml:space="preserve"> </w:t>
      </w:r>
      <w:r w:rsidRPr="001F1CE1">
        <w:rPr>
          <w:rFonts w:asciiTheme="majorHAnsi" w:eastAsia="Calibri" w:hAnsiTheme="majorHAnsi" w:cstheme="majorHAnsi"/>
          <w:color w:val="000000"/>
          <w:sz w:val="21"/>
          <w:szCs w:val="21"/>
          <w:lang w:val="en-US"/>
        </w:rPr>
        <w:t xml:space="preserve">Bayesian statistics </w:t>
      </w:r>
      <w:r w:rsidR="00DE573D">
        <w:rPr>
          <w:rFonts w:asciiTheme="majorHAnsi" w:eastAsia="Calibri" w:hAnsiTheme="majorHAnsi" w:cstheme="majorHAnsi"/>
          <w:color w:val="000000"/>
          <w:sz w:val="21"/>
          <w:szCs w:val="21"/>
          <w:lang w:val="en-US"/>
        </w:rPr>
        <w:t>is</w:t>
      </w:r>
      <w:r w:rsidRPr="001F1CE1">
        <w:rPr>
          <w:rFonts w:asciiTheme="majorHAnsi" w:eastAsia="Calibri" w:hAnsiTheme="majorHAnsi" w:cstheme="majorHAnsi"/>
          <w:color w:val="000000"/>
          <w:sz w:val="21"/>
          <w:szCs w:val="21"/>
          <w:lang w:val="en-US"/>
        </w:rPr>
        <w:t xml:space="preserve"> employed to explore age of death based on new data derived from prior knowledge. This field provides an insight into the data, enhancing parameter interpretation</w:t>
      </w:r>
      <w:r w:rsidR="00DE573D">
        <w:rPr>
          <w:rFonts w:asciiTheme="majorHAnsi" w:eastAsia="Calibri" w:hAnsiTheme="majorHAnsi" w:cstheme="majorHAnsi"/>
          <w:color w:val="000000"/>
          <w:sz w:val="21"/>
          <w:szCs w:val="21"/>
          <w:lang w:val="en-US"/>
        </w:rPr>
        <w:t xml:space="preserve"> </w:t>
      </w:r>
      <w:r w:rsidR="00DE573D">
        <w:rPr>
          <w:rFonts w:asciiTheme="majorHAnsi" w:eastAsia="Calibri" w:hAnsiTheme="majorHAnsi" w:cstheme="majorHAnsi"/>
          <w:color w:val="000000"/>
          <w:sz w:val="21"/>
          <w:szCs w:val="21"/>
          <w:lang w:val="en-US"/>
        </w:rPr>
        <w:fldChar w:fldCharType="begin"/>
      </w:r>
      <w:r w:rsidR="00DE573D">
        <w:rPr>
          <w:rFonts w:asciiTheme="majorHAnsi" w:eastAsia="Calibri" w:hAnsiTheme="majorHAnsi" w:cstheme="majorHAnsi"/>
          <w:color w:val="000000"/>
          <w:sz w:val="21"/>
          <w:szCs w:val="21"/>
          <w:lang w:val="en-US"/>
        </w:rPr>
        <w:instrText xml:space="preserve"> ADDIN ZOTERO_ITEM CSL_CITATION {"citationID":"BYHwZUsw","properties":{"formattedCitation":"(Hens &amp; Godde, 2020)","plainCitation":"(Hens &amp; Godde, 2020)","noteIndex":0},"citationItems":[{"id":21142,"uris":["http://zotero.org/users/859559/items/7UJ3R782"],"itemData":{"id":21142,"type":"article-journal","abstract":"Palatal suture fusion has seen little testing and/or application due in part to an inadequately described relationship to formal age ranges. This study presents a modified scoring method that examines fusion on samples of modern documented adult males and compares two Bayesian approaches to age estimation. In the first analysis, American and Portuguese collections were used to derive univariate and multivariate transition analysis (TA) parameters, which combined with an informative prior, estimated age in a sample of modern Americans and Portuguese. For the second analysis, a Bayesian multiple linear regression (BMLR) used indicator statuses as the independent variables with age as the dependent variable. Highest posterior density regions (HPDRs) and highest posterior density intervals (HDI) were calculated for a holdout sample. Final age estimates for the methods were tested for accuracy using cumulative binomial tests at 75% and 90% coverages. The HPDRs from multivariate TA captured age better for younger individuals, but consistently underaged. The cumulative binomial tests on the BMLR results indicated the prediction intervals performed as expected, and we show they are narrower (more precise) and/or more accurate than the corresponding HPDR. The modified method presented here formally links palatal suture obliteration to age using two different approaches, one of which (BMLR) is new to the aging literature. The BMLR provided results free from bias and more reasonable age ranges while maintaining accuracy. We present a look-up table and a free, simple R file for users to download and run their own estimates with BMLR.","container-title":"Journal of Forensic Sciences","DOI":"10.1111/1556-4029.14485","ISSN":"1556-4029","issue":"5","language":"en","note":"_eprint: https://onlinelibrary.wiley.com/doi/pdf/10.1111/1556-4029.14485","page":"1406-1415","source":"Wiley Online Library","title":"New Approaches to Age Estimation Using Palatal Suture Fusion","volume":"65","author":[{"family":"Hens","given":"Samantha M."},{"family":"Godde","given":"Kanya"}],"issued":{"date-parts":[["2020"]]},"citation-key":"hens_new_2020"}}],"schema":"https://github.com/citation-style-language/schema/raw/master/csl-citation.json"} </w:instrText>
      </w:r>
      <w:r w:rsidR="00DE573D">
        <w:rPr>
          <w:rFonts w:asciiTheme="majorHAnsi" w:eastAsia="Calibri" w:hAnsiTheme="majorHAnsi" w:cstheme="majorHAnsi"/>
          <w:color w:val="000000"/>
          <w:sz w:val="21"/>
          <w:szCs w:val="21"/>
          <w:lang w:val="en-US"/>
        </w:rPr>
        <w:fldChar w:fldCharType="separate"/>
      </w:r>
      <w:r w:rsidR="00DE573D" w:rsidRPr="00DE573D">
        <w:rPr>
          <w:rFonts w:ascii="Calibri" w:eastAsia="Calibri" w:hAnsi="Calibri" w:cs="Calibri"/>
          <w:sz w:val="21"/>
        </w:rPr>
        <w:t>(Hens &amp; Godde, 2020)</w:t>
      </w:r>
      <w:r w:rsidR="00DE573D">
        <w:rPr>
          <w:rFonts w:asciiTheme="majorHAnsi" w:eastAsia="Calibri" w:hAnsiTheme="majorHAnsi" w:cstheme="majorHAnsi"/>
          <w:color w:val="000000"/>
          <w:sz w:val="21"/>
          <w:szCs w:val="21"/>
          <w:lang w:val="en-US"/>
        </w:rPr>
        <w:fldChar w:fldCharType="end"/>
      </w:r>
      <w:r w:rsidRPr="001F1CE1">
        <w:rPr>
          <w:rFonts w:asciiTheme="majorHAnsi" w:eastAsia="Calibri" w:hAnsiTheme="majorHAnsi" w:cstheme="majorHAnsi"/>
          <w:color w:val="000000"/>
          <w:sz w:val="21"/>
          <w:szCs w:val="21"/>
          <w:lang w:val="en-US"/>
        </w:rPr>
        <w:t>.</w:t>
      </w:r>
      <w:r w:rsidR="00DE573D">
        <w:rPr>
          <w:rFonts w:asciiTheme="majorHAnsi" w:eastAsia="Calibri" w:hAnsiTheme="majorHAnsi" w:cstheme="majorHAnsi"/>
          <w:color w:val="000000"/>
          <w:sz w:val="21"/>
          <w:szCs w:val="21"/>
          <w:lang w:val="en-US"/>
        </w:rPr>
        <w:t xml:space="preserve"> </w:t>
      </w:r>
      <w:r w:rsidRPr="001F1CE1">
        <w:rPr>
          <w:rFonts w:asciiTheme="majorHAnsi" w:eastAsia="Calibri" w:hAnsiTheme="majorHAnsi" w:cstheme="majorHAnsi"/>
          <w:color w:val="000000"/>
          <w:sz w:val="21"/>
          <w:szCs w:val="21"/>
          <w:lang w:val="en-US"/>
        </w:rPr>
        <w:t xml:space="preserve">Survival Analysis </w:t>
      </w:r>
      <w:r w:rsidR="00DE573D">
        <w:rPr>
          <w:rFonts w:asciiTheme="majorHAnsi" w:eastAsia="Calibri" w:hAnsiTheme="majorHAnsi" w:cstheme="majorHAnsi"/>
          <w:color w:val="000000"/>
          <w:sz w:val="21"/>
          <w:szCs w:val="21"/>
          <w:lang w:val="en-US"/>
        </w:rPr>
        <w:t>is</w:t>
      </w:r>
      <w:r w:rsidRPr="001F1CE1">
        <w:rPr>
          <w:rFonts w:asciiTheme="majorHAnsi" w:eastAsia="Calibri" w:hAnsiTheme="majorHAnsi" w:cstheme="majorHAnsi"/>
          <w:color w:val="000000"/>
          <w:sz w:val="21"/>
          <w:szCs w:val="21"/>
          <w:lang w:val="en-US"/>
        </w:rPr>
        <w:t xml:space="preserve"> utilized to estimate the risk of disease occurrence between groups. The time to event occurrence, such as the time between disease onset and individual death, </w:t>
      </w:r>
      <w:r w:rsidR="00DE573D">
        <w:rPr>
          <w:rFonts w:asciiTheme="majorHAnsi" w:eastAsia="Calibri" w:hAnsiTheme="majorHAnsi" w:cstheme="majorHAnsi"/>
          <w:color w:val="000000"/>
          <w:sz w:val="21"/>
          <w:szCs w:val="21"/>
          <w:lang w:val="en-US"/>
        </w:rPr>
        <w:t>is</w:t>
      </w:r>
      <w:r w:rsidRPr="001F1CE1">
        <w:rPr>
          <w:rFonts w:asciiTheme="majorHAnsi" w:eastAsia="Calibri" w:hAnsiTheme="majorHAnsi" w:cstheme="majorHAnsi"/>
          <w:color w:val="000000"/>
          <w:sz w:val="21"/>
          <w:szCs w:val="21"/>
          <w:lang w:val="en-US"/>
        </w:rPr>
        <w:t xml:space="preserve"> estimated using techniques such as Kaplan-Meier estimation and Cox proportional hazards regression</w:t>
      </w:r>
      <w:r w:rsidR="00DE573D">
        <w:rPr>
          <w:rFonts w:asciiTheme="majorHAnsi" w:eastAsia="Calibri" w:hAnsiTheme="majorHAnsi" w:cstheme="majorHAnsi"/>
          <w:color w:val="000000"/>
          <w:sz w:val="21"/>
          <w:szCs w:val="21"/>
          <w:lang w:val="en-US"/>
        </w:rPr>
        <w:t xml:space="preserve"> </w:t>
      </w:r>
      <w:r w:rsidR="001E163C">
        <w:rPr>
          <w:rFonts w:asciiTheme="majorHAnsi" w:eastAsia="Calibri" w:hAnsiTheme="majorHAnsi" w:cstheme="majorHAnsi"/>
          <w:color w:val="000000"/>
          <w:sz w:val="21"/>
          <w:szCs w:val="21"/>
          <w:lang w:val="en-US"/>
        </w:rPr>
        <w:fldChar w:fldCharType="begin"/>
      </w:r>
      <w:r w:rsidR="001E163C">
        <w:rPr>
          <w:rFonts w:asciiTheme="majorHAnsi" w:eastAsia="Calibri" w:hAnsiTheme="majorHAnsi" w:cstheme="majorHAnsi"/>
          <w:color w:val="000000"/>
          <w:sz w:val="21"/>
          <w:szCs w:val="21"/>
          <w:lang w:val="en-US"/>
        </w:rPr>
        <w:instrText xml:space="preserve"> ADDIN ZOTERO_ITEM CSL_CITATION {"citationID":"rq9FvQFv","properties":{"formattedCitation":"(Kubehl &amp; Temple, 2020)","plainCitation":"(Kubehl &amp; Temple, 2020)","noteIndex":0},"citationItems":[{"id":21768,"uris":["http://zotero.org/users/859559/items/8PRTLPUH"],"itemData":{"id":21768,"type":"article-journal","abstract":"Objectives Differences in dental caries prevalence between males and females is considered a reflection of diet. However, recent syntheses argue that sex-specific variation in dental caries prevalence also reflects changes in the oral cavity attributable to variation in reproductive life histories. This study explores sex-specific variation in carious lesions using a life history perspective to understand if differences in reproductive ecology influence this process. Materials and methods Survival probability between 860 males and females from the Terry Collection was compared using carious lesion manifestation (absent, crown presence, root/cemento-enamel junction [CEJ] presence) and sex as covariates and age as a time series variable. A four-way multivariate analysis of variance (MANOVA) comparing carious lesion type by sex, age, and periodontal disease presence was used to evaluate interaction between these variables. Results Individuals with carious lesions have greater survivorship than those without lesions. Males and females with crown lesions do not differ in survivorship from individuals without carious lesions. Females with root/CEJ lesions are characterized by the highest survivorship. A significant interaction was found for root/CEJ carious lesions by age, sex, and periodontal disease presence. Root/CEJ lesion formation in older males was not dependent upon periodontal disease presence, though dependence between these variables characterizes postmenopausal females. Conclusion Sex-specific variation in crown lesions is not associated with reproductive life histories and likely reflects diet. By contrast, root/CEJ lesions form through pathways attributable to reproductive life histories, particularly age-induced periodontal disease in females. These results suggest the formation of carious lesions is complex, and in some cases, rooted in reproductive life histories.","container-title":"American Journal of Physical Anthropology","DOI":"10.1002/ajpa.24034","ISSN":"1096-8644","issue":"3","language":"en","license":"© 2020 Wiley Periodicals, Inc.","note":"_eprint: https://onlinelibrary.wiley.com/doi/pdf/10.1002/ajpa.24034","page":"376-385","source":"Wiley Online Library","title":"Reproductive life histories influence cariogenesis: Exploring sex-specific variation in dental caries and survivorship in the human past","title-short":"Reproductive life histories influence cariogenesis","volume":"172","author":[{"family":"Kubehl","given":"Kayla"},{"family":"Temple","given":"Daniel H."}],"issued":{"date-parts":[["2020"]]},"citation-key":"kubehl_reproductive_2020"}}],"schema":"https://github.com/citation-style-language/schema/raw/master/csl-citation.json"} </w:instrText>
      </w:r>
      <w:r w:rsidR="001E163C">
        <w:rPr>
          <w:rFonts w:asciiTheme="majorHAnsi" w:eastAsia="Calibri" w:hAnsiTheme="majorHAnsi" w:cstheme="majorHAnsi"/>
          <w:color w:val="000000"/>
          <w:sz w:val="21"/>
          <w:szCs w:val="21"/>
          <w:lang w:val="en-US"/>
        </w:rPr>
        <w:fldChar w:fldCharType="separate"/>
      </w:r>
      <w:r w:rsidR="001E163C" w:rsidRPr="001E163C">
        <w:rPr>
          <w:rFonts w:ascii="Calibri" w:eastAsia="Calibri" w:hAnsi="Calibri" w:cs="Calibri"/>
          <w:sz w:val="21"/>
        </w:rPr>
        <w:t>(Kubehl &amp; Temple, 2020)</w:t>
      </w:r>
      <w:r w:rsidR="001E163C">
        <w:rPr>
          <w:rFonts w:asciiTheme="majorHAnsi" w:eastAsia="Calibri" w:hAnsiTheme="majorHAnsi" w:cstheme="majorHAnsi"/>
          <w:color w:val="000000"/>
          <w:sz w:val="21"/>
          <w:szCs w:val="21"/>
          <w:lang w:val="en-US"/>
        </w:rPr>
        <w:fldChar w:fldCharType="end"/>
      </w:r>
      <w:r w:rsidRPr="001F1CE1">
        <w:rPr>
          <w:rFonts w:asciiTheme="majorHAnsi" w:eastAsia="Calibri" w:hAnsiTheme="majorHAnsi" w:cstheme="majorHAnsi"/>
          <w:color w:val="000000"/>
          <w:sz w:val="21"/>
          <w:szCs w:val="21"/>
          <w:lang w:val="en-US"/>
        </w:rPr>
        <w:t>.</w:t>
      </w:r>
      <w:r w:rsidR="00DE573D">
        <w:rPr>
          <w:rFonts w:asciiTheme="majorHAnsi" w:eastAsia="Calibri" w:hAnsiTheme="majorHAnsi" w:cstheme="majorHAnsi"/>
          <w:color w:val="000000"/>
          <w:sz w:val="21"/>
          <w:szCs w:val="21"/>
          <w:lang w:val="en-US"/>
        </w:rPr>
        <w:t xml:space="preserve"> </w:t>
      </w:r>
      <w:r w:rsidRPr="001F1CE1">
        <w:rPr>
          <w:rFonts w:asciiTheme="majorHAnsi" w:eastAsia="Calibri" w:hAnsiTheme="majorHAnsi" w:cstheme="majorHAnsi"/>
          <w:color w:val="000000"/>
          <w:sz w:val="21"/>
          <w:szCs w:val="21"/>
          <w:lang w:val="en-US"/>
        </w:rPr>
        <w:t xml:space="preserve">Multivariate Analysis </w:t>
      </w:r>
      <w:r w:rsidR="00DE573D">
        <w:rPr>
          <w:rFonts w:asciiTheme="majorHAnsi" w:eastAsia="Calibri" w:hAnsiTheme="majorHAnsi" w:cstheme="majorHAnsi"/>
          <w:color w:val="000000"/>
          <w:sz w:val="21"/>
          <w:szCs w:val="21"/>
          <w:lang w:val="en-US"/>
        </w:rPr>
        <w:t>is</w:t>
      </w:r>
      <w:r w:rsidRPr="001F1CE1">
        <w:rPr>
          <w:rFonts w:asciiTheme="majorHAnsi" w:eastAsia="Calibri" w:hAnsiTheme="majorHAnsi" w:cstheme="majorHAnsi"/>
          <w:color w:val="000000"/>
          <w:sz w:val="21"/>
          <w:szCs w:val="21"/>
          <w:lang w:val="en-US"/>
        </w:rPr>
        <w:t xml:space="preserve"> applied to examine correlations between morphological and metric characteristics and to identify patterns</w:t>
      </w:r>
      <w:r w:rsidR="00900991">
        <w:rPr>
          <w:rFonts w:asciiTheme="majorHAnsi" w:eastAsia="Calibri" w:hAnsiTheme="majorHAnsi" w:cstheme="majorHAnsi"/>
          <w:color w:val="000000"/>
          <w:sz w:val="21"/>
          <w:szCs w:val="21"/>
          <w:lang w:val="en-US"/>
        </w:rPr>
        <w:t xml:space="preserve"> </w:t>
      </w:r>
      <w:r w:rsidR="00900991">
        <w:rPr>
          <w:rFonts w:asciiTheme="majorHAnsi" w:eastAsia="Calibri" w:hAnsiTheme="majorHAnsi" w:cstheme="majorHAnsi"/>
          <w:color w:val="000000"/>
          <w:sz w:val="21"/>
          <w:szCs w:val="21"/>
          <w:lang w:val="en-US"/>
        </w:rPr>
        <w:fldChar w:fldCharType="begin"/>
      </w:r>
      <w:r w:rsidR="00900991">
        <w:rPr>
          <w:rFonts w:asciiTheme="majorHAnsi" w:eastAsia="Calibri" w:hAnsiTheme="majorHAnsi" w:cstheme="majorHAnsi"/>
          <w:color w:val="000000"/>
          <w:sz w:val="21"/>
          <w:szCs w:val="21"/>
          <w:lang w:val="en-US"/>
        </w:rPr>
        <w:instrText xml:space="preserve"> ADDIN ZOTERO_ITEM CSL_CITATION {"citationID":"mpu9pDPv","properties":{"formattedCitation":"(Vark &amp; Howells, 1984; Calce et al., 2017)","plainCitation":"(Vark &amp; Howells, 1984; Calce et al., 2017)","noteIndex":0},"citationItems":[{"id":21364,"uris":["http://zotero.org/users/859559/items/IEGU39E6"],"itemData":{"id":21364,"type":"book","abstract":"Physical anthropologists, like other research workers, are recognizing that the standard multivariate statistical techniques of recent decades are in need of refinement and greater precision. Increasingly it is felt that more sophisticated methods are called for, specifically designed for the materials and problems at issue. To this end the editors were asked by organizers of the First Intercongress of the International Union of Anthropological and Ethnological Sciences to develop a symposium on this general subject. With the title of this book, the symposium was held in Amsterdam on April 23-25, 1981. Invited were mathematical statisticians who were known to have an acquaintance with and interest in anthropological problems, together with anthropologists and human geneticists who consider multivariate methodology essential for their research. This volume constitutes an updated and revised selection from among the papers presented, together with a few supplementary papers by authors who were not present but whose work fills out the intended coverage and makes the volume more complete with respect to the state of affairs in the field. The papers are devoted both to new methodology and to its practical application. Mathematical statisticians may wish to know more about the biological nature and the kinds of materials and samples on which mathematical thinking can be exercised. Anthropologists as practitioners may not be fully aware of the possibilities and limitations in particular mathematical models and methods. Our purpose has been to bring the two groups together, for personal discussions across disciplinary lines as well as within disciplines.","event-place":"Dordrecht","ISBN":"978-94-009-6357-3","language":"English","note":"OCLC: 840306079","publisher":"Springer Netherlands","publisher-place":"Dordrecht","source":"Open WorldCat","title":"Multivariate Statistical Methods in Physical Anthropology: a Review of Recent Advances and Current Developments","URL":"https://doi.org/10.1007/978-94-009-6357-3","author":[{"family":"Vark","given":"G. N"},{"family":"Howells","given":"W. W"}],"accessed":{"date-parts":[["2020",10,11]]},"issued":{"date-parts":[["1984"]]},"citation-key":"vark_multivariate_1984"}},{"id":21753,"uris":["http://zotero.org/users/859559/items/B4DHJHN3"],"itemData":{"id":21753,"type":"article-journal","abstract":"Objectives The purpose of this study is to demonstrate advantages of principal component analysis (PCA) as a standardized procedure in the evaluation of osteoarthritis (OA) in a skeletal series to: (1) compute aggregate scores for joint complexes that accurately capture pathological expression, (2) reveal which variables describe the most sample variation in OA, (3) enable inter- and intra-sample comparison of results, and (4) formulate predictive models from component-based arthritic scores. Materials and methods The sample (144 males, 145 females) is drawn from a large skeletal cemetery collection of modern Europeans of known sex, age, and occupation. OA data was collected using standard ranked categorical scoring. PCA was conducted separately on lumbar spine, pelvis, and knee regions to generate composite OA scores from eigenequations of the first and second principal components (PC). Results Results demonstrate that as severity in OA increases, so does the distribution of OA within the joint surface. In each region, PCA produced the same general pattern with eburnation scoring driving significant changes in composite OA scores, representing earlier to later stages of cartilage degeneration. The distribution of arthritic traits determined by PCA produced an OA score that quantifies the expression of joint changes in varied biological joint structures from most moveable to least mobile, the final stage being joint fusion. OA scores are most highly variable in the lumbar region for both males and females, as compared to the pelvis and knee. Conclusions PCA is a simple, non-parametric method of extracting relevant information from complex OA datasets and summarizes variation based on correlated multi-attributes to reveal a simplified structure of OA expression. Multivariate techniques like PCA should be used to describe discrete OA samples, and are useful to compute population-specific representative measurements for idiopathic joint OA in a skeletal sample.","container-title":"American Journal of Physical Anthropology","DOI":"10.1002/ajpa.23130","ISSN":"1096-8644","issue":"3","language":"en","license":"© 2016 Wiley Periodicals, Inc.","note":"_eprint: https://onlinelibrary.wiley.com/doi/pdf/10.1002/ajpa.23130","page":"476-490","source":"Wiley Online Library","title":"Principal component analysis in the evaluation of osteoarthritis","volume":"162","author":[{"family":"Calce","given":"Stephanie E."},{"family":"Kurki","given":"Helen K."},{"family":"Weston","given":"Darlene A."},{"family":"Gould","given":"Lisa"}],"issued":{"date-parts":[["2017"]]},"citation-key":"calce_principal_2017"}}],"schema":"https://github.com/citation-style-language/schema/raw/master/csl-citation.json"} </w:instrText>
      </w:r>
      <w:r w:rsidR="00900991">
        <w:rPr>
          <w:rFonts w:asciiTheme="majorHAnsi" w:eastAsia="Calibri" w:hAnsiTheme="majorHAnsi" w:cstheme="majorHAnsi"/>
          <w:color w:val="000000"/>
          <w:sz w:val="21"/>
          <w:szCs w:val="21"/>
          <w:lang w:val="en-US"/>
        </w:rPr>
        <w:fldChar w:fldCharType="separate"/>
      </w:r>
      <w:r w:rsidR="00E55686">
        <w:rPr>
          <w:rFonts w:ascii="Calibri" w:eastAsia="Calibri" w:hAnsi="Calibri" w:cs="Calibri"/>
          <w:sz w:val="21"/>
        </w:rPr>
        <w:t>(</w:t>
      </w:r>
      <w:r w:rsidR="00900991" w:rsidRPr="00900991">
        <w:rPr>
          <w:rFonts w:ascii="Calibri" w:eastAsia="Calibri" w:hAnsi="Calibri" w:cs="Calibri"/>
          <w:sz w:val="21"/>
        </w:rPr>
        <w:t>Calce et al., 2017)</w:t>
      </w:r>
      <w:r w:rsidR="00900991">
        <w:rPr>
          <w:rFonts w:asciiTheme="majorHAnsi" w:eastAsia="Calibri" w:hAnsiTheme="majorHAnsi" w:cstheme="majorHAnsi"/>
          <w:color w:val="000000"/>
          <w:sz w:val="21"/>
          <w:szCs w:val="21"/>
          <w:lang w:val="en-US"/>
        </w:rPr>
        <w:fldChar w:fldCharType="end"/>
      </w:r>
      <w:r w:rsidRPr="001F1CE1">
        <w:rPr>
          <w:rFonts w:asciiTheme="majorHAnsi" w:eastAsia="Calibri" w:hAnsiTheme="majorHAnsi" w:cstheme="majorHAnsi"/>
          <w:color w:val="000000"/>
          <w:sz w:val="21"/>
          <w:szCs w:val="21"/>
          <w:lang w:val="en-US"/>
        </w:rPr>
        <w:t>. Techniques to be applied include Principal Component Analysis, Factor Analysis, and Cluster Analysis.</w:t>
      </w:r>
    </w:p>
    <w:p w:rsidR="002E311E" w:rsidRPr="00D637A6" w:rsidRDefault="002E311E" w:rsidP="002E311E">
      <w:pPr>
        <w:pBdr>
          <w:top w:val="nil"/>
          <w:left w:val="nil"/>
          <w:bottom w:val="nil"/>
          <w:right w:val="nil"/>
          <w:between w:val="nil"/>
        </w:pBdr>
        <w:ind w:firstLine="318"/>
        <w:rPr>
          <w:rFonts w:asciiTheme="majorHAnsi" w:eastAsia="Calibri" w:hAnsiTheme="majorHAnsi" w:cstheme="majorHAnsi"/>
          <w:color w:val="000000"/>
          <w:sz w:val="21"/>
          <w:szCs w:val="21"/>
        </w:rPr>
      </w:pPr>
    </w:p>
    <w:p w:rsidR="00066A52" w:rsidRPr="00D637A6" w:rsidRDefault="00AA07E7" w:rsidP="002E311E">
      <w:pPr>
        <w:keepNext/>
        <w:pBdr>
          <w:top w:val="nil"/>
          <w:left w:val="nil"/>
          <w:bottom w:val="nil"/>
          <w:right w:val="nil"/>
          <w:between w:val="nil"/>
        </w:pBdr>
        <w:outlineLvl w:val="0"/>
        <w:rPr>
          <w:rFonts w:asciiTheme="majorHAnsi" w:eastAsia="Calibri" w:hAnsiTheme="majorHAnsi" w:cstheme="majorHAnsi"/>
          <w:b/>
          <w:color w:val="000000"/>
          <w:sz w:val="21"/>
          <w:szCs w:val="21"/>
        </w:rPr>
      </w:pPr>
      <w:r w:rsidRPr="00D637A6">
        <w:rPr>
          <w:rFonts w:asciiTheme="majorHAnsi" w:eastAsia="Calibri" w:hAnsiTheme="majorHAnsi" w:cstheme="majorHAnsi"/>
          <w:b/>
          <w:color w:val="000000"/>
          <w:sz w:val="21"/>
          <w:szCs w:val="21"/>
        </w:rPr>
        <w:t>Recording Data</w:t>
      </w:r>
    </w:p>
    <w:p w:rsidR="00896EBA" w:rsidRDefault="00896EBA" w:rsidP="002E311E">
      <w:pPr>
        <w:pBdr>
          <w:top w:val="nil"/>
          <w:left w:val="nil"/>
          <w:bottom w:val="nil"/>
          <w:right w:val="nil"/>
          <w:between w:val="nil"/>
        </w:pBdr>
        <w:ind w:firstLine="318"/>
        <w:rPr>
          <w:rFonts w:asciiTheme="majorHAnsi" w:eastAsia="Calibri" w:hAnsiTheme="majorHAnsi" w:cstheme="majorHAnsi"/>
          <w:color w:val="000000"/>
          <w:sz w:val="21"/>
          <w:szCs w:val="21"/>
          <w:lang w:val="en-US"/>
        </w:rPr>
      </w:pPr>
      <w:r w:rsidRPr="00896EBA">
        <w:rPr>
          <w:rFonts w:asciiTheme="majorHAnsi" w:eastAsia="Calibri" w:hAnsiTheme="majorHAnsi" w:cstheme="majorHAnsi"/>
          <w:color w:val="000000"/>
          <w:sz w:val="21"/>
          <w:szCs w:val="21"/>
          <w:lang w:val="en-US"/>
        </w:rPr>
        <w:t>Prior to commencing data recording, researchers must deliberate on the approach to be undertaken. This decision, as depicted in Figure 3, hinges primarily on the physical proximity of collaborators, which is contingent upon the accessibility of the study material.</w:t>
      </w:r>
    </w:p>
    <w:p w:rsidR="006A0198" w:rsidRPr="00D637A6" w:rsidRDefault="0068036B" w:rsidP="002E311E">
      <w:pPr>
        <w:pBdr>
          <w:top w:val="nil"/>
          <w:left w:val="nil"/>
          <w:bottom w:val="nil"/>
          <w:right w:val="nil"/>
          <w:between w:val="nil"/>
        </w:pBdr>
        <w:jc w:val="center"/>
        <w:rPr>
          <w:rFonts w:asciiTheme="majorHAnsi" w:eastAsia="Calibri" w:hAnsiTheme="majorHAnsi" w:cstheme="majorHAnsi"/>
          <w:color w:val="000000"/>
          <w:sz w:val="21"/>
          <w:szCs w:val="21"/>
        </w:rPr>
      </w:pPr>
      <w:r>
        <w:rPr>
          <w:rFonts w:asciiTheme="majorHAnsi" w:eastAsia="Calibri" w:hAnsiTheme="majorHAnsi" w:cstheme="majorHAnsi"/>
          <w:noProof/>
          <w:color w:val="000000"/>
          <w:sz w:val="21"/>
          <w:szCs w:val="21"/>
          <w:lang w:val="en-US" w:eastAsia="en-US"/>
        </w:rPr>
        <w:drawing>
          <wp:inline distT="0" distB="0" distL="0" distR="0">
            <wp:extent cx="5718810" cy="2516023"/>
            <wp:effectExtent l="0" t="0" r="0" b="0"/>
            <wp:docPr id="1" name="Picture 1" descr="C:\Users\kirix\Downloads\Osteoarch_Recording_WorkflowCAA Amsterd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ix\Downloads\Osteoarch_Recording_WorkflowCAA Amsterdam.png"/>
                    <pic:cNvPicPr>
                      <a:picLocks noChangeAspect="1" noChangeArrowheads="1"/>
                    </pic:cNvPicPr>
                  </pic:nvPicPr>
                  <pic:blipFill>
                    <a:blip r:embed="rId12" cstate="print"/>
                    <a:stretch>
                      <a:fillRect/>
                    </a:stretch>
                  </pic:blipFill>
                  <pic:spPr bwMode="auto">
                    <a:xfrm>
                      <a:off x="0" y="0"/>
                      <a:ext cx="5718810" cy="2516023"/>
                    </a:xfrm>
                    <a:prstGeom prst="rect">
                      <a:avLst/>
                    </a:prstGeom>
                    <a:noFill/>
                    <a:ln w="9525">
                      <a:noFill/>
                      <a:miter lim="800000"/>
                      <a:headEnd/>
                      <a:tailEnd/>
                    </a:ln>
                  </pic:spPr>
                </pic:pic>
              </a:graphicData>
            </a:graphic>
          </wp:inline>
        </w:drawing>
      </w:r>
    </w:p>
    <w:p w:rsidR="006A0198" w:rsidRPr="00D637A6" w:rsidRDefault="006A0198" w:rsidP="002E311E">
      <w:pPr>
        <w:pBdr>
          <w:top w:val="nil"/>
          <w:left w:val="nil"/>
          <w:bottom w:val="nil"/>
          <w:right w:val="nil"/>
          <w:between w:val="nil"/>
        </w:pBdr>
        <w:ind w:left="851" w:right="851"/>
        <w:outlineLvl w:val="0"/>
        <w:rPr>
          <w:rFonts w:asciiTheme="majorHAnsi" w:eastAsia="Calibri" w:hAnsiTheme="majorHAnsi" w:cstheme="majorHAnsi"/>
          <w:color w:val="000000"/>
          <w:sz w:val="21"/>
          <w:szCs w:val="21"/>
        </w:rPr>
      </w:pPr>
      <w:r w:rsidRPr="00D637A6">
        <w:rPr>
          <w:rFonts w:asciiTheme="majorHAnsi" w:eastAsia="Calibri" w:hAnsiTheme="majorHAnsi" w:cstheme="majorHAnsi"/>
          <w:color w:val="000000"/>
          <w:sz w:val="18"/>
          <w:szCs w:val="18"/>
        </w:rPr>
        <w:t>Figure 3 Design of workflow pipeline</w:t>
      </w:r>
    </w:p>
    <w:p w:rsidR="002E311E" w:rsidRDefault="00896EBA" w:rsidP="002E311E">
      <w:pPr>
        <w:pBdr>
          <w:top w:val="nil"/>
          <w:left w:val="nil"/>
          <w:bottom w:val="nil"/>
          <w:right w:val="nil"/>
          <w:between w:val="nil"/>
        </w:pBdr>
        <w:ind w:firstLine="318"/>
        <w:rPr>
          <w:rFonts w:asciiTheme="majorHAnsi" w:eastAsia="Calibri" w:hAnsiTheme="majorHAnsi" w:cstheme="majorHAnsi"/>
          <w:color w:val="000000"/>
          <w:sz w:val="21"/>
          <w:szCs w:val="21"/>
          <w:lang w:val="en-US"/>
        </w:rPr>
      </w:pPr>
      <w:r w:rsidRPr="00896EBA">
        <w:rPr>
          <w:rFonts w:asciiTheme="majorHAnsi" w:eastAsia="Calibri" w:hAnsiTheme="majorHAnsi" w:cstheme="majorHAnsi"/>
          <w:color w:val="000000"/>
          <w:sz w:val="21"/>
          <w:szCs w:val="21"/>
          <w:lang w:val="en-US"/>
        </w:rPr>
        <w:t>In one scenario, Google Cloud environment is employed due to its provision of diverse tools facilitating simultaneous collaboration. Of particular significance is the integrated chat room feature, enabling real-time communication and swift resolution of data wrangling issues, thereby optimizing time efficiency. The offline functionality is invaluable in situations where researchers opt to work within a browser environment, mitigating the risk of data loss in the event of internet connectivity disruptions. Upon reconnecting to the internet, cloud files are automatically updated, ensuring seamless collaboration and synchronization of data across collaborators' files.</w:t>
      </w:r>
    </w:p>
    <w:p w:rsidR="00A00F22" w:rsidRDefault="00896EBA" w:rsidP="00A00F22">
      <w:pPr>
        <w:pBdr>
          <w:top w:val="nil"/>
          <w:left w:val="nil"/>
          <w:bottom w:val="nil"/>
          <w:right w:val="nil"/>
          <w:between w:val="nil"/>
        </w:pBdr>
        <w:ind w:firstLine="318"/>
        <w:rPr>
          <w:rFonts w:asciiTheme="majorHAnsi" w:eastAsia="Calibri" w:hAnsiTheme="majorHAnsi" w:cstheme="majorHAnsi"/>
          <w:color w:val="000000"/>
          <w:sz w:val="21"/>
          <w:szCs w:val="21"/>
          <w:lang w:val="en-US"/>
        </w:rPr>
      </w:pPr>
      <w:r w:rsidRPr="00896EBA">
        <w:rPr>
          <w:rFonts w:asciiTheme="majorHAnsi" w:eastAsia="Calibri" w:hAnsiTheme="majorHAnsi" w:cstheme="majorHAnsi"/>
          <w:color w:val="000000"/>
          <w:sz w:val="21"/>
          <w:szCs w:val="21"/>
          <w:lang w:val="en-US"/>
        </w:rPr>
        <w:t>Alternatively, researchers may opt for Open Office spreadsheets and/or locally saved databases on Dropbox. In this setup, researchers work with their respective local databases and subsequently import them into the web-based application.</w:t>
      </w:r>
    </w:p>
    <w:p w:rsidR="00A00F22" w:rsidRDefault="00896EBA" w:rsidP="00A00F22">
      <w:pPr>
        <w:pBdr>
          <w:top w:val="nil"/>
          <w:left w:val="nil"/>
          <w:bottom w:val="nil"/>
          <w:right w:val="nil"/>
          <w:between w:val="nil"/>
        </w:pBdr>
        <w:ind w:firstLine="318"/>
        <w:rPr>
          <w:rFonts w:asciiTheme="majorHAnsi" w:eastAsia="Calibri" w:hAnsiTheme="majorHAnsi" w:cstheme="majorHAnsi"/>
          <w:color w:val="000000"/>
          <w:sz w:val="21"/>
          <w:szCs w:val="21"/>
          <w:lang w:val="en-US"/>
        </w:rPr>
      </w:pPr>
      <w:r w:rsidRPr="00896EBA">
        <w:rPr>
          <w:rFonts w:asciiTheme="majorHAnsi" w:eastAsia="Calibri" w:hAnsiTheme="majorHAnsi" w:cstheme="majorHAnsi"/>
          <w:color w:val="000000"/>
          <w:sz w:val="21"/>
          <w:szCs w:val="21"/>
          <w:lang w:val="en-US"/>
        </w:rPr>
        <w:t>For researchers desiring bespoke cloud services</w:t>
      </w:r>
      <w:r w:rsidRPr="00962FA4">
        <w:rPr>
          <w:rFonts w:asciiTheme="majorHAnsi" w:eastAsia="Calibri" w:hAnsiTheme="majorHAnsi" w:cstheme="majorHAnsi"/>
          <w:color w:val="000000"/>
          <w:sz w:val="21"/>
          <w:szCs w:val="21"/>
          <w:lang w:val="en-US"/>
        </w:rPr>
        <w:t>, the option exists to leverage open-source technologies underlying cloud server environments such as ~okeanos</w:t>
      </w:r>
      <w:r w:rsidR="00471EAF" w:rsidRPr="00962FA4">
        <w:rPr>
          <w:rFonts w:asciiTheme="majorHAnsi" w:eastAsia="Calibri" w:hAnsiTheme="majorHAnsi" w:cstheme="majorHAnsi"/>
          <w:color w:val="000000"/>
          <w:sz w:val="21"/>
          <w:szCs w:val="21"/>
          <w:lang w:val="en-US"/>
        </w:rPr>
        <w:t xml:space="preserve"> (https://okeanos.grnet.gr/)</w:t>
      </w:r>
      <w:r w:rsidRPr="00962FA4">
        <w:rPr>
          <w:rFonts w:asciiTheme="majorHAnsi" w:eastAsia="Calibri" w:hAnsiTheme="majorHAnsi" w:cstheme="majorHAnsi"/>
          <w:color w:val="000000"/>
          <w:sz w:val="21"/>
          <w:szCs w:val="21"/>
          <w:lang w:val="en-US"/>
        </w:rPr>
        <w:t>.</w:t>
      </w:r>
      <w:r w:rsidR="0086646B" w:rsidRPr="00962FA4">
        <w:rPr>
          <w:rFonts w:asciiTheme="majorHAnsi" w:eastAsia="Calibri" w:hAnsiTheme="majorHAnsi" w:cstheme="majorHAnsi"/>
          <w:color w:val="000000"/>
          <w:sz w:val="21"/>
          <w:szCs w:val="21"/>
          <w:lang w:val="en-US"/>
        </w:rPr>
        <w:t xml:space="preserve"> </w:t>
      </w:r>
      <w:r w:rsidR="00471EAF" w:rsidRPr="00962FA4">
        <w:rPr>
          <w:rFonts w:asciiTheme="majorHAnsi" w:eastAsia="Calibri" w:hAnsiTheme="majorHAnsi" w:cstheme="majorHAnsi"/>
          <w:color w:val="000000"/>
          <w:sz w:val="21"/>
          <w:szCs w:val="21"/>
          <w:lang w:val="en-US"/>
        </w:rPr>
        <w:t xml:space="preserve">These “Infrastructures as a Service” (IaaS) can </w:t>
      </w:r>
      <w:r w:rsidR="0086646B" w:rsidRPr="00962FA4">
        <w:rPr>
          <w:rFonts w:asciiTheme="majorHAnsi" w:eastAsia="Calibri" w:hAnsiTheme="majorHAnsi" w:cstheme="majorHAnsi"/>
          <w:color w:val="000000"/>
          <w:sz w:val="21"/>
          <w:szCs w:val="21"/>
          <w:lang w:val="en-US"/>
        </w:rPr>
        <w:t>facilitate even further the online data collection in case</w:t>
      </w:r>
      <w:r w:rsidR="00962FA4">
        <w:rPr>
          <w:rFonts w:asciiTheme="majorHAnsi" w:eastAsia="Calibri" w:hAnsiTheme="majorHAnsi" w:cstheme="majorHAnsi"/>
          <w:color w:val="000000"/>
          <w:sz w:val="21"/>
          <w:szCs w:val="21"/>
          <w:lang w:val="en-US"/>
        </w:rPr>
        <w:t>s</w:t>
      </w:r>
      <w:r w:rsidR="0086646B" w:rsidRPr="00962FA4">
        <w:rPr>
          <w:rFonts w:asciiTheme="majorHAnsi" w:eastAsia="Calibri" w:hAnsiTheme="majorHAnsi" w:cstheme="majorHAnsi"/>
          <w:color w:val="000000"/>
          <w:sz w:val="21"/>
          <w:szCs w:val="21"/>
          <w:lang w:val="en-US"/>
        </w:rPr>
        <w:t xml:space="preserve"> of remote research teams and collaborators.</w:t>
      </w:r>
    </w:p>
    <w:p w:rsidR="00896EBA" w:rsidRPr="00D439CD" w:rsidRDefault="00A00F22" w:rsidP="00A00F22">
      <w:pPr>
        <w:pBdr>
          <w:top w:val="nil"/>
          <w:left w:val="nil"/>
          <w:bottom w:val="nil"/>
          <w:right w:val="nil"/>
          <w:between w:val="nil"/>
        </w:pBdr>
        <w:ind w:firstLine="318"/>
        <w:rPr>
          <w:rFonts w:asciiTheme="majorHAnsi" w:eastAsia="Calibri" w:hAnsiTheme="majorHAnsi" w:cstheme="majorHAnsi"/>
          <w:color w:val="000000"/>
          <w:sz w:val="21"/>
          <w:szCs w:val="21"/>
        </w:rPr>
      </w:pPr>
      <w:r>
        <w:rPr>
          <w:rFonts w:asciiTheme="majorHAnsi" w:eastAsia="Calibri" w:hAnsiTheme="majorHAnsi" w:cstheme="majorHAnsi"/>
          <w:color w:val="000000"/>
          <w:sz w:val="21"/>
          <w:szCs w:val="21"/>
          <w:lang w:val="en-US"/>
        </w:rPr>
        <w:t>After the decision is made</w:t>
      </w:r>
      <w:r w:rsidR="00962FA4">
        <w:rPr>
          <w:rFonts w:asciiTheme="majorHAnsi" w:eastAsia="Calibri" w:hAnsiTheme="majorHAnsi" w:cstheme="majorHAnsi"/>
          <w:color w:val="000000"/>
          <w:sz w:val="21"/>
          <w:szCs w:val="21"/>
          <w:lang w:val="en-US"/>
        </w:rPr>
        <w:t>, the researchers</w:t>
      </w:r>
      <w:r>
        <w:rPr>
          <w:rFonts w:asciiTheme="majorHAnsi" w:eastAsia="Calibri" w:hAnsiTheme="majorHAnsi" w:cstheme="majorHAnsi"/>
          <w:color w:val="000000"/>
          <w:sz w:val="21"/>
          <w:szCs w:val="21"/>
          <w:lang w:val="en-US"/>
        </w:rPr>
        <w:t xml:space="preserve"> </w:t>
      </w:r>
      <w:r w:rsidR="00D439CD">
        <w:rPr>
          <w:rFonts w:asciiTheme="majorHAnsi" w:eastAsia="Calibri" w:hAnsiTheme="majorHAnsi" w:cstheme="majorHAnsi"/>
          <w:color w:val="000000"/>
          <w:sz w:val="21"/>
          <w:szCs w:val="21"/>
          <w:lang w:val="en-US"/>
        </w:rPr>
        <w:t xml:space="preserve">start </w:t>
      </w:r>
      <w:r>
        <w:rPr>
          <w:rFonts w:asciiTheme="majorHAnsi" w:eastAsia="Calibri" w:hAnsiTheme="majorHAnsi" w:cstheme="majorHAnsi"/>
          <w:color w:val="000000"/>
          <w:sz w:val="21"/>
          <w:szCs w:val="21"/>
          <w:lang w:val="en-US"/>
        </w:rPr>
        <w:t>gather</w:t>
      </w:r>
      <w:r w:rsidR="00D439CD">
        <w:rPr>
          <w:rFonts w:asciiTheme="majorHAnsi" w:eastAsia="Calibri" w:hAnsiTheme="majorHAnsi" w:cstheme="majorHAnsi"/>
          <w:color w:val="000000"/>
          <w:sz w:val="21"/>
          <w:szCs w:val="21"/>
          <w:lang w:val="en-US"/>
        </w:rPr>
        <w:t>ing the</w:t>
      </w:r>
      <w:r>
        <w:rPr>
          <w:rFonts w:asciiTheme="majorHAnsi" w:eastAsia="Calibri" w:hAnsiTheme="majorHAnsi" w:cstheme="majorHAnsi"/>
          <w:color w:val="000000"/>
          <w:sz w:val="21"/>
          <w:szCs w:val="21"/>
          <w:lang w:val="en-US"/>
        </w:rPr>
        <w:t xml:space="preserve"> data including demographic information, pathological indic</w:t>
      </w:r>
      <w:r w:rsidR="008A5D31">
        <w:rPr>
          <w:rFonts w:asciiTheme="majorHAnsi" w:eastAsia="Calibri" w:hAnsiTheme="majorHAnsi" w:cstheme="majorHAnsi"/>
          <w:color w:val="000000"/>
          <w:sz w:val="21"/>
          <w:szCs w:val="21"/>
          <w:lang w:val="en-US"/>
        </w:rPr>
        <w:t>es</w:t>
      </w:r>
      <w:r>
        <w:rPr>
          <w:rFonts w:asciiTheme="majorHAnsi" w:eastAsia="Calibri" w:hAnsiTheme="majorHAnsi" w:cstheme="majorHAnsi"/>
          <w:color w:val="000000"/>
          <w:sz w:val="21"/>
          <w:szCs w:val="21"/>
          <w:lang w:val="en-US"/>
        </w:rPr>
        <w:t>, osteometric measurements</w:t>
      </w:r>
      <w:r w:rsidR="00D439CD">
        <w:rPr>
          <w:rFonts w:asciiTheme="majorHAnsi" w:eastAsia="Calibri" w:hAnsiTheme="majorHAnsi" w:cstheme="majorHAnsi"/>
          <w:color w:val="000000"/>
          <w:sz w:val="21"/>
          <w:szCs w:val="21"/>
        </w:rPr>
        <w:t xml:space="preserve">, stable isotope and ancDNA </w:t>
      </w:r>
      <w:r w:rsidR="00962FA4">
        <w:rPr>
          <w:rFonts w:asciiTheme="majorHAnsi" w:eastAsia="Calibri" w:hAnsiTheme="majorHAnsi" w:cstheme="majorHAnsi"/>
          <w:color w:val="000000"/>
          <w:sz w:val="21"/>
          <w:szCs w:val="21"/>
        </w:rPr>
        <w:t>samples</w:t>
      </w:r>
      <w:r w:rsidR="00D439CD">
        <w:rPr>
          <w:rFonts w:asciiTheme="majorHAnsi" w:eastAsia="Calibri" w:hAnsiTheme="majorHAnsi" w:cstheme="majorHAnsi"/>
          <w:color w:val="000000"/>
          <w:sz w:val="21"/>
          <w:szCs w:val="21"/>
        </w:rPr>
        <w:t xml:space="preserve">. </w:t>
      </w:r>
    </w:p>
    <w:p w:rsidR="00A00F22" w:rsidRDefault="00A00F22" w:rsidP="002E311E">
      <w:pPr>
        <w:keepNext/>
        <w:pBdr>
          <w:top w:val="nil"/>
          <w:left w:val="nil"/>
          <w:bottom w:val="nil"/>
          <w:right w:val="nil"/>
          <w:between w:val="nil"/>
        </w:pBdr>
        <w:outlineLvl w:val="0"/>
        <w:rPr>
          <w:rFonts w:asciiTheme="majorHAnsi" w:eastAsia="Calibri" w:hAnsiTheme="majorHAnsi" w:cstheme="majorHAnsi"/>
          <w:b/>
          <w:color w:val="000000"/>
          <w:sz w:val="21"/>
          <w:szCs w:val="21"/>
        </w:rPr>
      </w:pPr>
    </w:p>
    <w:p w:rsidR="00896EBA" w:rsidRPr="00D637A6" w:rsidRDefault="00896EBA" w:rsidP="002E311E">
      <w:pPr>
        <w:keepNext/>
        <w:pBdr>
          <w:top w:val="nil"/>
          <w:left w:val="nil"/>
          <w:bottom w:val="nil"/>
          <w:right w:val="nil"/>
          <w:between w:val="nil"/>
        </w:pBdr>
        <w:outlineLvl w:val="0"/>
        <w:rPr>
          <w:rFonts w:asciiTheme="majorHAnsi" w:eastAsia="Calibri" w:hAnsiTheme="majorHAnsi" w:cstheme="majorHAnsi"/>
          <w:b/>
          <w:color w:val="000000"/>
          <w:sz w:val="21"/>
          <w:szCs w:val="21"/>
        </w:rPr>
      </w:pPr>
      <w:r w:rsidRPr="00D637A6">
        <w:rPr>
          <w:rFonts w:asciiTheme="majorHAnsi" w:eastAsia="Calibri" w:hAnsiTheme="majorHAnsi" w:cstheme="majorHAnsi"/>
          <w:b/>
          <w:color w:val="000000"/>
          <w:sz w:val="21"/>
          <w:szCs w:val="21"/>
        </w:rPr>
        <w:t>Importing and Tidying Datasets</w:t>
      </w:r>
    </w:p>
    <w:p w:rsidR="00896EBA" w:rsidRDefault="00896EBA" w:rsidP="002E311E">
      <w:pPr>
        <w:pBdr>
          <w:top w:val="nil"/>
          <w:left w:val="nil"/>
          <w:bottom w:val="nil"/>
          <w:right w:val="nil"/>
          <w:between w:val="nil"/>
        </w:pBdr>
        <w:ind w:firstLine="318"/>
        <w:rPr>
          <w:rFonts w:asciiTheme="majorHAnsi" w:eastAsia="Calibri" w:hAnsiTheme="majorHAnsi" w:cstheme="majorHAnsi"/>
          <w:color w:val="000000"/>
          <w:sz w:val="21"/>
          <w:szCs w:val="21"/>
          <w:lang w:val="en-US"/>
        </w:rPr>
      </w:pPr>
      <w:r w:rsidRPr="00896EBA">
        <w:rPr>
          <w:rFonts w:asciiTheme="majorHAnsi" w:eastAsia="Calibri" w:hAnsiTheme="majorHAnsi" w:cstheme="majorHAnsi"/>
          <w:color w:val="000000"/>
          <w:sz w:val="21"/>
          <w:szCs w:val="21"/>
          <w:lang w:val="en-US"/>
        </w:rPr>
        <w:t xml:space="preserve">Datasets are uploaded onto the web-based application via drag-and-drop or local upload mechanisms. The application facilitates data table amalgamation while allowing for specific </w:t>
      </w:r>
      <w:r>
        <w:rPr>
          <w:rFonts w:asciiTheme="majorHAnsi" w:eastAsia="Calibri" w:hAnsiTheme="majorHAnsi" w:cstheme="majorHAnsi"/>
          <w:color w:val="000000"/>
          <w:sz w:val="21"/>
          <w:szCs w:val="21"/>
          <w:lang w:val="en-US"/>
        </w:rPr>
        <w:t>standardization and data cleaning techniques</w:t>
      </w:r>
      <w:r w:rsidRPr="00896EBA">
        <w:rPr>
          <w:rFonts w:asciiTheme="majorHAnsi" w:eastAsia="Calibri" w:hAnsiTheme="majorHAnsi" w:cstheme="majorHAnsi"/>
          <w:color w:val="000000"/>
          <w:sz w:val="21"/>
          <w:szCs w:val="21"/>
          <w:lang w:val="en-US"/>
        </w:rPr>
        <w:t xml:space="preserve"> such as NA omission and laterality determination for bilateral indices. Parameterization protocols adhere to standard statistical analysis methodologies derived from pertinent literature pertaining to the research domain. In our case study, parameterization is informed by literature on age estimation, sex determination, height estimation, dental pathology, and isotope analysis</w:t>
      </w:r>
      <w:r w:rsidR="00D67BB4">
        <w:rPr>
          <w:rStyle w:val="FootnoteReference"/>
          <w:rFonts w:asciiTheme="majorHAnsi" w:eastAsia="Calibri" w:hAnsiTheme="majorHAnsi" w:cstheme="majorHAnsi"/>
          <w:color w:val="000000"/>
          <w:sz w:val="21"/>
          <w:szCs w:val="21"/>
          <w:lang w:val="en-US"/>
        </w:rPr>
        <w:footnoteReference w:id="3"/>
      </w:r>
      <w:r w:rsidRPr="00896EBA">
        <w:rPr>
          <w:rFonts w:asciiTheme="majorHAnsi" w:eastAsia="Calibri" w:hAnsiTheme="majorHAnsi" w:cstheme="majorHAnsi"/>
          <w:color w:val="000000"/>
          <w:sz w:val="21"/>
          <w:szCs w:val="21"/>
          <w:lang w:val="en-US"/>
        </w:rPr>
        <w:t>.</w:t>
      </w:r>
    </w:p>
    <w:p w:rsidR="00D439CD" w:rsidRDefault="00D439CD" w:rsidP="00D439CD">
      <w:pPr>
        <w:pBdr>
          <w:top w:val="nil"/>
          <w:left w:val="nil"/>
          <w:bottom w:val="nil"/>
          <w:right w:val="nil"/>
          <w:between w:val="nil"/>
        </w:pBdr>
        <w:ind w:firstLine="318"/>
        <w:rPr>
          <w:rFonts w:asciiTheme="majorHAnsi" w:eastAsia="Calibri" w:hAnsiTheme="majorHAnsi" w:cstheme="majorHAnsi"/>
          <w:color w:val="000000"/>
          <w:sz w:val="21"/>
          <w:szCs w:val="21"/>
          <w:lang w:val="en-US"/>
        </w:rPr>
      </w:pPr>
      <w:r>
        <w:rPr>
          <w:rFonts w:asciiTheme="majorHAnsi" w:eastAsia="Calibri" w:hAnsiTheme="majorHAnsi" w:cstheme="majorHAnsi"/>
          <w:color w:val="000000"/>
          <w:sz w:val="21"/>
          <w:szCs w:val="21"/>
          <w:lang w:val="en-US"/>
        </w:rPr>
        <w:t>After thorough data cleaning is conducted, the data are</w:t>
      </w:r>
      <w:r w:rsidRPr="00D439CD">
        <w:rPr>
          <w:rFonts w:asciiTheme="majorHAnsi" w:eastAsia="Calibri" w:hAnsiTheme="majorHAnsi" w:cstheme="majorHAnsi"/>
          <w:color w:val="000000"/>
          <w:sz w:val="21"/>
          <w:szCs w:val="21"/>
          <w:lang w:val="en-US"/>
        </w:rPr>
        <w:t xml:space="preserve"> preprocess</w:t>
      </w:r>
      <w:r>
        <w:rPr>
          <w:rFonts w:asciiTheme="majorHAnsi" w:eastAsia="Calibri" w:hAnsiTheme="majorHAnsi" w:cstheme="majorHAnsi"/>
          <w:color w:val="000000"/>
          <w:sz w:val="21"/>
          <w:szCs w:val="21"/>
          <w:lang w:val="en-US"/>
        </w:rPr>
        <w:t>ed</w:t>
      </w:r>
      <w:r w:rsidRPr="00D439CD">
        <w:rPr>
          <w:rFonts w:asciiTheme="majorHAnsi" w:eastAsia="Calibri" w:hAnsiTheme="majorHAnsi" w:cstheme="majorHAnsi"/>
          <w:color w:val="000000"/>
          <w:sz w:val="21"/>
          <w:szCs w:val="21"/>
          <w:lang w:val="en-US"/>
        </w:rPr>
        <w:t xml:space="preserve"> to identify and rectify any errors, inconsistencies, or missing values in the datasets.</w:t>
      </w:r>
      <w:r>
        <w:rPr>
          <w:rFonts w:asciiTheme="majorHAnsi" w:eastAsia="Calibri" w:hAnsiTheme="majorHAnsi" w:cstheme="majorHAnsi"/>
          <w:color w:val="000000"/>
          <w:sz w:val="21"/>
          <w:szCs w:val="21"/>
          <w:lang w:val="en-US"/>
        </w:rPr>
        <w:t xml:space="preserve"> Q</w:t>
      </w:r>
      <w:r w:rsidRPr="00D439CD">
        <w:rPr>
          <w:rFonts w:asciiTheme="majorHAnsi" w:eastAsia="Calibri" w:hAnsiTheme="majorHAnsi" w:cstheme="majorHAnsi"/>
          <w:color w:val="000000"/>
          <w:sz w:val="21"/>
          <w:szCs w:val="21"/>
          <w:lang w:val="en-US"/>
        </w:rPr>
        <w:t>uality control</w:t>
      </w:r>
      <w:r>
        <w:rPr>
          <w:rFonts w:asciiTheme="majorHAnsi" w:eastAsia="Calibri" w:hAnsiTheme="majorHAnsi" w:cstheme="majorHAnsi"/>
          <w:color w:val="000000"/>
          <w:sz w:val="21"/>
          <w:szCs w:val="21"/>
          <w:lang w:val="en-US"/>
        </w:rPr>
        <w:t xml:space="preserve"> </w:t>
      </w:r>
      <w:r w:rsidRPr="00D439CD">
        <w:rPr>
          <w:rFonts w:asciiTheme="majorHAnsi" w:eastAsia="Calibri" w:hAnsiTheme="majorHAnsi" w:cstheme="majorHAnsi"/>
          <w:color w:val="000000"/>
          <w:sz w:val="21"/>
          <w:szCs w:val="21"/>
          <w:lang w:val="en-US"/>
        </w:rPr>
        <w:t>measures</w:t>
      </w:r>
      <w:r>
        <w:rPr>
          <w:rFonts w:asciiTheme="majorHAnsi" w:eastAsia="Calibri" w:hAnsiTheme="majorHAnsi" w:cstheme="majorHAnsi"/>
          <w:color w:val="000000"/>
          <w:sz w:val="21"/>
          <w:szCs w:val="21"/>
          <w:lang w:val="en-US"/>
        </w:rPr>
        <w:t xml:space="preserve"> are implemented</w:t>
      </w:r>
      <w:r w:rsidRPr="00D439CD">
        <w:rPr>
          <w:rFonts w:asciiTheme="majorHAnsi" w:eastAsia="Calibri" w:hAnsiTheme="majorHAnsi" w:cstheme="majorHAnsi"/>
          <w:color w:val="000000"/>
          <w:sz w:val="21"/>
          <w:szCs w:val="21"/>
          <w:lang w:val="en-US"/>
        </w:rPr>
        <w:t xml:space="preserve"> to assess the reliability and validity of the collected data, including checks for sample contamination, data outliers, and measurement errors</w:t>
      </w:r>
      <w:r w:rsidR="001C23BD">
        <w:rPr>
          <w:rFonts w:asciiTheme="majorHAnsi" w:eastAsia="Calibri" w:hAnsiTheme="majorHAnsi" w:cstheme="majorHAnsi"/>
          <w:color w:val="000000"/>
          <w:sz w:val="21"/>
          <w:szCs w:val="21"/>
          <w:lang w:val="en-US"/>
        </w:rPr>
        <w:t xml:space="preserve"> </w:t>
      </w:r>
      <w:r w:rsidR="001C23BD">
        <w:rPr>
          <w:rFonts w:asciiTheme="majorHAnsi" w:eastAsia="Calibri" w:hAnsiTheme="majorHAnsi" w:cstheme="majorHAnsi"/>
          <w:color w:val="000000"/>
          <w:sz w:val="21"/>
          <w:szCs w:val="21"/>
          <w:lang w:val="en-US"/>
        </w:rPr>
        <w:fldChar w:fldCharType="begin"/>
      </w:r>
      <w:r w:rsidR="001C23BD">
        <w:rPr>
          <w:rFonts w:asciiTheme="majorHAnsi" w:eastAsia="Calibri" w:hAnsiTheme="majorHAnsi" w:cstheme="majorHAnsi"/>
          <w:color w:val="000000"/>
          <w:sz w:val="21"/>
          <w:szCs w:val="21"/>
          <w:lang w:val="en-US"/>
        </w:rPr>
        <w:instrText xml:space="preserve"> ADDIN ZOTERO_ITEM CSL_CITATION {"citationID":"4x2Ju2bx","properties":{"formattedCitation":"(Sokal &amp; Rohlf, 2009; Baxter, 2012; Nikita, 2020)","plainCitation":"(Sokal &amp; Rohlf, 2009; Baxter, 2012; Nikita, 2020)","noteIndex":0},"citationItems":[{"id":21224,"uris":["http://zotero.org/users/859559/items/327DXHQH"],"itemData":{"id":21224,"type":"book","abstract":"This popular and critically acclaimed text for undergraduates concentrates on the practical applications of statistics to biology. Its offers sufficient detail to be coherent to students with a minimal background in mathematics. From descriptive statistics to fundamental distributions and testing of hypotheses, it provides many worked-out problems and examples","call-number":"QH323.5 .S633 2009","edition":"2nd ed., Dover ed","event-place":"Mineola, N.Y","ISBN":"978-0-486-46961-4","note":"OCLC: ocn271647457","number-of-pages":"363","publisher":"Dover Publications","publisher-place":"Mineola, N.Y","source":"Library of Congress ISBN","title":"Introduction to biostatistics","author":[{"family":"Sokal","given":"Robert R."},{"family":"Rohlf","given":"F. James"}],"issued":{"date-parts":[["2009"]]},"citation-key":"sokal_introduction_2009"}},{"id":508,"uris":["http://zotero.org/users/859559/items/38SRP6TA"],"itemData":{"id":508,"type":"book","abstract":"R-chaeology","title":"R-chaeology","URL":"https://www.academia.edu/3380479/R-chaeology","author":[{"family":"Baxter","given":"Mike"}],"accessed":{"date-parts":[["2015",1,5]]},"issued":{"date-parts":[["2012"]]},"citation-key":"baxter_r-chaeology_2012"}},{"id":20883,"uris":["http://zotero.org/users/859559/items/WP4227NK"],"itemData":{"id":20883,"type":"book","abstract":"The emphasis of the current guide is on ‘Applied Statistics’. This means that even though the mathematical principles of different statistical methods are briefly described, the key aim is to make sure the reader understands what kind of data is","language":"en","note":"container-title: INTRODUCTION TO STATISTICS USING R","source":"www.academia.edu","title":"INTRODUCTION TO STATISTICS USING R","URL":"https://www.academia.edu/43124751/INTRODUCTION_TO_STATISTICS_USING_R","author":[{"family":"Nikita","given":"Efthymia"}],"accessed":{"date-parts":[["2020",8,6]]},"issued":{"date-parts":[["2020"]]},"citation-key":"nikita_introduction_2020"}}],"schema":"https://github.com/citation-style-language/schema/raw/master/csl-citation.json"} </w:instrText>
      </w:r>
      <w:r w:rsidR="001C23BD">
        <w:rPr>
          <w:rFonts w:asciiTheme="majorHAnsi" w:eastAsia="Calibri" w:hAnsiTheme="majorHAnsi" w:cstheme="majorHAnsi"/>
          <w:color w:val="000000"/>
          <w:sz w:val="21"/>
          <w:szCs w:val="21"/>
          <w:lang w:val="en-US"/>
        </w:rPr>
        <w:fldChar w:fldCharType="separate"/>
      </w:r>
      <w:r w:rsidR="001C23BD" w:rsidRPr="001C23BD">
        <w:rPr>
          <w:rFonts w:ascii="Calibri" w:eastAsia="Calibri" w:hAnsi="Calibri" w:cs="Calibri"/>
          <w:sz w:val="21"/>
        </w:rPr>
        <w:t>(Sokal &amp; Rohlf, 2009; Baxter, 2012; Nikita, 2020)</w:t>
      </w:r>
      <w:r w:rsidR="001C23BD">
        <w:rPr>
          <w:rFonts w:asciiTheme="majorHAnsi" w:eastAsia="Calibri" w:hAnsiTheme="majorHAnsi" w:cstheme="majorHAnsi"/>
          <w:color w:val="000000"/>
          <w:sz w:val="21"/>
          <w:szCs w:val="21"/>
          <w:lang w:val="en-US"/>
        </w:rPr>
        <w:fldChar w:fldCharType="end"/>
      </w:r>
      <w:r w:rsidR="001C23BD">
        <w:rPr>
          <w:rFonts w:asciiTheme="majorHAnsi" w:eastAsia="Calibri" w:hAnsiTheme="majorHAnsi" w:cstheme="majorHAnsi"/>
          <w:color w:val="000000"/>
          <w:sz w:val="21"/>
          <w:szCs w:val="21"/>
          <w:lang w:val="en-US"/>
        </w:rPr>
        <w:t>.</w:t>
      </w:r>
    </w:p>
    <w:p w:rsidR="008A5D31" w:rsidRPr="00896EBA" w:rsidRDefault="008A5D31" w:rsidP="00D439CD">
      <w:pPr>
        <w:pBdr>
          <w:top w:val="nil"/>
          <w:left w:val="nil"/>
          <w:bottom w:val="nil"/>
          <w:right w:val="nil"/>
          <w:between w:val="nil"/>
        </w:pBdr>
        <w:ind w:firstLine="318"/>
        <w:rPr>
          <w:rFonts w:asciiTheme="majorHAnsi" w:eastAsia="Calibri" w:hAnsiTheme="majorHAnsi" w:cstheme="majorHAnsi"/>
          <w:color w:val="000000"/>
          <w:sz w:val="21"/>
          <w:szCs w:val="21"/>
          <w:lang w:val="en-US"/>
        </w:rPr>
      </w:pPr>
    </w:p>
    <w:p w:rsidR="006A0198" w:rsidRPr="00D637A6" w:rsidRDefault="006A0198" w:rsidP="002E311E">
      <w:pPr>
        <w:keepNext/>
        <w:pBdr>
          <w:top w:val="nil"/>
          <w:left w:val="nil"/>
          <w:bottom w:val="nil"/>
          <w:right w:val="nil"/>
          <w:between w:val="nil"/>
        </w:pBdr>
        <w:outlineLvl w:val="0"/>
        <w:rPr>
          <w:rFonts w:asciiTheme="majorHAnsi" w:eastAsia="Calibri" w:hAnsiTheme="majorHAnsi" w:cstheme="majorHAnsi"/>
          <w:b/>
          <w:color w:val="000000"/>
          <w:sz w:val="21"/>
          <w:szCs w:val="21"/>
        </w:rPr>
      </w:pPr>
      <w:r w:rsidRPr="00D637A6">
        <w:rPr>
          <w:rFonts w:asciiTheme="majorHAnsi" w:eastAsia="Calibri" w:hAnsiTheme="majorHAnsi" w:cstheme="majorHAnsi"/>
          <w:b/>
          <w:color w:val="000000"/>
          <w:sz w:val="21"/>
          <w:szCs w:val="21"/>
        </w:rPr>
        <w:t>Analyses and Publication</w:t>
      </w:r>
    </w:p>
    <w:p w:rsidR="008A5D31" w:rsidRPr="00896EBA" w:rsidRDefault="00896EBA" w:rsidP="002E311E">
      <w:pPr>
        <w:pBdr>
          <w:top w:val="nil"/>
          <w:left w:val="nil"/>
          <w:bottom w:val="nil"/>
          <w:right w:val="nil"/>
          <w:between w:val="nil"/>
        </w:pBdr>
        <w:ind w:firstLine="318"/>
        <w:rPr>
          <w:rFonts w:asciiTheme="majorHAnsi" w:eastAsia="Calibri" w:hAnsiTheme="majorHAnsi" w:cstheme="majorHAnsi"/>
          <w:color w:val="000000"/>
          <w:sz w:val="21"/>
          <w:szCs w:val="21"/>
          <w:lang w:val="en-US"/>
        </w:rPr>
      </w:pPr>
      <w:r w:rsidRPr="00896EBA">
        <w:rPr>
          <w:rFonts w:asciiTheme="majorHAnsi" w:eastAsia="Calibri" w:hAnsiTheme="majorHAnsi" w:cstheme="majorHAnsi"/>
          <w:color w:val="000000"/>
          <w:sz w:val="21"/>
          <w:szCs w:val="21"/>
          <w:lang w:val="en-US"/>
        </w:rPr>
        <w:t>Following parameter definition, the application generates descriptive tables and correlation plots. Subsequently, researchers engage in result discussions and formulate conclusions that inform the formulation of new research inquiries.</w:t>
      </w:r>
      <w:r w:rsidR="008A5D31">
        <w:rPr>
          <w:rFonts w:asciiTheme="majorHAnsi" w:eastAsia="Calibri" w:hAnsiTheme="majorHAnsi" w:cstheme="majorHAnsi"/>
          <w:color w:val="000000"/>
          <w:sz w:val="21"/>
          <w:szCs w:val="21"/>
          <w:lang w:val="en-US"/>
        </w:rPr>
        <w:t xml:space="preserve"> Relevant features and variables from both osteological and biochemical datasets are identified during this process in order to address the research questions and/or hypotheses.</w:t>
      </w:r>
      <w:r w:rsidR="00BD7908">
        <w:rPr>
          <w:rFonts w:asciiTheme="majorHAnsi" w:eastAsia="Calibri" w:hAnsiTheme="majorHAnsi" w:cstheme="majorHAnsi"/>
          <w:color w:val="000000"/>
          <w:sz w:val="21"/>
          <w:szCs w:val="21"/>
          <w:lang w:val="en-US"/>
        </w:rPr>
        <w:t xml:space="preserve"> Statistical analyses explore the</w:t>
      </w:r>
      <w:r w:rsidR="008A5D31">
        <w:rPr>
          <w:rFonts w:asciiTheme="majorHAnsi" w:eastAsia="Calibri" w:hAnsiTheme="majorHAnsi" w:cstheme="majorHAnsi"/>
          <w:color w:val="000000"/>
          <w:sz w:val="21"/>
          <w:szCs w:val="21"/>
          <w:lang w:val="en-US"/>
        </w:rPr>
        <w:t xml:space="preserve"> relationships among osteological and biochemical variables</w:t>
      </w:r>
      <w:r w:rsidR="00BD7908">
        <w:rPr>
          <w:rFonts w:asciiTheme="majorHAnsi" w:eastAsia="Calibri" w:hAnsiTheme="majorHAnsi" w:cstheme="majorHAnsi"/>
          <w:color w:val="000000"/>
          <w:sz w:val="21"/>
          <w:szCs w:val="21"/>
          <w:lang w:val="en-US"/>
        </w:rPr>
        <w:t xml:space="preserve"> and the findings are further interpreted by researchers so that implicit biological or social mechanisms can be discovered</w:t>
      </w:r>
      <w:r w:rsidR="001C23BD">
        <w:rPr>
          <w:rFonts w:asciiTheme="majorHAnsi" w:eastAsia="Calibri" w:hAnsiTheme="majorHAnsi" w:cstheme="majorHAnsi"/>
          <w:color w:val="000000"/>
          <w:sz w:val="21"/>
          <w:szCs w:val="21"/>
          <w:lang w:val="en-US"/>
        </w:rPr>
        <w:t xml:space="preserve"> </w:t>
      </w:r>
      <w:r w:rsidR="001C23BD">
        <w:rPr>
          <w:rFonts w:asciiTheme="majorHAnsi" w:eastAsia="Calibri" w:hAnsiTheme="majorHAnsi" w:cstheme="majorHAnsi"/>
          <w:color w:val="000000"/>
          <w:sz w:val="21"/>
          <w:szCs w:val="21"/>
          <w:lang w:val="en-US"/>
        </w:rPr>
        <w:fldChar w:fldCharType="begin"/>
      </w:r>
      <w:r w:rsidR="001C23BD">
        <w:rPr>
          <w:rFonts w:asciiTheme="majorHAnsi" w:eastAsia="Calibri" w:hAnsiTheme="majorHAnsi" w:cstheme="majorHAnsi"/>
          <w:color w:val="000000"/>
          <w:sz w:val="21"/>
          <w:szCs w:val="21"/>
          <w:lang w:val="en-US"/>
        </w:rPr>
        <w:instrText xml:space="preserve"> ADDIN ZOTERO_ITEM CSL_CITATION {"citationID":"DbUgNctd","properties":{"formattedCitation":"(Reitsema &amp; McIlvaine, 2014; Kyle et al., 2020)","plainCitation":"(Reitsema &amp; McIlvaine, 2014; Kyle et al., 2020)","noteIndex":0},"citationItems":[{"id":23151,"uris":["http://zotero.org/users/859559/items/TICX9VQ9"],"itemData":{"id":23151,"type":"article-journal","abstract":"The concepts of “stress” and “health” are foundational in physical anthropology as guidelines for interpreting human behavior and biocultural adaptation in the past and present. Though related, stress and health are not coterminous, and while the term “health” encompasses some aspects of “stress,” health refers to a more holistic condition beyond just physiological disruption, and is of considerable significance in contributing to anthropologists' understanding of humanity's lived experiences. Bioarchaeological interpretations of human health generally are made from datasets consisting of skeletal markers of stress, markers that result from (chronic) physiological disruption (e.g., porotic hyperostosis; linear enamel hypoplasia). Non-specific indicators of stress may measure episodes of stress and indicate that infection, disease, or nutritional deficiencies were present in a population, but in assessing these markers, bioarchaeologists are not measuring “health” in the same way as are human biologists, medical anthropologists, or primatologists. Rather than continue to diverge on separate (albeit parallel) trajectories, bioarchaeologists are advised to pursue interlinkages with other subfields within physical anthropology toward bridging “stress” and “health.” The papers in this special symposium set include bioarchaeologists, human biologists, molecular anthropologists, and primatologists whose research develops this link between the concepts of “stress” and “health,” encouraging new avenues for bioarchaeologists to consider and reconsider health in past human populations. Am J Phys Anthropol 155:181–185, 2014. © 2014 Wiley Periodicals, Inc.","container-title":"American Journal of Physical Anthropology","DOI":"10.1002/ajpa.22596","ISSN":"1096-8644","issue":"2","language":"en","note":"_eprint: https://onlinelibrary.wiley.com/doi/pdf/10.1002/ajpa.22596","page":"181-185","source":"Wiley Online Library","title":"Reconciling “stress” and “health” in physical anthropology: What can bioarchaeologists learn from the other subdisciplines?","title-short":"Reconciling “stress” and “health” in physical anthropology","volume":"155","author":[{"family":"Reitsema","given":"Laurie J."},{"family":"McIlvaine","given":"Britney Kyle"}],"issued":{"date-parts":[["2014"]]},"citation-key":"reitsema_reconciling_2014"}},{"id":21530,"uris":["http://zotero.org/users/859559/items/7FZAWH28"],"itemData":{"id":21530,"type":"article-journal","abstract":"Objective\nWe test the hypothesis that physiological stress increased in response to increasing social turmoil following waves of colonization and social transition. The ways local conditions, including variation in geography, environment, and levels of urbanization impact physiological stress are also explored.\nMaterials\nIn Albania, the historic period is a sequence of different waves of colonization. Skeletal data come from three Albanian archaeological sites: Apollonia (n = 231), Durrës (n = 246), and Lofkënd (n = 129).\nMethods\nPrevalence of cribra orbitalia, porotic hyperostosis, linear enamel hypoplasia, and periosteal new bone formation are analyzed using chi-square and logistic regression tests.\nResults\nWe observe increased skeletal manifestations of physiological stress between prehistoric and historic groups, but physiological stress is generally consistent through time.\nConclusions\nGeneral increase in skeletal pathology between prehistoric and historic periods corresponds to broad increases in political unrest associated with colonization spanning the entire historic period. However, little difference in physiological stress across colonization episodes (Greek, Roman, Byzantine, Bulgarian, Ottoman) suggests skeletal health is affected similarly by colonization, regardless of particularities in method and type of colonial control.\nSignificance\nExamining human response to social change across broad time scales is useful in identifying broad patterns in the human experience.\nLimitations\nExploring variation across broad time scales and multiple sites is potentially problematic because confounding factors could impact results and interpretations.\nSuggestions for further research\nEnvironmental, social, and geographic differences, likely impacted the lives and lifestyles of individuals living in the past and should be explored further to understand the nuances in local response to colonization.","container-title":"International Journal of Paleopathology","DOI":"10.1016/j.ijpp.2020.06.003","ISSN":"1879-9817","journalAbbreviation":"International Journal of Paleopathology","language":"en","page":"118-129","source":"ScienceDirect","title":"Bioarchaeological reconstruction of physiological stress during social transition in Albania","volume":"30","author":[{"family":"Kyle","given":"Britney"},{"family":"Shehi","given":"Eduard"},{"family":"Koçi","given":"Marlon"},{"family":"Reitsema","given":"Laurie J."}],"issued":{"date-parts":[["2020",9,1]]},"citation-key":"kyle_bioarchaeological_2020"}}],"schema":"https://github.com/citation-style-language/schema/raw/master/csl-citation.json"} </w:instrText>
      </w:r>
      <w:r w:rsidR="001C23BD">
        <w:rPr>
          <w:rFonts w:asciiTheme="majorHAnsi" w:eastAsia="Calibri" w:hAnsiTheme="majorHAnsi" w:cstheme="majorHAnsi"/>
          <w:color w:val="000000"/>
          <w:sz w:val="21"/>
          <w:szCs w:val="21"/>
          <w:lang w:val="en-US"/>
        </w:rPr>
        <w:fldChar w:fldCharType="separate"/>
      </w:r>
      <w:r w:rsidR="001C23BD" w:rsidRPr="001C23BD">
        <w:rPr>
          <w:rFonts w:ascii="Calibri" w:eastAsia="Calibri" w:hAnsi="Calibri" w:cs="Calibri"/>
          <w:sz w:val="21"/>
        </w:rPr>
        <w:t>(Reitsema &amp; McIlvaine, 2014; Kyle et al., 2020)</w:t>
      </w:r>
      <w:r w:rsidR="001C23BD">
        <w:rPr>
          <w:rFonts w:asciiTheme="majorHAnsi" w:eastAsia="Calibri" w:hAnsiTheme="majorHAnsi" w:cstheme="majorHAnsi"/>
          <w:color w:val="000000"/>
          <w:sz w:val="21"/>
          <w:szCs w:val="21"/>
          <w:lang w:val="en-US"/>
        </w:rPr>
        <w:fldChar w:fldCharType="end"/>
      </w:r>
      <w:r w:rsidR="00BD7908">
        <w:rPr>
          <w:rFonts w:asciiTheme="majorHAnsi" w:eastAsia="Calibri" w:hAnsiTheme="majorHAnsi" w:cstheme="majorHAnsi"/>
          <w:color w:val="000000"/>
          <w:sz w:val="21"/>
          <w:szCs w:val="21"/>
          <w:lang w:val="en-US"/>
        </w:rPr>
        <w:t>.</w:t>
      </w:r>
    </w:p>
    <w:p w:rsidR="00896EBA" w:rsidRDefault="00896EBA" w:rsidP="002E311E">
      <w:pPr>
        <w:pBdr>
          <w:top w:val="nil"/>
          <w:left w:val="nil"/>
          <w:bottom w:val="nil"/>
          <w:right w:val="nil"/>
          <w:between w:val="nil"/>
        </w:pBdr>
        <w:ind w:firstLine="318"/>
        <w:rPr>
          <w:rFonts w:asciiTheme="majorHAnsi" w:eastAsia="Calibri" w:hAnsiTheme="majorHAnsi" w:cstheme="majorHAnsi"/>
          <w:color w:val="000000"/>
          <w:sz w:val="21"/>
          <w:szCs w:val="21"/>
          <w:lang w:val="en-US"/>
        </w:rPr>
      </w:pPr>
      <w:r w:rsidRPr="00896EBA">
        <w:rPr>
          <w:rFonts w:asciiTheme="majorHAnsi" w:eastAsia="Calibri" w:hAnsiTheme="majorHAnsi" w:cstheme="majorHAnsi"/>
          <w:color w:val="000000"/>
          <w:sz w:val="21"/>
          <w:szCs w:val="21"/>
          <w:lang w:val="en-US"/>
        </w:rPr>
        <w:t>The final step offers researchers the option to export results in a suitable publication format (e.g., CSV, PDF, HTML, DOC, PNG). Researchers are required to input requisite values as stipulated in the author guidelines. Initial tool iterations incorporate typical requirements such as DPI values, table/picture dimensions, and file formats. Future iterations are planned to accommodate additional specifications as necessitated by relevant author guidelines.</w:t>
      </w:r>
      <w:r w:rsidR="00C63347" w:rsidRPr="00C63347">
        <w:rPr>
          <w:rFonts w:asciiTheme="majorHAnsi" w:eastAsia="Calibri" w:hAnsiTheme="majorHAnsi" w:cstheme="majorHAnsi"/>
          <w:sz w:val="21"/>
          <w:szCs w:val="21"/>
        </w:rPr>
        <w:t xml:space="preserve"> </w:t>
      </w:r>
      <w:r w:rsidR="00C63347" w:rsidRPr="00C63347">
        <w:rPr>
          <w:rFonts w:asciiTheme="majorHAnsi" w:eastAsia="Calibri" w:hAnsiTheme="majorHAnsi" w:cstheme="majorHAnsi"/>
          <w:sz w:val="21"/>
          <w:szCs w:val="21"/>
          <w:highlight w:val="yellow"/>
        </w:rPr>
        <w:t>A preliminary draft of R script is provided in the following github repository</w:t>
      </w:r>
      <w:r w:rsidR="00C63347">
        <w:rPr>
          <w:rFonts w:asciiTheme="majorHAnsi" w:eastAsia="Calibri" w:hAnsiTheme="majorHAnsi" w:cstheme="majorHAnsi"/>
          <w:sz w:val="21"/>
          <w:szCs w:val="21"/>
        </w:rPr>
        <w:t xml:space="preserve"> as a partial sample of the aforementioned pipeline</w:t>
      </w:r>
      <w:r w:rsidR="0086646B">
        <w:rPr>
          <w:rFonts w:asciiTheme="majorHAnsi" w:eastAsia="Calibri" w:hAnsiTheme="majorHAnsi" w:cstheme="majorHAnsi"/>
          <w:sz w:val="21"/>
          <w:szCs w:val="21"/>
        </w:rPr>
        <w:t>.</w:t>
      </w:r>
    </w:p>
    <w:p w:rsidR="002E311E" w:rsidRDefault="002E311E" w:rsidP="002E311E">
      <w:pPr>
        <w:pBdr>
          <w:top w:val="nil"/>
          <w:left w:val="nil"/>
          <w:bottom w:val="nil"/>
          <w:right w:val="nil"/>
          <w:between w:val="nil"/>
        </w:pBdr>
        <w:ind w:firstLine="318"/>
        <w:rPr>
          <w:rFonts w:asciiTheme="majorHAnsi" w:eastAsia="Calibri" w:hAnsiTheme="majorHAnsi" w:cstheme="majorHAnsi"/>
          <w:color w:val="000000"/>
          <w:sz w:val="21"/>
          <w:szCs w:val="21"/>
        </w:rPr>
      </w:pPr>
    </w:p>
    <w:p w:rsidR="00066A52" w:rsidRPr="00D637A6" w:rsidRDefault="00AA07E7" w:rsidP="002E311E">
      <w:pPr>
        <w:keepNext/>
        <w:pBdr>
          <w:top w:val="nil"/>
          <w:left w:val="nil"/>
          <w:bottom w:val="nil"/>
          <w:right w:val="nil"/>
          <w:between w:val="nil"/>
        </w:pBdr>
        <w:jc w:val="center"/>
        <w:outlineLvl w:val="0"/>
        <w:rPr>
          <w:rFonts w:asciiTheme="majorHAnsi" w:eastAsia="Calibri" w:hAnsiTheme="majorHAnsi" w:cstheme="majorHAnsi"/>
          <w:b/>
          <w:color w:val="000000"/>
          <w:sz w:val="24"/>
          <w:szCs w:val="24"/>
        </w:rPr>
      </w:pPr>
      <w:bookmarkStart w:id="3" w:name="_1fob9te" w:colFirst="0" w:colLast="0"/>
      <w:bookmarkEnd w:id="3"/>
      <w:r w:rsidRPr="00D637A6">
        <w:rPr>
          <w:rFonts w:asciiTheme="majorHAnsi" w:eastAsia="Calibri" w:hAnsiTheme="majorHAnsi" w:cstheme="majorHAnsi"/>
          <w:b/>
          <w:color w:val="000000"/>
          <w:sz w:val="24"/>
          <w:szCs w:val="24"/>
        </w:rPr>
        <w:t>Discussion</w:t>
      </w:r>
    </w:p>
    <w:p w:rsidR="00C63347" w:rsidRDefault="00AA07E7" w:rsidP="002E311E">
      <w:pPr>
        <w:pBdr>
          <w:top w:val="nil"/>
          <w:left w:val="nil"/>
          <w:bottom w:val="nil"/>
          <w:right w:val="nil"/>
          <w:between w:val="nil"/>
        </w:pBdr>
        <w:ind w:firstLine="318"/>
        <w:rPr>
          <w:rFonts w:asciiTheme="majorHAnsi" w:eastAsia="Calibri" w:hAnsiTheme="majorHAnsi" w:cstheme="majorHAnsi"/>
          <w:color w:val="000000"/>
          <w:sz w:val="21"/>
          <w:szCs w:val="21"/>
        </w:rPr>
      </w:pPr>
      <w:r w:rsidRPr="00D637A6">
        <w:rPr>
          <w:rFonts w:asciiTheme="majorHAnsi" w:eastAsia="Calibri" w:hAnsiTheme="majorHAnsi" w:cstheme="majorHAnsi"/>
          <w:sz w:val="21"/>
          <w:szCs w:val="21"/>
        </w:rPr>
        <w:t>The study is still ongoing as part of the corresponding author's PhD studies and the discussed applications, codes and results are to be expected</w:t>
      </w:r>
      <w:r w:rsidR="00C63347">
        <w:rPr>
          <w:rFonts w:asciiTheme="majorHAnsi" w:eastAsia="Calibri" w:hAnsiTheme="majorHAnsi" w:cstheme="majorHAnsi"/>
          <w:sz w:val="21"/>
          <w:szCs w:val="21"/>
        </w:rPr>
        <w:t xml:space="preserve">. </w:t>
      </w:r>
      <w:r w:rsidRPr="00D637A6">
        <w:rPr>
          <w:rFonts w:asciiTheme="majorHAnsi" w:eastAsia="Calibri" w:hAnsiTheme="majorHAnsi" w:cstheme="majorHAnsi"/>
          <w:color w:val="000000"/>
          <w:sz w:val="21"/>
          <w:szCs w:val="21"/>
        </w:rPr>
        <w:t xml:space="preserve">The need to integrate archaeological data such as grave findings and burial datings in future studies </w:t>
      </w:r>
      <w:r w:rsidRPr="00D637A6">
        <w:rPr>
          <w:rFonts w:asciiTheme="majorHAnsi" w:eastAsia="Calibri" w:hAnsiTheme="majorHAnsi" w:cstheme="majorHAnsi"/>
          <w:sz w:val="21"/>
          <w:szCs w:val="21"/>
        </w:rPr>
        <w:t>ordained</w:t>
      </w:r>
      <w:r w:rsidRPr="00D637A6">
        <w:rPr>
          <w:rFonts w:asciiTheme="majorHAnsi" w:eastAsia="Calibri" w:hAnsiTheme="majorHAnsi" w:cstheme="majorHAnsi"/>
          <w:color w:val="000000"/>
          <w:sz w:val="21"/>
          <w:szCs w:val="21"/>
        </w:rPr>
        <w:t xml:space="preserve"> the study -from its initial stages already- to set an open framework for collecting data. Therefore, this methodology is considered adaptable to further implementations of research tools and integrations with “Little Minions in Archaeology” as introduced by the CAA community in 2018. </w:t>
      </w:r>
    </w:p>
    <w:p w:rsidR="00C63347" w:rsidRDefault="00C63347" w:rsidP="002E311E">
      <w:pPr>
        <w:pBdr>
          <w:top w:val="nil"/>
          <w:left w:val="nil"/>
          <w:bottom w:val="nil"/>
          <w:right w:val="nil"/>
          <w:between w:val="nil"/>
        </w:pBdr>
        <w:ind w:firstLine="318"/>
        <w:rPr>
          <w:rFonts w:asciiTheme="majorHAnsi" w:eastAsia="Calibri" w:hAnsiTheme="majorHAnsi" w:cstheme="majorHAnsi"/>
          <w:color w:val="000000"/>
          <w:sz w:val="21"/>
          <w:szCs w:val="21"/>
        </w:rPr>
      </w:pPr>
      <w:r w:rsidRPr="001C23BD">
        <w:rPr>
          <w:rFonts w:asciiTheme="majorHAnsi" w:eastAsia="Calibri" w:hAnsiTheme="majorHAnsi" w:cstheme="majorHAnsi"/>
          <w:color w:val="000000"/>
          <w:sz w:val="21"/>
          <w:szCs w:val="21"/>
        </w:rPr>
        <w:t xml:space="preserve">The use of </w:t>
      </w:r>
      <w:r w:rsidR="006F2DFC" w:rsidRPr="001C23BD">
        <w:rPr>
          <w:rFonts w:asciiTheme="majorHAnsi" w:eastAsia="Calibri" w:hAnsiTheme="majorHAnsi" w:cstheme="majorHAnsi"/>
          <w:color w:val="000000"/>
          <w:sz w:val="21"/>
          <w:szCs w:val="21"/>
        </w:rPr>
        <w:t xml:space="preserve">more powerful database tools –such as </w:t>
      </w:r>
      <w:r w:rsidR="001C23BD" w:rsidRPr="001C23BD">
        <w:rPr>
          <w:rFonts w:asciiTheme="majorHAnsi" w:eastAsia="Calibri" w:hAnsiTheme="majorHAnsi" w:cstheme="majorHAnsi"/>
          <w:color w:val="000000"/>
          <w:sz w:val="21"/>
          <w:szCs w:val="21"/>
        </w:rPr>
        <w:t xml:space="preserve">MySQL, </w:t>
      </w:r>
      <w:r w:rsidR="002D3261" w:rsidRPr="001C23BD">
        <w:rPr>
          <w:rFonts w:asciiTheme="majorHAnsi" w:eastAsia="Calibri" w:hAnsiTheme="majorHAnsi" w:cstheme="majorHAnsi"/>
          <w:color w:val="000000"/>
          <w:sz w:val="21"/>
          <w:szCs w:val="21"/>
        </w:rPr>
        <w:t>PostgreSQL</w:t>
      </w:r>
      <w:r w:rsidR="001C23BD" w:rsidRPr="001C23BD">
        <w:rPr>
          <w:rFonts w:asciiTheme="majorHAnsi" w:eastAsia="Calibri" w:hAnsiTheme="majorHAnsi" w:cstheme="majorHAnsi"/>
          <w:color w:val="000000"/>
          <w:sz w:val="21"/>
          <w:szCs w:val="21"/>
        </w:rPr>
        <w:t>, SqLite, MicrosoftSQL Server and Oracle Database</w:t>
      </w:r>
      <w:r w:rsidR="006F2DFC" w:rsidRPr="001C23BD">
        <w:rPr>
          <w:rFonts w:asciiTheme="majorHAnsi" w:eastAsia="Calibri" w:hAnsiTheme="majorHAnsi" w:cstheme="majorHAnsi"/>
          <w:color w:val="000000"/>
          <w:sz w:val="21"/>
          <w:szCs w:val="21"/>
        </w:rPr>
        <w:t>-</w:t>
      </w:r>
      <w:r w:rsidRPr="001C23BD">
        <w:rPr>
          <w:rFonts w:asciiTheme="majorHAnsi" w:eastAsia="Calibri" w:hAnsiTheme="majorHAnsi" w:cstheme="majorHAnsi"/>
          <w:color w:val="000000"/>
          <w:sz w:val="21"/>
          <w:szCs w:val="21"/>
        </w:rPr>
        <w:t xml:space="preserve"> </w:t>
      </w:r>
      <w:r w:rsidR="002D3261" w:rsidRPr="001C23BD">
        <w:rPr>
          <w:rFonts w:asciiTheme="majorHAnsi" w:eastAsia="Calibri" w:hAnsiTheme="majorHAnsi" w:cstheme="majorHAnsi"/>
          <w:color w:val="000000"/>
          <w:sz w:val="21"/>
          <w:szCs w:val="21"/>
        </w:rPr>
        <w:t>is</w:t>
      </w:r>
      <w:r w:rsidRPr="001C23BD">
        <w:rPr>
          <w:rFonts w:asciiTheme="majorHAnsi" w:eastAsia="Calibri" w:hAnsiTheme="majorHAnsi" w:cstheme="majorHAnsi"/>
          <w:color w:val="000000"/>
          <w:sz w:val="21"/>
          <w:szCs w:val="21"/>
        </w:rPr>
        <w:t xml:space="preserve"> also</w:t>
      </w:r>
      <w:r w:rsidR="002D3261" w:rsidRPr="001C23BD">
        <w:rPr>
          <w:rFonts w:asciiTheme="majorHAnsi" w:eastAsia="Calibri" w:hAnsiTheme="majorHAnsi" w:cstheme="majorHAnsi"/>
          <w:color w:val="000000"/>
          <w:sz w:val="21"/>
          <w:szCs w:val="21"/>
        </w:rPr>
        <w:t xml:space="preserve"> worth bringing </w:t>
      </w:r>
      <w:r w:rsidRPr="001C23BD">
        <w:rPr>
          <w:rFonts w:asciiTheme="majorHAnsi" w:eastAsia="Calibri" w:hAnsiTheme="majorHAnsi" w:cstheme="majorHAnsi"/>
          <w:color w:val="000000"/>
          <w:sz w:val="21"/>
          <w:szCs w:val="21"/>
        </w:rPr>
        <w:t xml:space="preserve">into discussion as </w:t>
      </w:r>
      <w:r w:rsidR="00D25904" w:rsidRPr="001C23BD">
        <w:rPr>
          <w:rFonts w:asciiTheme="majorHAnsi" w:eastAsia="Calibri" w:hAnsiTheme="majorHAnsi" w:cstheme="majorHAnsi"/>
          <w:color w:val="000000"/>
          <w:sz w:val="21"/>
          <w:szCs w:val="21"/>
        </w:rPr>
        <w:t xml:space="preserve">it can effectively enhance the </w:t>
      </w:r>
      <w:r w:rsidR="0086646B" w:rsidRPr="001C23BD">
        <w:rPr>
          <w:rFonts w:asciiTheme="majorHAnsi" w:eastAsia="Calibri" w:hAnsiTheme="majorHAnsi" w:cstheme="majorHAnsi"/>
          <w:color w:val="000000"/>
          <w:sz w:val="21"/>
          <w:szCs w:val="21"/>
        </w:rPr>
        <w:t>methodology of storing material and recording data.</w:t>
      </w:r>
      <w:r w:rsidR="006F2DFC">
        <w:rPr>
          <w:rFonts w:asciiTheme="majorHAnsi" w:eastAsia="Calibri" w:hAnsiTheme="majorHAnsi" w:cstheme="majorHAnsi"/>
          <w:color w:val="000000"/>
          <w:sz w:val="21"/>
          <w:szCs w:val="21"/>
        </w:rPr>
        <w:t xml:space="preserve"> However, these </w:t>
      </w:r>
      <w:r w:rsidR="002D3261">
        <w:rPr>
          <w:rFonts w:asciiTheme="majorHAnsi" w:eastAsia="Calibri" w:hAnsiTheme="majorHAnsi" w:cstheme="majorHAnsi"/>
          <w:color w:val="000000"/>
          <w:sz w:val="21"/>
          <w:szCs w:val="21"/>
        </w:rPr>
        <w:t>tools require a more sophisticated training for anthropologists and therefore can intimidate them before even starting to build their databases. On the other hand, t</w:t>
      </w:r>
      <w:r w:rsidR="006F2DFC">
        <w:rPr>
          <w:rFonts w:asciiTheme="majorHAnsi" w:eastAsia="Calibri" w:hAnsiTheme="majorHAnsi" w:cstheme="majorHAnsi"/>
          <w:color w:val="000000"/>
          <w:sz w:val="21"/>
          <w:szCs w:val="21"/>
        </w:rPr>
        <w:t xml:space="preserve">he use of R programming language </w:t>
      </w:r>
      <w:r w:rsidR="002D3261">
        <w:rPr>
          <w:rFonts w:asciiTheme="majorHAnsi" w:eastAsia="Calibri" w:hAnsiTheme="majorHAnsi" w:cstheme="majorHAnsi"/>
          <w:color w:val="000000"/>
          <w:sz w:val="21"/>
          <w:szCs w:val="21"/>
        </w:rPr>
        <w:t>is considered to be</w:t>
      </w:r>
      <w:r w:rsidR="006F2DFC">
        <w:rPr>
          <w:rFonts w:asciiTheme="majorHAnsi" w:eastAsia="Calibri" w:hAnsiTheme="majorHAnsi" w:cstheme="majorHAnsi"/>
          <w:color w:val="000000"/>
          <w:sz w:val="21"/>
          <w:szCs w:val="21"/>
        </w:rPr>
        <w:t xml:space="preserve"> the most appropriate tool for this line of work</w:t>
      </w:r>
      <w:r w:rsidR="002D3261">
        <w:rPr>
          <w:rFonts w:asciiTheme="majorHAnsi" w:eastAsia="Calibri" w:hAnsiTheme="majorHAnsi" w:cstheme="majorHAnsi"/>
          <w:color w:val="000000"/>
          <w:sz w:val="21"/>
          <w:szCs w:val="21"/>
        </w:rPr>
        <w:t xml:space="preserve"> as it is easier to learn and can handle the amount of data that anthropologist</w:t>
      </w:r>
      <w:r w:rsidR="001C23BD">
        <w:rPr>
          <w:rFonts w:asciiTheme="majorHAnsi" w:eastAsia="Calibri" w:hAnsiTheme="majorHAnsi" w:cstheme="majorHAnsi"/>
          <w:color w:val="000000"/>
          <w:sz w:val="21"/>
          <w:szCs w:val="21"/>
        </w:rPr>
        <w:t>s</w:t>
      </w:r>
      <w:r w:rsidR="002D3261">
        <w:rPr>
          <w:rFonts w:asciiTheme="majorHAnsi" w:eastAsia="Calibri" w:hAnsiTheme="majorHAnsi" w:cstheme="majorHAnsi"/>
          <w:color w:val="000000"/>
          <w:sz w:val="21"/>
          <w:szCs w:val="21"/>
        </w:rPr>
        <w:t xml:space="preserve"> are usually called to deal with </w:t>
      </w:r>
      <w:r w:rsidR="002D3261">
        <w:rPr>
          <w:rFonts w:asciiTheme="majorHAnsi" w:eastAsia="Calibri" w:hAnsiTheme="majorHAnsi" w:cstheme="majorHAnsi"/>
          <w:color w:val="000000"/>
          <w:sz w:val="21"/>
          <w:szCs w:val="21"/>
        </w:rPr>
        <w:fldChar w:fldCharType="begin"/>
      </w:r>
      <w:r w:rsidR="002D3261">
        <w:rPr>
          <w:rFonts w:asciiTheme="majorHAnsi" w:eastAsia="Calibri" w:hAnsiTheme="majorHAnsi" w:cstheme="majorHAnsi"/>
          <w:color w:val="000000"/>
          <w:sz w:val="21"/>
          <w:szCs w:val="21"/>
        </w:rPr>
        <w:instrText xml:space="preserve"> ADDIN ZOTERO_ITEM CSL_CITATION {"citationID":"7JS2Chz6","properties":{"formattedCitation":"(Adler, 2010)","plainCitation":"(Adler, 2010)","noteIndex":0},"citationItems":[{"id":28041,"uris":["http://zotero.org/users/859559/items/4DYNATXW"],"itemData":{"id":28041,"type":"book","abstract":"Presents a guide to the R computer language, covering such topics as the user interface, packages, syntax, objects, functions, object-oriented programming, data sets, lattice graphics, regression models, and bioconductor","call-number":"QA276.45.R3 A35 2010","edition":"1st ed","event-place":"Sebastopol, CA","ISBN":"978-0-596-80170-0","note":"OCLC: ocn432987461","number-of-pages":"611","publisher":"O'Reilly","publisher-place":"Sebastopol, CA","source":"Library of Congress ISBN","title":"R in a nutshell","author":[{"family":"Adler","given":"Joseph"}],"issued":{"date-parts":[["2010"]]},"citation-key":"adler_r_2010"}}],"schema":"https://github.com/citation-style-language/schema/raw/master/csl-citation.json"} </w:instrText>
      </w:r>
      <w:r w:rsidR="002D3261">
        <w:rPr>
          <w:rFonts w:asciiTheme="majorHAnsi" w:eastAsia="Calibri" w:hAnsiTheme="majorHAnsi" w:cstheme="majorHAnsi"/>
          <w:color w:val="000000"/>
          <w:sz w:val="21"/>
          <w:szCs w:val="21"/>
        </w:rPr>
        <w:fldChar w:fldCharType="separate"/>
      </w:r>
      <w:r w:rsidR="002D3261" w:rsidRPr="002D3261">
        <w:rPr>
          <w:rFonts w:ascii="Calibri" w:eastAsia="Calibri" w:hAnsi="Calibri" w:cs="Calibri"/>
          <w:sz w:val="21"/>
        </w:rPr>
        <w:t>(Adler, 2010)</w:t>
      </w:r>
      <w:r w:rsidR="002D3261">
        <w:rPr>
          <w:rFonts w:asciiTheme="majorHAnsi" w:eastAsia="Calibri" w:hAnsiTheme="majorHAnsi" w:cstheme="majorHAnsi"/>
          <w:color w:val="000000"/>
          <w:sz w:val="21"/>
          <w:szCs w:val="21"/>
        </w:rPr>
        <w:fldChar w:fldCharType="end"/>
      </w:r>
      <w:r w:rsidR="002D3261">
        <w:rPr>
          <w:rFonts w:asciiTheme="majorHAnsi" w:eastAsia="Calibri" w:hAnsiTheme="majorHAnsi" w:cstheme="majorHAnsi"/>
          <w:color w:val="000000"/>
          <w:sz w:val="21"/>
          <w:szCs w:val="21"/>
        </w:rPr>
        <w:t>.</w:t>
      </w:r>
    </w:p>
    <w:p w:rsidR="00066A52" w:rsidRDefault="00AA07E7" w:rsidP="002E311E">
      <w:pPr>
        <w:pBdr>
          <w:top w:val="nil"/>
          <w:left w:val="nil"/>
          <w:bottom w:val="nil"/>
          <w:right w:val="nil"/>
          <w:between w:val="nil"/>
        </w:pBdr>
        <w:ind w:firstLine="318"/>
        <w:rPr>
          <w:rFonts w:asciiTheme="majorHAnsi" w:eastAsia="Calibri" w:hAnsiTheme="majorHAnsi" w:cstheme="majorHAnsi"/>
          <w:color w:val="000000"/>
          <w:sz w:val="21"/>
          <w:szCs w:val="21"/>
        </w:rPr>
      </w:pPr>
      <w:r w:rsidRPr="00D637A6">
        <w:rPr>
          <w:rFonts w:asciiTheme="majorHAnsi" w:eastAsia="Calibri" w:hAnsiTheme="majorHAnsi" w:cstheme="majorHAnsi"/>
          <w:color w:val="000000"/>
          <w:sz w:val="21"/>
          <w:szCs w:val="21"/>
        </w:rPr>
        <w:lastRenderedPageBreak/>
        <w:t>In co</w:t>
      </w:r>
      <w:r w:rsidRPr="00D637A6">
        <w:rPr>
          <w:rFonts w:asciiTheme="majorHAnsi" w:eastAsia="Calibri" w:hAnsiTheme="majorHAnsi" w:cstheme="majorHAnsi"/>
          <w:sz w:val="21"/>
          <w:szCs w:val="21"/>
        </w:rPr>
        <w:t>nclusion</w:t>
      </w:r>
      <w:r w:rsidRPr="00D637A6">
        <w:rPr>
          <w:rFonts w:asciiTheme="majorHAnsi" w:eastAsia="Calibri" w:hAnsiTheme="majorHAnsi" w:cstheme="majorHAnsi"/>
          <w:color w:val="000000"/>
          <w:sz w:val="21"/>
          <w:szCs w:val="21"/>
        </w:rPr>
        <w:t xml:space="preserve">, we hail the opportunity to advance bioarchaeological studies through simulation models equivalent to the ones that have been presented in archaeological literature in the last decade (Chliaoutakis 2020). The opportunity is at hand. Human osteoarchaeological material can become a valuable source of input data for simulation models only if bioarchaeologists decide to add programming skills </w:t>
      </w:r>
      <w:r w:rsidRPr="00D637A6">
        <w:rPr>
          <w:rFonts w:asciiTheme="majorHAnsi" w:eastAsia="Calibri" w:hAnsiTheme="majorHAnsi" w:cstheme="majorHAnsi"/>
          <w:sz w:val="21"/>
          <w:szCs w:val="21"/>
        </w:rPr>
        <w:t>to</w:t>
      </w:r>
      <w:r w:rsidRPr="00D637A6">
        <w:rPr>
          <w:rFonts w:asciiTheme="majorHAnsi" w:eastAsia="Calibri" w:hAnsiTheme="majorHAnsi" w:cstheme="majorHAnsi"/>
          <w:color w:val="000000"/>
          <w:sz w:val="21"/>
          <w:szCs w:val="21"/>
        </w:rPr>
        <w:t xml:space="preserve"> their scientific quiver.</w:t>
      </w:r>
    </w:p>
    <w:p w:rsidR="002E311E" w:rsidRPr="00D637A6" w:rsidRDefault="002E311E" w:rsidP="002E311E">
      <w:pPr>
        <w:pBdr>
          <w:top w:val="nil"/>
          <w:left w:val="nil"/>
          <w:bottom w:val="nil"/>
          <w:right w:val="nil"/>
          <w:between w:val="nil"/>
        </w:pBdr>
        <w:ind w:firstLine="318"/>
        <w:rPr>
          <w:rFonts w:asciiTheme="majorHAnsi" w:eastAsia="Calibri" w:hAnsiTheme="majorHAnsi" w:cstheme="majorHAnsi"/>
          <w:color w:val="000000"/>
          <w:sz w:val="21"/>
          <w:szCs w:val="21"/>
        </w:rPr>
      </w:pPr>
    </w:p>
    <w:p w:rsidR="00066A52" w:rsidRPr="00D637A6" w:rsidRDefault="00AA07E7" w:rsidP="002E311E">
      <w:pPr>
        <w:keepNext/>
        <w:pBdr>
          <w:top w:val="nil"/>
          <w:left w:val="nil"/>
          <w:bottom w:val="nil"/>
          <w:right w:val="nil"/>
          <w:between w:val="nil"/>
        </w:pBdr>
        <w:jc w:val="center"/>
        <w:outlineLvl w:val="0"/>
        <w:rPr>
          <w:rFonts w:asciiTheme="majorHAnsi" w:eastAsia="Calibri" w:hAnsiTheme="majorHAnsi" w:cstheme="majorHAnsi"/>
          <w:b/>
          <w:color w:val="000000"/>
          <w:sz w:val="24"/>
          <w:szCs w:val="24"/>
        </w:rPr>
      </w:pPr>
      <w:bookmarkStart w:id="4" w:name="_3znysh7" w:colFirst="0" w:colLast="0"/>
      <w:bookmarkEnd w:id="4"/>
      <w:r w:rsidRPr="00D637A6">
        <w:rPr>
          <w:rFonts w:asciiTheme="majorHAnsi" w:eastAsia="Calibri" w:hAnsiTheme="majorHAnsi" w:cstheme="majorHAnsi"/>
          <w:b/>
          <w:color w:val="000000"/>
          <w:sz w:val="24"/>
          <w:szCs w:val="24"/>
        </w:rPr>
        <w:t>Acknowledgements</w:t>
      </w:r>
    </w:p>
    <w:p w:rsidR="002E311E" w:rsidRDefault="00AA07E7" w:rsidP="002E311E">
      <w:pPr>
        <w:pBdr>
          <w:top w:val="nil"/>
          <w:left w:val="nil"/>
          <w:bottom w:val="nil"/>
          <w:right w:val="nil"/>
          <w:between w:val="nil"/>
        </w:pBdr>
        <w:ind w:firstLine="318"/>
        <w:rPr>
          <w:rFonts w:asciiTheme="majorHAnsi" w:eastAsia="Calibri" w:hAnsiTheme="majorHAnsi" w:cstheme="majorHAnsi"/>
          <w:color w:val="000000"/>
          <w:sz w:val="21"/>
          <w:szCs w:val="21"/>
        </w:rPr>
      </w:pPr>
      <w:r w:rsidRPr="00D637A6">
        <w:rPr>
          <w:rFonts w:asciiTheme="majorHAnsi" w:eastAsia="Calibri" w:hAnsiTheme="majorHAnsi" w:cstheme="majorHAnsi"/>
          <w:color w:val="000000"/>
          <w:sz w:val="21"/>
          <w:szCs w:val="21"/>
        </w:rPr>
        <w:t>The authors express their acknowledgements to all the collaborators participating as members of the research consortium</w:t>
      </w:r>
      <w:r w:rsidR="00DE4A04" w:rsidRPr="00D637A6">
        <w:rPr>
          <w:rFonts w:asciiTheme="majorHAnsi" w:eastAsia="Calibri" w:hAnsiTheme="majorHAnsi" w:cstheme="majorHAnsi"/>
          <w:color w:val="000000"/>
          <w:sz w:val="21"/>
          <w:szCs w:val="21"/>
        </w:rPr>
        <w:t xml:space="preserve"> </w:t>
      </w:r>
      <w:r w:rsidR="0056298F" w:rsidRPr="00D637A6">
        <w:rPr>
          <w:rFonts w:asciiTheme="majorHAnsi" w:eastAsia="Calibri" w:hAnsiTheme="majorHAnsi" w:cstheme="majorHAnsi"/>
          <w:color w:val="000000"/>
          <w:sz w:val="21"/>
          <w:szCs w:val="21"/>
        </w:rPr>
        <w:t>APOIKIA (</w:t>
      </w:r>
      <w:hyperlink r:id="rId13" w:history="1">
        <w:r w:rsidR="00DE4A04" w:rsidRPr="00D637A6">
          <w:rPr>
            <w:rStyle w:val="Hyperlink"/>
            <w:rFonts w:asciiTheme="majorHAnsi" w:eastAsia="Calibri" w:hAnsiTheme="majorHAnsi" w:cstheme="majorHAnsi"/>
            <w:sz w:val="21"/>
            <w:szCs w:val="21"/>
          </w:rPr>
          <w:t>https://www.apoikia.org/</w:t>
        </w:r>
      </w:hyperlink>
      <w:r w:rsidR="0056298F" w:rsidRPr="00D637A6">
        <w:rPr>
          <w:rFonts w:asciiTheme="majorHAnsi" w:eastAsia="Calibri" w:hAnsiTheme="majorHAnsi" w:cstheme="majorHAnsi"/>
          <w:color w:val="000000"/>
          <w:sz w:val="21"/>
          <w:szCs w:val="21"/>
        </w:rPr>
        <w:t>)</w:t>
      </w:r>
      <w:r w:rsidRPr="00D637A6">
        <w:rPr>
          <w:rFonts w:asciiTheme="majorHAnsi" w:eastAsia="Calibri" w:hAnsiTheme="majorHAnsi" w:cstheme="majorHAnsi"/>
          <w:color w:val="000000"/>
          <w:sz w:val="21"/>
          <w:szCs w:val="21"/>
        </w:rPr>
        <w:t>. All of them equally created a synergistic and productive environment that is all the more needed in the Humanities.</w:t>
      </w:r>
      <w:r w:rsidR="0086646B">
        <w:rPr>
          <w:rFonts w:asciiTheme="majorHAnsi" w:eastAsia="Calibri" w:hAnsiTheme="majorHAnsi" w:cstheme="majorHAnsi"/>
          <w:color w:val="000000"/>
          <w:sz w:val="21"/>
          <w:szCs w:val="21"/>
        </w:rPr>
        <w:t xml:space="preserve"> </w:t>
      </w:r>
      <w:r w:rsidR="0086646B" w:rsidRPr="00635C21">
        <w:rPr>
          <w:rFonts w:asciiTheme="majorHAnsi" w:eastAsia="Calibri" w:hAnsiTheme="majorHAnsi" w:cstheme="majorHAnsi"/>
          <w:color w:val="000000"/>
          <w:sz w:val="21"/>
          <w:szCs w:val="21"/>
        </w:rPr>
        <w:t xml:space="preserve">Sincere appreciation </w:t>
      </w:r>
      <w:r w:rsidR="001C23BD" w:rsidRPr="00635C21">
        <w:rPr>
          <w:rFonts w:asciiTheme="majorHAnsi" w:eastAsia="Calibri" w:hAnsiTheme="majorHAnsi" w:cstheme="majorHAnsi"/>
          <w:color w:val="000000"/>
          <w:sz w:val="21"/>
          <w:szCs w:val="21"/>
        </w:rPr>
        <w:t xml:space="preserve">is due </w:t>
      </w:r>
      <w:r w:rsidR="0086646B" w:rsidRPr="00635C21">
        <w:rPr>
          <w:rFonts w:asciiTheme="majorHAnsi" w:eastAsia="Calibri" w:hAnsiTheme="majorHAnsi" w:cstheme="majorHAnsi"/>
          <w:color w:val="000000"/>
          <w:sz w:val="21"/>
          <w:szCs w:val="21"/>
        </w:rPr>
        <w:t>to the</w:t>
      </w:r>
      <w:r w:rsidR="00635C21">
        <w:rPr>
          <w:rFonts w:asciiTheme="majorHAnsi" w:eastAsia="Calibri" w:hAnsiTheme="majorHAnsi" w:cstheme="majorHAnsi"/>
          <w:color w:val="000000"/>
          <w:sz w:val="21"/>
          <w:szCs w:val="21"/>
        </w:rPr>
        <w:t xml:space="preserve"> </w:t>
      </w:r>
      <w:r w:rsidR="00635C21" w:rsidRPr="00635C21">
        <w:rPr>
          <w:rFonts w:asciiTheme="majorHAnsi" w:eastAsia="Calibri" w:hAnsiTheme="majorHAnsi" w:cstheme="majorHAnsi"/>
          <w:color w:val="000000"/>
          <w:sz w:val="21"/>
          <w:szCs w:val="21"/>
        </w:rPr>
        <w:t>reviewing committee provided by PCI Archaeology.</w:t>
      </w:r>
      <w:r w:rsidR="00635C21">
        <w:rPr>
          <w:rFonts w:asciiTheme="majorHAnsi" w:eastAsia="Calibri" w:hAnsiTheme="majorHAnsi" w:cstheme="majorHAnsi"/>
          <w:color w:val="000000"/>
          <w:sz w:val="21"/>
          <w:szCs w:val="21"/>
        </w:rPr>
        <w:t xml:space="preserve"> Recommender </w:t>
      </w:r>
      <w:r w:rsidR="00635C21" w:rsidRPr="00635C21">
        <w:rPr>
          <w:rFonts w:asciiTheme="majorHAnsi" w:eastAsia="Calibri" w:hAnsiTheme="majorHAnsi" w:cstheme="majorHAnsi"/>
          <w:color w:val="000000"/>
          <w:sz w:val="21"/>
          <w:szCs w:val="21"/>
        </w:rPr>
        <w:t xml:space="preserve">Christianne Fernee </w:t>
      </w:r>
      <w:r w:rsidR="00635C21">
        <w:rPr>
          <w:rFonts w:asciiTheme="majorHAnsi" w:eastAsia="Calibri" w:hAnsiTheme="majorHAnsi" w:cstheme="majorHAnsi"/>
          <w:color w:val="000000"/>
          <w:sz w:val="21"/>
          <w:szCs w:val="21"/>
        </w:rPr>
        <w:t>and t</w:t>
      </w:r>
      <w:r w:rsidR="0086646B" w:rsidRPr="00635C21">
        <w:rPr>
          <w:rFonts w:asciiTheme="majorHAnsi" w:eastAsia="Calibri" w:hAnsiTheme="majorHAnsi" w:cstheme="majorHAnsi"/>
          <w:color w:val="000000"/>
          <w:sz w:val="21"/>
          <w:szCs w:val="21"/>
        </w:rPr>
        <w:t>wo anonymous reviewers</w:t>
      </w:r>
      <w:r w:rsidR="00635C21">
        <w:rPr>
          <w:rFonts w:asciiTheme="majorHAnsi" w:eastAsia="Calibri" w:hAnsiTheme="majorHAnsi" w:cstheme="majorHAnsi"/>
          <w:color w:val="000000"/>
          <w:sz w:val="21"/>
          <w:szCs w:val="21"/>
        </w:rPr>
        <w:t xml:space="preserve"> have offered valuable insights during the preprint evaluation phase.</w:t>
      </w:r>
    </w:p>
    <w:p w:rsidR="00635C21" w:rsidRPr="00D637A6" w:rsidRDefault="00635C21" w:rsidP="00635C21">
      <w:pPr>
        <w:pBdr>
          <w:top w:val="nil"/>
          <w:left w:val="nil"/>
          <w:bottom w:val="nil"/>
          <w:right w:val="nil"/>
          <w:between w:val="nil"/>
        </w:pBdr>
        <w:rPr>
          <w:rFonts w:asciiTheme="majorHAnsi" w:eastAsia="Calibri" w:hAnsiTheme="majorHAnsi" w:cstheme="majorHAnsi"/>
          <w:color w:val="000000"/>
          <w:sz w:val="21"/>
          <w:szCs w:val="21"/>
        </w:rPr>
      </w:pPr>
    </w:p>
    <w:p w:rsidR="00066A52" w:rsidRPr="00D637A6" w:rsidRDefault="00AA07E7" w:rsidP="002E311E">
      <w:pPr>
        <w:keepNext/>
        <w:pBdr>
          <w:top w:val="nil"/>
          <w:left w:val="nil"/>
          <w:bottom w:val="nil"/>
          <w:right w:val="nil"/>
          <w:between w:val="nil"/>
        </w:pBdr>
        <w:jc w:val="center"/>
        <w:outlineLvl w:val="0"/>
        <w:rPr>
          <w:rFonts w:asciiTheme="majorHAnsi" w:eastAsia="Calibri" w:hAnsiTheme="majorHAnsi" w:cstheme="majorHAnsi"/>
          <w:b/>
          <w:color w:val="000000"/>
          <w:sz w:val="24"/>
          <w:szCs w:val="24"/>
        </w:rPr>
      </w:pPr>
      <w:bookmarkStart w:id="5" w:name="_2et92p0" w:colFirst="0" w:colLast="0"/>
      <w:bookmarkEnd w:id="5"/>
      <w:r w:rsidRPr="00D637A6">
        <w:rPr>
          <w:rFonts w:asciiTheme="majorHAnsi" w:eastAsia="Calibri" w:hAnsiTheme="majorHAnsi" w:cstheme="majorHAnsi"/>
          <w:b/>
          <w:color w:val="000000"/>
          <w:sz w:val="24"/>
          <w:szCs w:val="24"/>
        </w:rPr>
        <w:t>Conflict of interest disclosure</w:t>
      </w:r>
    </w:p>
    <w:p w:rsidR="00066A52" w:rsidRDefault="00AA07E7" w:rsidP="002E311E">
      <w:pPr>
        <w:pBdr>
          <w:top w:val="nil"/>
          <w:left w:val="nil"/>
          <w:bottom w:val="nil"/>
          <w:right w:val="nil"/>
          <w:between w:val="nil"/>
        </w:pBdr>
        <w:ind w:firstLine="318"/>
        <w:rPr>
          <w:rFonts w:asciiTheme="majorHAnsi" w:eastAsia="Calibri" w:hAnsiTheme="majorHAnsi" w:cstheme="majorHAnsi"/>
          <w:color w:val="000000"/>
          <w:sz w:val="21"/>
          <w:szCs w:val="21"/>
        </w:rPr>
      </w:pPr>
      <w:r w:rsidRPr="00D637A6">
        <w:rPr>
          <w:rFonts w:asciiTheme="majorHAnsi" w:eastAsia="Calibri" w:hAnsiTheme="majorHAnsi" w:cstheme="majorHAnsi"/>
          <w:color w:val="000000"/>
          <w:sz w:val="21"/>
          <w:szCs w:val="21"/>
        </w:rPr>
        <w:t>The authors declare that they comply with the PCI rule of having no financial conflicts of interest in relation</w:t>
      </w:r>
      <w:r w:rsidR="002E311E">
        <w:rPr>
          <w:rFonts w:asciiTheme="majorHAnsi" w:eastAsia="Calibri" w:hAnsiTheme="majorHAnsi" w:cstheme="majorHAnsi"/>
          <w:color w:val="000000"/>
          <w:sz w:val="21"/>
          <w:szCs w:val="21"/>
        </w:rPr>
        <w:t xml:space="preserve"> to the content of the article.</w:t>
      </w:r>
    </w:p>
    <w:p w:rsidR="002E311E" w:rsidRPr="00D637A6" w:rsidRDefault="002E311E" w:rsidP="002E311E">
      <w:pPr>
        <w:pBdr>
          <w:top w:val="nil"/>
          <w:left w:val="nil"/>
          <w:bottom w:val="nil"/>
          <w:right w:val="nil"/>
          <w:between w:val="nil"/>
        </w:pBdr>
        <w:ind w:firstLine="318"/>
        <w:rPr>
          <w:rFonts w:asciiTheme="majorHAnsi" w:eastAsia="Calibri" w:hAnsiTheme="majorHAnsi" w:cstheme="majorHAnsi"/>
          <w:color w:val="000000"/>
          <w:sz w:val="21"/>
          <w:szCs w:val="21"/>
        </w:rPr>
      </w:pPr>
    </w:p>
    <w:p w:rsidR="00066A52" w:rsidRPr="00D637A6" w:rsidRDefault="00AA07E7" w:rsidP="002E311E">
      <w:pPr>
        <w:keepNext/>
        <w:pBdr>
          <w:top w:val="nil"/>
          <w:left w:val="nil"/>
          <w:bottom w:val="nil"/>
          <w:right w:val="nil"/>
          <w:between w:val="nil"/>
        </w:pBdr>
        <w:jc w:val="center"/>
        <w:outlineLvl w:val="0"/>
        <w:rPr>
          <w:rFonts w:asciiTheme="majorHAnsi" w:eastAsia="Calibri" w:hAnsiTheme="majorHAnsi" w:cstheme="majorHAnsi"/>
          <w:b/>
          <w:color w:val="000000"/>
          <w:sz w:val="24"/>
          <w:szCs w:val="24"/>
        </w:rPr>
      </w:pPr>
      <w:bookmarkStart w:id="6" w:name="_tyjcwt" w:colFirst="0" w:colLast="0"/>
      <w:bookmarkEnd w:id="6"/>
      <w:r w:rsidRPr="00D637A6">
        <w:rPr>
          <w:rFonts w:asciiTheme="majorHAnsi" w:eastAsia="Calibri" w:hAnsiTheme="majorHAnsi" w:cstheme="majorHAnsi"/>
          <w:b/>
          <w:color w:val="000000"/>
          <w:sz w:val="24"/>
          <w:szCs w:val="24"/>
        </w:rPr>
        <w:t>Funding</w:t>
      </w:r>
    </w:p>
    <w:p w:rsidR="00066A52" w:rsidRDefault="00AA07E7" w:rsidP="002E311E">
      <w:pPr>
        <w:pBdr>
          <w:top w:val="nil"/>
          <w:left w:val="nil"/>
          <w:bottom w:val="nil"/>
          <w:right w:val="nil"/>
          <w:between w:val="nil"/>
        </w:pBdr>
        <w:ind w:firstLine="318"/>
        <w:rPr>
          <w:rFonts w:asciiTheme="majorHAnsi" w:eastAsia="Calibri" w:hAnsiTheme="majorHAnsi" w:cstheme="majorHAnsi"/>
          <w:color w:val="000000"/>
          <w:sz w:val="21"/>
          <w:szCs w:val="21"/>
        </w:rPr>
      </w:pPr>
      <w:bookmarkStart w:id="7" w:name="_3dy6vkm" w:colFirst="0" w:colLast="0"/>
      <w:bookmarkEnd w:id="7"/>
      <w:r w:rsidRPr="00D637A6">
        <w:rPr>
          <w:rFonts w:asciiTheme="majorHAnsi" w:eastAsia="Calibri" w:hAnsiTheme="majorHAnsi" w:cstheme="majorHAnsi"/>
          <w:color w:val="000000"/>
          <w:sz w:val="21"/>
          <w:szCs w:val="21"/>
        </w:rPr>
        <w:t xml:space="preserve">We acknowledge support of this work by the project “ΑΠΟΙΚΙΑ: Ancient DNA analysis in novel multidisciplinary approach of ancient Corinthian </w:t>
      </w:r>
      <w:r w:rsidR="00FA590A">
        <w:rPr>
          <w:rFonts w:asciiTheme="majorHAnsi" w:eastAsia="Calibri" w:hAnsiTheme="majorHAnsi" w:cstheme="majorHAnsi"/>
          <w:color w:val="000000"/>
          <w:sz w:val="21"/>
          <w:szCs w:val="21"/>
        </w:rPr>
        <w:t>colonis</w:t>
      </w:r>
      <w:r w:rsidRPr="00D637A6">
        <w:rPr>
          <w:rFonts w:asciiTheme="majorHAnsi" w:eastAsia="Calibri" w:hAnsiTheme="majorHAnsi" w:cstheme="majorHAnsi"/>
          <w:color w:val="000000"/>
          <w:sz w:val="21"/>
          <w:szCs w:val="21"/>
        </w:rPr>
        <w:t>ation. Ancient Amvrakia and Ancient Tenea as demonstration examples.” (MIS 5056266) which is implemented under the Special Action “Open Innovation In Culture” funded by the Operational Programme “Competitiveness, Entrepreneurship and Innovation 2014-2020 (EPAnEK)” implemented under Regional Operational Programs of the Partnership and Cooperation Agreement (NSRF 2014-2020) and co-financed by Greece and the European Union (European Regional Development Fund).</w:t>
      </w:r>
      <w:bookmarkStart w:id="8" w:name="_GoBack"/>
      <w:bookmarkEnd w:id="8"/>
    </w:p>
    <w:p w:rsidR="002E311E" w:rsidRPr="00D637A6" w:rsidRDefault="002E311E" w:rsidP="002E311E">
      <w:pPr>
        <w:pBdr>
          <w:top w:val="nil"/>
          <w:left w:val="nil"/>
          <w:bottom w:val="nil"/>
          <w:right w:val="nil"/>
          <w:between w:val="nil"/>
        </w:pBdr>
        <w:ind w:firstLine="318"/>
        <w:rPr>
          <w:rFonts w:asciiTheme="majorHAnsi" w:eastAsia="Calibri" w:hAnsiTheme="majorHAnsi" w:cstheme="majorHAnsi"/>
          <w:color w:val="000000"/>
          <w:sz w:val="21"/>
          <w:szCs w:val="21"/>
          <w:lang w:val="en-US"/>
        </w:rPr>
      </w:pPr>
    </w:p>
    <w:p w:rsidR="00066A52" w:rsidRPr="00D637A6" w:rsidRDefault="00AA07E7" w:rsidP="002E311E">
      <w:pPr>
        <w:keepNext/>
        <w:pBdr>
          <w:top w:val="nil"/>
          <w:left w:val="nil"/>
          <w:bottom w:val="nil"/>
          <w:right w:val="nil"/>
          <w:between w:val="nil"/>
        </w:pBdr>
        <w:jc w:val="center"/>
        <w:outlineLvl w:val="0"/>
        <w:rPr>
          <w:rFonts w:asciiTheme="majorHAnsi" w:eastAsia="Calibri" w:hAnsiTheme="majorHAnsi" w:cstheme="majorHAnsi"/>
          <w:b/>
          <w:color w:val="000000"/>
          <w:sz w:val="24"/>
          <w:szCs w:val="24"/>
        </w:rPr>
      </w:pPr>
      <w:r w:rsidRPr="00D637A6">
        <w:rPr>
          <w:rFonts w:asciiTheme="majorHAnsi" w:eastAsia="Calibri" w:hAnsiTheme="majorHAnsi" w:cstheme="majorHAnsi"/>
          <w:b/>
          <w:color w:val="000000"/>
          <w:sz w:val="24"/>
          <w:szCs w:val="24"/>
        </w:rPr>
        <w:t>References</w:t>
      </w:r>
    </w:p>
    <w:p w:rsidR="00E55686" w:rsidRPr="00E55686" w:rsidRDefault="0081779B" w:rsidP="00E55686">
      <w:pPr>
        <w:pStyle w:val="Bibliography"/>
        <w:rPr>
          <w:rFonts w:ascii="Calibri" w:hAnsi="Calibri" w:cs="Calibri"/>
          <w:sz w:val="21"/>
        </w:rPr>
      </w:pPr>
      <w:r>
        <w:rPr>
          <w:rFonts w:asciiTheme="majorHAnsi" w:eastAsia="Calibri" w:hAnsiTheme="majorHAnsi" w:cstheme="majorHAnsi"/>
          <w:color w:val="000000"/>
          <w:sz w:val="21"/>
          <w:szCs w:val="21"/>
        </w:rPr>
        <w:fldChar w:fldCharType="begin"/>
      </w:r>
      <w:r w:rsidR="00166483">
        <w:rPr>
          <w:rFonts w:asciiTheme="majorHAnsi" w:eastAsia="Calibri" w:hAnsiTheme="majorHAnsi" w:cstheme="majorHAnsi"/>
          <w:color w:val="000000"/>
          <w:sz w:val="21"/>
          <w:szCs w:val="21"/>
        </w:rPr>
        <w:instrText xml:space="preserve"> ADDIN ZOTERO_BIBL {"uncited":[],"omitted":[],"custom":[]} CSL_BIBLIOGRAPHY </w:instrText>
      </w:r>
      <w:r>
        <w:rPr>
          <w:rFonts w:asciiTheme="majorHAnsi" w:eastAsia="Calibri" w:hAnsiTheme="majorHAnsi" w:cstheme="majorHAnsi"/>
          <w:color w:val="000000"/>
          <w:sz w:val="21"/>
          <w:szCs w:val="21"/>
        </w:rPr>
        <w:fldChar w:fldCharType="separate"/>
      </w:r>
      <w:r w:rsidR="00E55686" w:rsidRPr="00E55686">
        <w:rPr>
          <w:rFonts w:ascii="Calibri" w:hAnsi="Calibri" w:cs="Calibri"/>
          <w:sz w:val="21"/>
        </w:rPr>
        <w:t xml:space="preserve">Adams BJ, Konigsberg LW (2008) How Many People? Determining the Number of Individuals Represented by Commingled Human Remains. In: </w:t>
      </w:r>
      <w:r w:rsidR="00E55686" w:rsidRPr="00E55686">
        <w:rPr>
          <w:rFonts w:ascii="Calibri" w:hAnsi="Calibri" w:cs="Calibri"/>
          <w:i/>
          <w:iCs/>
          <w:sz w:val="21"/>
        </w:rPr>
        <w:t>Recovery, Analysis, and Identification of Commingled Human Remains</w:t>
      </w:r>
      <w:r w:rsidR="00E55686" w:rsidRPr="00E55686">
        <w:rPr>
          <w:rFonts w:ascii="Calibri" w:hAnsi="Calibri" w:cs="Calibri"/>
          <w:sz w:val="21"/>
        </w:rPr>
        <w:t xml:space="preserve"> , pp. 241–255. Humana Press. https://doi.org/10.1007/978-1-59745-316-5_12</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Adler J (2010) </w:t>
      </w:r>
      <w:r w:rsidRPr="00E55686">
        <w:rPr>
          <w:rFonts w:ascii="Calibri" w:hAnsi="Calibri" w:cs="Calibri"/>
          <w:i/>
          <w:iCs/>
          <w:sz w:val="21"/>
        </w:rPr>
        <w:t>R in a nutshell</w:t>
      </w:r>
      <w:r w:rsidRPr="00E55686">
        <w:rPr>
          <w:rFonts w:ascii="Calibri" w:hAnsi="Calibri" w:cs="Calibri"/>
          <w:sz w:val="21"/>
        </w:rPr>
        <w:t>. O’Reilly, Sebastopol, CA.</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Baxter M (2012) </w:t>
      </w:r>
      <w:r w:rsidRPr="00E55686">
        <w:rPr>
          <w:rFonts w:ascii="Calibri" w:hAnsi="Calibri" w:cs="Calibri"/>
          <w:i/>
          <w:iCs/>
          <w:sz w:val="21"/>
        </w:rPr>
        <w:t>R-chaeology</w:t>
      </w:r>
      <w:r w:rsidRPr="00E55686">
        <w:rPr>
          <w:rFonts w:ascii="Calibri" w:hAnsi="Calibri" w:cs="Calibri"/>
          <w:sz w:val="21"/>
        </w:rPr>
        <w:t>.</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Buikstra JE, Ubelaker DH (1994) </w:t>
      </w:r>
      <w:r w:rsidRPr="00E55686">
        <w:rPr>
          <w:rFonts w:ascii="Calibri" w:hAnsi="Calibri" w:cs="Calibri"/>
          <w:i/>
          <w:iCs/>
          <w:sz w:val="21"/>
        </w:rPr>
        <w:t>Standards for Data Collection from Human Skeletal Remains: Proceedings of a Seminar at the Field Museum of Natural History, Organized by Jonathan Haas</w:t>
      </w:r>
      <w:r w:rsidRPr="00E55686">
        <w:rPr>
          <w:rFonts w:ascii="Calibri" w:hAnsi="Calibri" w:cs="Calibri"/>
          <w:sz w:val="21"/>
        </w:rPr>
        <w:t xml:space="preserve"> (J Haas, Field Museum of Natural History (last), Eds,). Arkansas Archeological Survey.</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Calce SE, Kurki HK, Weston DA, Gould L (2017) Principal component analysis in the evaluation of osteoarthritis. </w:t>
      </w:r>
      <w:r w:rsidRPr="00E55686">
        <w:rPr>
          <w:rFonts w:ascii="Calibri" w:hAnsi="Calibri" w:cs="Calibri"/>
          <w:i/>
          <w:iCs/>
          <w:sz w:val="21"/>
        </w:rPr>
        <w:t>American Journal of Physical Anthropology</w:t>
      </w:r>
      <w:r w:rsidRPr="00E55686">
        <w:rPr>
          <w:rFonts w:ascii="Calibri" w:hAnsi="Calibri" w:cs="Calibri"/>
          <w:sz w:val="21"/>
        </w:rPr>
        <w:t xml:space="preserve">, </w:t>
      </w:r>
      <w:r w:rsidRPr="00E55686">
        <w:rPr>
          <w:rFonts w:ascii="Calibri" w:hAnsi="Calibri" w:cs="Calibri"/>
          <w:b/>
          <w:bCs/>
          <w:sz w:val="21"/>
        </w:rPr>
        <w:t>162</w:t>
      </w:r>
      <w:r w:rsidRPr="00E55686">
        <w:rPr>
          <w:rFonts w:ascii="Calibri" w:hAnsi="Calibri" w:cs="Calibri"/>
          <w:sz w:val="21"/>
        </w:rPr>
        <w:t>, 476–490. https://doi.org/10.1002/ajpa.23130</w:t>
      </w:r>
    </w:p>
    <w:p w:rsidR="00E55686" w:rsidRPr="00E55686" w:rsidRDefault="00E55686" w:rsidP="00E55686">
      <w:pPr>
        <w:pStyle w:val="Bibliography"/>
        <w:rPr>
          <w:rFonts w:ascii="Calibri" w:hAnsi="Calibri" w:cs="Calibri"/>
          <w:sz w:val="21"/>
        </w:rPr>
      </w:pPr>
      <w:r w:rsidRPr="00E55686">
        <w:rPr>
          <w:rFonts w:ascii="Calibri" w:hAnsi="Calibri" w:cs="Calibri"/>
          <w:sz w:val="21"/>
        </w:rPr>
        <w:lastRenderedPageBreak/>
        <w:t xml:space="preserve">Caruso A, Karligkioti A, Selempa G, Nikita E (2023) STARC OSTEOARCH: An open access resource for recording and sharing human osteoarchaeological data. </w:t>
      </w:r>
      <w:r w:rsidRPr="00E55686">
        <w:rPr>
          <w:rFonts w:ascii="Calibri" w:hAnsi="Calibri" w:cs="Calibri"/>
          <w:i/>
          <w:iCs/>
          <w:sz w:val="21"/>
        </w:rPr>
        <w:t>International Journal of Osteoarchaeology</w:t>
      </w:r>
      <w:r w:rsidRPr="00E55686">
        <w:rPr>
          <w:rFonts w:ascii="Calibri" w:hAnsi="Calibri" w:cs="Calibri"/>
          <w:sz w:val="21"/>
        </w:rPr>
        <w:t xml:space="preserve">, </w:t>
      </w:r>
      <w:r w:rsidRPr="00E55686">
        <w:rPr>
          <w:rFonts w:ascii="Calibri" w:hAnsi="Calibri" w:cs="Calibri"/>
          <w:b/>
          <w:bCs/>
          <w:sz w:val="21"/>
        </w:rPr>
        <w:t>33</w:t>
      </w:r>
      <w:r w:rsidRPr="00E55686">
        <w:rPr>
          <w:rFonts w:ascii="Calibri" w:hAnsi="Calibri" w:cs="Calibri"/>
          <w:sz w:val="21"/>
        </w:rPr>
        <w:t>, 973–975. https://doi.org/10.1002/oa.3256</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Caruso A, Nikita E (2024) Dental diseases and dental wear as a proxy for dietary patterns in Hellenistic-early Roman Menainon, Sicily. </w:t>
      </w:r>
      <w:r w:rsidRPr="00E55686">
        <w:rPr>
          <w:rFonts w:ascii="Calibri" w:hAnsi="Calibri" w:cs="Calibri"/>
          <w:i/>
          <w:iCs/>
          <w:sz w:val="21"/>
        </w:rPr>
        <w:t>International Journal of Paleopathology</w:t>
      </w:r>
      <w:r w:rsidRPr="00E55686">
        <w:rPr>
          <w:rFonts w:ascii="Calibri" w:hAnsi="Calibri" w:cs="Calibri"/>
          <w:sz w:val="21"/>
        </w:rPr>
        <w:t xml:space="preserve">, </w:t>
      </w:r>
      <w:r w:rsidRPr="00E55686">
        <w:rPr>
          <w:rFonts w:ascii="Calibri" w:hAnsi="Calibri" w:cs="Calibri"/>
          <w:b/>
          <w:bCs/>
          <w:sz w:val="21"/>
        </w:rPr>
        <w:t>44</w:t>
      </w:r>
      <w:r w:rsidRPr="00E55686">
        <w:rPr>
          <w:rFonts w:ascii="Calibri" w:hAnsi="Calibri" w:cs="Calibri"/>
          <w:sz w:val="21"/>
        </w:rPr>
        <w:t>, 10–19. https://doi.org/10.1016/j.ijpp.2023.11.002</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Colleter R, Romain J-B, Barreau J-B (2020) HumanOS: an open source nomadic software database for physical anthropology and archaeology. </w:t>
      </w:r>
      <w:r w:rsidRPr="00E55686">
        <w:rPr>
          <w:rFonts w:ascii="Calibri" w:hAnsi="Calibri" w:cs="Calibri"/>
          <w:i/>
          <w:iCs/>
          <w:sz w:val="21"/>
        </w:rPr>
        <w:t>Virtual Archaeology Review</w:t>
      </w:r>
      <w:r w:rsidRPr="00E55686">
        <w:rPr>
          <w:rFonts w:ascii="Calibri" w:hAnsi="Calibri" w:cs="Calibri"/>
          <w:sz w:val="21"/>
        </w:rPr>
        <w:t xml:space="preserve">, </w:t>
      </w:r>
      <w:r w:rsidRPr="00E55686">
        <w:rPr>
          <w:rFonts w:ascii="Calibri" w:hAnsi="Calibri" w:cs="Calibri"/>
          <w:b/>
          <w:bCs/>
          <w:sz w:val="21"/>
        </w:rPr>
        <w:t>11</w:t>
      </w:r>
      <w:r w:rsidRPr="00E55686">
        <w:rPr>
          <w:rFonts w:ascii="Calibri" w:hAnsi="Calibri" w:cs="Calibri"/>
          <w:sz w:val="21"/>
        </w:rPr>
        <w:t>, 94. https://doi.org/10.4995/var.2020.13422</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Constantinou C, Nikita E (2022) SexEst: An open access web application for metric skeletal sex estimation. </w:t>
      </w:r>
      <w:r w:rsidRPr="00E55686">
        <w:rPr>
          <w:rFonts w:ascii="Calibri" w:hAnsi="Calibri" w:cs="Calibri"/>
          <w:i/>
          <w:iCs/>
          <w:sz w:val="21"/>
        </w:rPr>
        <w:t>International Journal of Osteoarchaeology</w:t>
      </w:r>
      <w:r w:rsidRPr="00E55686">
        <w:rPr>
          <w:rFonts w:ascii="Calibri" w:hAnsi="Calibri" w:cs="Calibri"/>
          <w:sz w:val="21"/>
        </w:rPr>
        <w:t xml:space="preserve">, </w:t>
      </w:r>
      <w:r w:rsidRPr="00E55686">
        <w:rPr>
          <w:rFonts w:ascii="Calibri" w:hAnsi="Calibri" w:cs="Calibri"/>
          <w:b/>
          <w:bCs/>
          <w:sz w:val="21"/>
        </w:rPr>
        <w:t>32</w:t>
      </w:r>
      <w:r w:rsidRPr="00E55686">
        <w:rPr>
          <w:rFonts w:ascii="Calibri" w:hAnsi="Calibri" w:cs="Calibri"/>
          <w:sz w:val="21"/>
        </w:rPr>
        <w:t>, 832–844. https://doi.org/10.1002/oa.3109</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Georgiadou A, Ganiatsou E, Xanthopoulos K, Papageorgopoulou C (2023) Estimating the human diet in the ancient Greek colony of Ambracia using Stable Isotopes (δ15N, δ13C) and Bayesian Mixing model. In: </w:t>
      </w:r>
      <w:r w:rsidRPr="00E55686">
        <w:rPr>
          <w:rFonts w:ascii="Calibri" w:hAnsi="Calibri" w:cs="Calibri"/>
          <w:i/>
          <w:iCs/>
          <w:sz w:val="21"/>
        </w:rPr>
        <w:t>Isotopes and Archaeological Theories of Complexity</w:t>
      </w:r>
      <w:r w:rsidRPr="00E55686">
        <w:rPr>
          <w:rFonts w:ascii="Calibri" w:hAnsi="Calibri" w:cs="Calibri"/>
          <w:sz w:val="21"/>
        </w:rPr>
        <w:t xml:space="preserve"> , p. . European Association of Archaeologists, Belfast, Northern Ireland.</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Hens SM, Godde K (2020) New Approaches to Age Estimation Using Palatal Suture Fusion. </w:t>
      </w:r>
      <w:r w:rsidRPr="00E55686">
        <w:rPr>
          <w:rFonts w:ascii="Calibri" w:hAnsi="Calibri" w:cs="Calibri"/>
          <w:i/>
          <w:iCs/>
          <w:sz w:val="21"/>
        </w:rPr>
        <w:t>Journal of Forensic Sciences</w:t>
      </w:r>
      <w:r w:rsidRPr="00E55686">
        <w:rPr>
          <w:rFonts w:ascii="Calibri" w:hAnsi="Calibri" w:cs="Calibri"/>
          <w:sz w:val="21"/>
        </w:rPr>
        <w:t xml:space="preserve">, </w:t>
      </w:r>
      <w:r w:rsidRPr="00E55686">
        <w:rPr>
          <w:rFonts w:ascii="Calibri" w:hAnsi="Calibri" w:cs="Calibri"/>
          <w:b/>
          <w:bCs/>
          <w:sz w:val="21"/>
        </w:rPr>
        <w:t>65</w:t>
      </w:r>
      <w:r w:rsidRPr="00E55686">
        <w:rPr>
          <w:rFonts w:ascii="Calibri" w:hAnsi="Calibri" w:cs="Calibri"/>
          <w:sz w:val="21"/>
        </w:rPr>
        <w:t>, 1406–1415. https://doi.org/10.1111/1556-4029.14485</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Hillson S (2005) </w:t>
      </w:r>
      <w:r w:rsidRPr="00E55686">
        <w:rPr>
          <w:rFonts w:ascii="Calibri" w:hAnsi="Calibri" w:cs="Calibri"/>
          <w:i/>
          <w:iCs/>
          <w:sz w:val="21"/>
        </w:rPr>
        <w:t>Teeth</w:t>
      </w:r>
      <w:r w:rsidRPr="00E55686">
        <w:rPr>
          <w:rFonts w:ascii="Calibri" w:hAnsi="Calibri" w:cs="Calibri"/>
          <w:sz w:val="21"/>
        </w:rPr>
        <w:t>. Cambridge University Press, Cambridge; New York.</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Kubehl K, Temple DH (2020) Reproductive life histories influence cariogenesis: Exploring sex-specific variation in dental caries and survivorship in the human past. </w:t>
      </w:r>
      <w:r w:rsidRPr="00E55686">
        <w:rPr>
          <w:rFonts w:ascii="Calibri" w:hAnsi="Calibri" w:cs="Calibri"/>
          <w:i/>
          <w:iCs/>
          <w:sz w:val="21"/>
        </w:rPr>
        <w:t>American Journal of Physical Anthropology</w:t>
      </w:r>
      <w:r w:rsidRPr="00E55686">
        <w:rPr>
          <w:rFonts w:ascii="Calibri" w:hAnsi="Calibri" w:cs="Calibri"/>
          <w:sz w:val="21"/>
        </w:rPr>
        <w:t xml:space="preserve">, </w:t>
      </w:r>
      <w:r w:rsidRPr="00E55686">
        <w:rPr>
          <w:rFonts w:ascii="Calibri" w:hAnsi="Calibri" w:cs="Calibri"/>
          <w:b/>
          <w:bCs/>
          <w:sz w:val="21"/>
        </w:rPr>
        <w:t>172</w:t>
      </w:r>
      <w:r w:rsidRPr="00E55686">
        <w:rPr>
          <w:rFonts w:ascii="Calibri" w:hAnsi="Calibri" w:cs="Calibri"/>
          <w:sz w:val="21"/>
        </w:rPr>
        <w:t>, 376–385. https://doi.org/10.1002/ajpa.24034</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Kyle B, Shehi E, Koçi M, Reitsema LJ (2020) Bioarchaeological reconstruction of physiological stress during social transition in Albania. </w:t>
      </w:r>
      <w:r w:rsidRPr="00E55686">
        <w:rPr>
          <w:rFonts w:ascii="Calibri" w:hAnsi="Calibri" w:cs="Calibri"/>
          <w:i/>
          <w:iCs/>
          <w:sz w:val="21"/>
        </w:rPr>
        <w:t>International Journal of Paleopathology</w:t>
      </w:r>
      <w:r w:rsidRPr="00E55686">
        <w:rPr>
          <w:rFonts w:ascii="Calibri" w:hAnsi="Calibri" w:cs="Calibri"/>
          <w:sz w:val="21"/>
        </w:rPr>
        <w:t xml:space="preserve">, </w:t>
      </w:r>
      <w:r w:rsidRPr="00E55686">
        <w:rPr>
          <w:rFonts w:ascii="Calibri" w:hAnsi="Calibri" w:cs="Calibri"/>
          <w:b/>
          <w:bCs/>
          <w:sz w:val="21"/>
        </w:rPr>
        <w:t>30</w:t>
      </w:r>
      <w:r w:rsidRPr="00E55686">
        <w:rPr>
          <w:rFonts w:ascii="Calibri" w:hAnsi="Calibri" w:cs="Calibri"/>
          <w:sz w:val="21"/>
        </w:rPr>
        <w:t>, 118–129. https://doi.org/10.1016/j.ijpp.2020.06.003</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Lewis ME (2007) </w:t>
      </w:r>
      <w:r w:rsidRPr="00E55686">
        <w:rPr>
          <w:rFonts w:ascii="Calibri" w:hAnsi="Calibri" w:cs="Calibri"/>
          <w:i/>
          <w:iCs/>
          <w:sz w:val="21"/>
        </w:rPr>
        <w:t>The Bioarchaeology of Children: Perspectives from Biological and Forensic Anthropology</w:t>
      </w:r>
      <w:r w:rsidRPr="00E55686">
        <w:rPr>
          <w:rFonts w:ascii="Calibri" w:hAnsi="Calibri" w:cs="Calibri"/>
          <w:sz w:val="21"/>
        </w:rPr>
        <w:t>. Cambridge University Press.</w:t>
      </w:r>
    </w:p>
    <w:p w:rsidR="00E55686" w:rsidRPr="00E55686" w:rsidRDefault="00E55686" w:rsidP="00E55686">
      <w:pPr>
        <w:pStyle w:val="Bibliography"/>
        <w:rPr>
          <w:rFonts w:ascii="Calibri" w:hAnsi="Calibri" w:cs="Calibri"/>
          <w:sz w:val="21"/>
        </w:rPr>
      </w:pPr>
      <w:r w:rsidRPr="00E55686">
        <w:rPr>
          <w:rFonts w:ascii="Calibri" w:hAnsi="Calibri" w:cs="Calibri"/>
          <w:sz w:val="21"/>
        </w:rPr>
        <w:lastRenderedPageBreak/>
        <w:t xml:space="preserve">Marwick B (2017) Computational Reproducibility in Archaeological Research: Basic Principles and a Case Study of Their Implementation. </w:t>
      </w:r>
      <w:r w:rsidRPr="00E55686">
        <w:rPr>
          <w:rFonts w:ascii="Calibri" w:hAnsi="Calibri" w:cs="Calibri"/>
          <w:i/>
          <w:iCs/>
          <w:sz w:val="21"/>
        </w:rPr>
        <w:t>Journal of Archaeological Method and Theory</w:t>
      </w:r>
      <w:r w:rsidRPr="00E55686">
        <w:rPr>
          <w:rFonts w:ascii="Calibri" w:hAnsi="Calibri" w:cs="Calibri"/>
          <w:sz w:val="21"/>
        </w:rPr>
        <w:t xml:space="preserve">, </w:t>
      </w:r>
      <w:r w:rsidRPr="00E55686">
        <w:rPr>
          <w:rFonts w:ascii="Calibri" w:hAnsi="Calibri" w:cs="Calibri"/>
          <w:b/>
          <w:bCs/>
          <w:sz w:val="21"/>
        </w:rPr>
        <w:t>24</w:t>
      </w:r>
      <w:r w:rsidRPr="00E55686">
        <w:rPr>
          <w:rFonts w:ascii="Calibri" w:hAnsi="Calibri" w:cs="Calibri"/>
          <w:sz w:val="21"/>
        </w:rPr>
        <w:t>, 424–450. https://doi.org/10.1007/s10816-015-9272-9</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Nikita E (2017) </w:t>
      </w:r>
      <w:r w:rsidRPr="00E55686">
        <w:rPr>
          <w:rFonts w:ascii="Calibri" w:hAnsi="Calibri" w:cs="Calibri"/>
          <w:i/>
          <w:iCs/>
          <w:sz w:val="21"/>
        </w:rPr>
        <w:t>Osteoarchaeology: a guide to the macroscopic study of human skeletal remains</w:t>
      </w:r>
      <w:r w:rsidRPr="00E55686">
        <w:rPr>
          <w:rFonts w:ascii="Calibri" w:hAnsi="Calibri" w:cs="Calibri"/>
          <w:sz w:val="21"/>
        </w:rPr>
        <w:t>. Elsevier/Academic Press, Amsterdam.</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Nikita E (2020) </w:t>
      </w:r>
      <w:r w:rsidRPr="00E55686">
        <w:rPr>
          <w:rFonts w:ascii="Calibri" w:hAnsi="Calibri" w:cs="Calibri"/>
          <w:i/>
          <w:iCs/>
          <w:sz w:val="21"/>
        </w:rPr>
        <w:t>INTRODUCTION TO STATISTICS USING R</w:t>
      </w:r>
      <w:r w:rsidRPr="00E55686">
        <w:rPr>
          <w:rFonts w:ascii="Calibri" w:hAnsi="Calibri" w:cs="Calibri"/>
          <w:sz w:val="21"/>
        </w:rPr>
        <w:t>.</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Nikita E, Karligkioti A (2020) </w:t>
      </w:r>
      <w:r w:rsidRPr="00E55686">
        <w:rPr>
          <w:rFonts w:ascii="Calibri" w:hAnsi="Calibri" w:cs="Calibri"/>
          <w:i/>
          <w:iCs/>
          <w:sz w:val="21"/>
        </w:rPr>
        <w:t>BASIC GUIDELINES FOR THE  EXCAVATION AND STUDY  OF HUMAN SKELETAL REMAINS</w:t>
      </w:r>
      <w:r w:rsidRPr="00E55686">
        <w:rPr>
          <w:rFonts w:ascii="Calibri" w:hAnsi="Calibri" w:cs="Calibri"/>
          <w:sz w:val="21"/>
        </w:rPr>
        <w:t>. Zenodo. https://doi.org/10.5281/zenodo.4641953</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Nikita E, Mattingly D, Lahr MM (2013) Methodological considerations in the statistical analysis of degenerative joint and disc disease. </w:t>
      </w:r>
      <w:r w:rsidRPr="00E55686">
        <w:rPr>
          <w:rFonts w:ascii="Calibri" w:hAnsi="Calibri" w:cs="Calibri"/>
          <w:i/>
          <w:iCs/>
          <w:sz w:val="21"/>
        </w:rPr>
        <w:t>International Journal of Paleopathology</w:t>
      </w:r>
      <w:r w:rsidRPr="00E55686">
        <w:rPr>
          <w:rFonts w:ascii="Calibri" w:hAnsi="Calibri" w:cs="Calibri"/>
          <w:sz w:val="21"/>
        </w:rPr>
        <w:t xml:space="preserve">, </w:t>
      </w:r>
      <w:r w:rsidRPr="00E55686">
        <w:rPr>
          <w:rFonts w:ascii="Calibri" w:hAnsi="Calibri" w:cs="Calibri"/>
          <w:b/>
          <w:bCs/>
          <w:sz w:val="21"/>
        </w:rPr>
        <w:t>3</w:t>
      </w:r>
      <w:r w:rsidRPr="00E55686">
        <w:rPr>
          <w:rFonts w:ascii="Calibri" w:hAnsi="Calibri" w:cs="Calibri"/>
          <w:sz w:val="21"/>
        </w:rPr>
        <w:t>, 105–112. https://doi.org/10.1016/j.ijpp.2013.03.002</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Ossenberg N (2013) Brief communication: Cranial nonmetric trait database on the internet. </w:t>
      </w:r>
      <w:r w:rsidRPr="00E55686">
        <w:rPr>
          <w:rFonts w:ascii="Calibri" w:hAnsi="Calibri" w:cs="Calibri"/>
          <w:i/>
          <w:iCs/>
          <w:sz w:val="21"/>
        </w:rPr>
        <w:t>Am. J. Phys. Anthropol.</w:t>
      </w:r>
      <w:r w:rsidRPr="00E55686">
        <w:rPr>
          <w:rFonts w:ascii="Calibri" w:hAnsi="Calibri" w:cs="Calibri"/>
          <w:sz w:val="21"/>
        </w:rPr>
        <w:t>, n/a-n/a. https://doi.org/10.1002/ajpa.22377</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Reitsema LJ, McIlvaine BK (2014) Reconciling “stress” and “health” in physical anthropology: What can bioarchaeologists learn from the other subdisciplines? </w:t>
      </w:r>
      <w:r w:rsidRPr="00E55686">
        <w:rPr>
          <w:rFonts w:ascii="Calibri" w:hAnsi="Calibri" w:cs="Calibri"/>
          <w:i/>
          <w:iCs/>
          <w:sz w:val="21"/>
        </w:rPr>
        <w:t>American Journal of Physical Anthropology</w:t>
      </w:r>
      <w:r w:rsidRPr="00E55686">
        <w:rPr>
          <w:rFonts w:ascii="Calibri" w:hAnsi="Calibri" w:cs="Calibri"/>
          <w:sz w:val="21"/>
        </w:rPr>
        <w:t xml:space="preserve">, </w:t>
      </w:r>
      <w:r w:rsidRPr="00E55686">
        <w:rPr>
          <w:rFonts w:ascii="Calibri" w:hAnsi="Calibri" w:cs="Calibri"/>
          <w:b/>
          <w:bCs/>
          <w:sz w:val="21"/>
        </w:rPr>
        <w:t>155</w:t>
      </w:r>
      <w:r w:rsidRPr="00E55686">
        <w:rPr>
          <w:rFonts w:ascii="Calibri" w:hAnsi="Calibri" w:cs="Calibri"/>
          <w:sz w:val="21"/>
        </w:rPr>
        <w:t>, 181–185. https://doi.org/10.1002/ajpa.22596</w:t>
      </w:r>
    </w:p>
    <w:p w:rsidR="00E55686" w:rsidRPr="00E55686" w:rsidRDefault="00E55686" w:rsidP="00E55686">
      <w:pPr>
        <w:pStyle w:val="Bibliography"/>
        <w:rPr>
          <w:rFonts w:ascii="Calibri" w:hAnsi="Calibri" w:cs="Calibri"/>
          <w:sz w:val="21"/>
        </w:rPr>
      </w:pPr>
      <w:r w:rsidRPr="00E55686">
        <w:rPr>
          <w:rFonts w:ascii="Calibri" w:hAnsi="Calibri" w:cs="Calibri"/>
          <w:sz w:val="21"/>
        </w:rPr>
        <w:t>ropensci/writexl (2024)</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RStudio Team (2020) </w:t>
      </w:r>
      <w:r w:rsidRPr="00E55686">
        <w:rPr>
          <w:rFonts w:ascii="Calibri" w:hAnsi="Calibri" w:cs="Calibri"/>
          <w:i/>
          <w:iCs/>
          <w:sz w:val="21"/>
        </w:rPr>
        <w:t>RStudio: Integrated Development Environment for R</w:t>
      </w:r>
      <w:r w:rsidRPr="00E55686">
        <w:rPr>
          <w:rFonts w:ascii="Calibri" w:hAnsi="Calibri" w:cs="Calibri"/>
          <w:sz w:val="21"/>
        </w:rPr>
        <w:t>. RStudio, PBC., Boston, MA.</w:t>
      </w:r>
    </w:p>
    <w:p w:rsidR="00E55686" w:rsidRPr="00E55686" w:rsidRDefault="00E55686" w:rsidP="00E55686">
      <w:pPr>
        <w:pStyle w:val="Bibliography"/>
        <w:rPr>
          <w:rFonts w:ascii="Calibri" w:hAnsi="Calibri" w:cs="Calibri"/>
          <w:sz w:val="21"/>
        </w:rPr>
      </w:pPr>
      <w:r w:rsidRPr="00E55686">
        <w:rPr>
          <w:rFonts w:ascii="Calibri" w:hAnsi="Calibri" w:cs="Calibri"/>
          <w:sz w:val="21"/>
        </w:rPr>
        <w:t>rstudio/shiny (2022)</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Schaefer M, Scheuer L, Black SM (2009) </w:t>
      </w:r>
      <w:r w:rsidRPr="00E55686">
        <w:rPr>
          <w:rFonts w:ascii="Calibri" w:hAnsi="Calibri" w:cs="Calibri"/>
          <w:i/>
          <w:iCs/>
          <w:sz w:val="21"/>
        </w:rPr>
        <w:t>Juvenile osteology: a laboratory and field manual</w:t>
      </w:r>
      <w:r w:rsidRPr="00E55686">
        <w:rPr>
          <w:rFonts w:ascii="Calibri" w:hAnsi="Calibri" w:cs="Calibri"/>
          <w:sz w:val="21"/>
        </w:rPr>
        <w:t>. Elsevier/Academic Press, Amsterdam ; Burlington, MA.</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Scheuer L, Black SM (2000) </w:t>
      </w:r>
      <w:r w:rsidRPr="00E55686">
        <w:rPr>
          <w:rFonts w:ascii="Calibri" w:hAnsi="Calibri" w:cs="Calibri"/>
          <w:i/>
          <w:iCs/>
          <w:sz w:val="21"/>
        </w:rPr>
        <w:t>Developmental juvenile osteology</w:t>
      </w:r>
      <w:r w:rsidRPr="00E55686">
        <w:rPr>
          <w:rFonts w:ascii="Calibri" w:hAnsi="Calibri" w:cs="Calibri"/>
          <w:sz w:val="21"/>
        </w:rPr>
        <w:t>. Academic Press, San Diego, CA.</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Schwartz JH (1995) </w:t>
      </w:r>
      <w:r w:rsidRPr="00E55686">
        <w:rPr>
          <w:rFonts w:ascii="Calibri" w:hAnsi="Calibri" w:cs="Calibri"/>
          <w:i/>
          <w:iCs/>
          <w:sz w:val="21"/>
        </w:rPr>
        <w:t>Skeleton keys: an introduction to human skeletal morphology, development, and analysis</w:t>
      </w:r>
      <w:r w:rsidRPr="00E55686">
        <w:rPr>
          <w:rFonts w:ascii="Calibri" w:hAnsi="Calibri" w:cs="Calibri"/>
          <w:sz w:val="21"/>
        </w:rPr>
        <w:t>. Oxford University Press, New York.</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Seguchi N, Dudzik B (Eds.) (2019) </w:t>
      </w:r>
      <w:r w:rsidRPr="00E55686">
        <w:rPr>
          <w:rFonts w:ascii="Calibri" w:hAnsi="Calibri" w:cs="Calibri"/>
          <w:i/>
          <w:iCs/>
          <w:sz w:val="21"/>
        </w:rPr>
        <w:t>3d data acquisition for bioarchaeology, forensic anthropology, and archaeology</w:t>
      </w:r>
      <w:r w:rsidRPr="00E55686">
        <w:rPr>
          <w:rFonts w:ascii="Calibri" w:hAnsi="Calibri" w:cs="Calibri"/>
          <w:sz w:val="21"/>
        </w:rPr>
        <w:t>. Elsevier, San Deigo.</w:t>
      </w:r>
    </w:p>
    <w:p w:rsidR="00E55686" w:rsidRPr="00E55686" w:rsidRDefault="00E55686" w:rsidP="00E55686">
      <w:pPr>
        <w:pStyle w:val="Bibliography"/>
        <w:rPr>
          <w:rFonts w:ascii="Calibri" w:hAnsi="Calibri" w:cs="Calibri"/>
          <w:sz w:val="21"/>
        </w:rPr>
      </w:pPr>
      <w:r w:rsidRPr="00E55686">
        <w:rPr>
          <w:rFonts w:ascii="Calibri" w:hAnsi="Calibri" w:cs="Calibri"/>
          <w:sz w:val="21"/>
        </w:rPr>
        <w:lastRenderedPageBreak/>
        <w:t xml:space="preserve">Sjoberg DD, Whiting K, Curry M, Lavery JA, Larmarange J (2021) Reproducible Summary Tables with the gtsummary Package. </w:t>
      </w:r>
      <w:r w:rsidRPr="00E55686">
        <w:rPr>
          <w:rFonts w:ascii="Calibri" w:hAnsi="Calibri" w:cs="Calibri"/>
          <w:i/>
          <w:iCs/>
          <w:sz w:val="21"/>
        </w:rPr>
        <w:t>The R Journal</w:t>
      </w:r>
      <w:r w:rsidRPr="00E55686">
        <w:rPr>
          <w:rFonts w:ascii="Calibri" w:hAnsi="Calibri" w:cs="Calibri"/>
          <w:sz w:val="21"/>
        </w:rPr>
        <w:t xml:space="preserve">, </w:t>
      </w:r>
      <w:r w:rsidRPr="00E55686">
        <w:rPr>
          <w:rFonts w:ascii="Calibri" w:hAnsi="Calibri" w:cs="Calibri"/>
          <w:b/>
          <w:bCs/>
          <w:sz w:val="21"/>
        </w:rPr>
        <w:t>13</w:t>
      </w:r>
      <w:r w:rsidRPr="00E55686">
        <w:rPr>
          <w:rFonts w:ascii="Calibri" w:hAnsi="Calibri" w:cs="Calibri"/>
          <w:sz w:val="21"/>
        </w:rPr>
        <w:t>, 570–580. https://doi.org/10.32614/RJ-2021-053</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Sokal RR, Rohlf FJ (2009) </w:t>
      </w:r>
      <w:r w:rsidRPr="00E55686">
        <w:rPr>
          <w:rFonts w:ascii="Calibri" w:hAnsi="Calibri" w:cs="Calibri"/>
          <w:i/>
          <w:iCs/>
          <w:sz w:val="21"/>
        </w:rPr>
        <w:t>Introduction to biostatistics</w:t>
      </w:r>
      <w:r w:rsidRPr="00E55686">
        <w:rPr>
          <w:rFonts w:ascii="Calibri" w:hAnsi="Calibri" w:cs="Calibri"/>
          <w:sz w:val="21"/>
        </w:rPr>
        <w:t>. Dover Publications, Mineola, N.Y.</w:t>
      </w:r>
    </w:p>
    <w:p w:rsidR="00E55686" w:rsidRPr="00E55686" w:rsidRDefault="00E55686" w:rsidP="00E55686">
      <w:pPr>
        <w:pStyle w:val="Bibliography"/>
        <w:rPr>
          <w:rFonts w:ascii="Calibri" w:hAnsi="Calibri" w:cs="Calibri"/>
          <w:sz w:val="21"/>
        </w:rPr>
      </w:pPr>
      <w:r w:rsidRPr="00E55686">
        <w:rPr>
          <w:rFonts w:ascii="Calibri" w:hAnsi="Calibri" w:cs="Calibri"/>
          <w:sz w:val="21"/>
        </w:rPr>
        <w:t>tidyverse/readxl (2024)</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Vark GN, Howells WW (1984) </w:t>
      </w:r>
      <w:r w:rsidRPr="00E55686">
        <w:rPr>
          <w:rFonts w:ascii="Calibri" w:hAnsi="Calibri" w:cs="Calibri"/>
          <w:i/>
          <w:iCs/>
          <w:sz w:val="21"/>
        </w:rPr>
        <w:t>Multivariate Statistical Methods in Physical Anthropology: a Review of Recent Advances and Current Developments</w:t>
      </w:r>
      <w:r w:rsidRPr="00E55686">
        <w:rPr>
          <w:rFonts w:ascii="Calibri" w:hAnsi="Calibri" w:cs="Calibri"/>
          <w:sz w:val="21"/>
        </w:rPr>
        <w:t>. Springer Netherlands, Dordrecht.</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Viciano J, López‐Lázaro S, Alemán I (2013) Sex estimation based on deciduous and permanent dentition in a contemporary spanish population. </w:t>
      </w:r>
      <w:r w:rsidRPr="00E55686">
        <w:rPr>
          <w:rFonts w:ascii="Calibri" w:hAnsi="Calibri" w:cs="Calibri"/>
          <w:i/>
          <w:iCs/>
          <w:sz w:val="21"/>
        </w:rPr>
        <w:t>American Journal of Physical Anthropology</w:t>
      </w:r>
      <w:r w:rsidRPr="00E55686">
        <w:rPr>
          <w:rFonts w:ascii="Calibri" w:hAnsi="Calibri" w:cs="Calibri"/>
          <w:sz w:val="21"/>
        </w:rPr>
        <w:t xml:space="preserve">, </w:t>
      </w:r>
      <w:r w:rsidRPr="00E55686">
        <w:rPr>
          <w:rFonts w:ascii="Calibri" w:hAnsi="Calibri" w:cs="Calibri"/>
          <w:b/>
          <w:bCs/>
          <w:sz w:val="21"/>
        </w:rPr>
        <w:t>152</w:t>
      </w:r>
      <w:r w:rsidRPr="00E55686">
        <w:rPr>
          <w:rFonts w:ascii="Calibri" w:hAnsi="Calibri" w:cs="Calibri"/>
          <w:sz w:val="21"/>
        </w:rPr>
        <w:t>, 31–43. https://doi.org/10.1002/ajpa.22324</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White W (2007) Databases. In: </w:t>
      </w:r>
      <w:r w:rsidRPr="00E55686">
        <w:rPr>
          <w:rFonts w:ascii="Calibri" w:hAnsi="Calibri" w:cs="Calibri"/>
          <w:i/>
          <w:iCs/>
          <w:sz w:val="21"/>
        </w:rPr>
        <w:t>Advances in Human Palaeopathology</w:t>
      </w:r>
      <w:r w:rsidRPr="00E55686">
        <w:rPr>
          <w:rFonts w:ascii="Calibri" w:hAnsi="Calibri" w:cs="Calibri"/>
          <w:sz w:val="21"/>
        </w:rPr>
        <w:t xml:space="preserve">  (eds Pinhasi R, Mays S), pp. 177–188. Wiley. https://doi.org/10.1002/9780470724187.ch9</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White TD, Black MT, Folkens PA (2012) </w:t>
      </w:r>
      <w:r w:rsidRPr="00E55686">
        <w:rPr>
          <w:rFonts w:ascii="Calibri" w:hAnsi="Calibri" w:cs="Calibri"/>
          <w:i/>
          <w:iCs/>
          <w:sz w:val="21"/>
        </w:rPr>
        <w:t>Human osteology</w:t>
      </w:r>
      <w:r w:rsidRPr="00E55686">
        <w:rPr>
          <w:rFonts w:ascii="Calibri" w:hAnsi="Calibri" w:cs="Calibri"/>
          <w:sz w:val="21"/>
        </w:rPr>
        <w:t>. Academic Press, San Diego, Calif.</w:t>
      </w:r>
    </w:p>
    <w:p w:rsidR="00E55686" w:rsidRPr="00E55686" w:rsidRDefault="00E55686" w:rsidP="00E55686">
      <w:pPr>
        <w:pStyle w:val="Bibliography"/>
        <w:rPr>
          <w:rFonts w:ascii="Calibri" w:hAnsi="Calibri" w:cs="Calibri"/>
          <w:sz w:val="21"/>
        </w:rPr>
      </w:pPr>
      <w:r w:rsidRPr="00E55686">
        <w:rPr>
          <w:rFonts w:ascii="Calibri" w:hAnsi="Calibri" w:cs="Calibri"/>
          <w:sz w:val="21"/>
        </w:rPr>
        <w:t xml:space="preserve">Wickham H (2009) </w:t>
      </w:r>
      <w:r w:rsidRPr="00E55686">
        <w:rPr>
          <w:rFonts w:ascii="Calibri" w:hAnsi="Calibri" w:cs="Calibri"/>
          <w:i/>
          <w:iCs/>
          <w:sz w:val="21"/>
        </w:rPr>
        <w:t>ggplot2</w:t>
      </w:r>
      <w:r w:rsidRPr="00E55686">
        <w:rPr>
          <w:rFonts w:ascii="Calibri" w:hAnsi="Calibri" w:cs="Calibri"/>
          <w:sz w:val="21"/>
        </w:rPr>
        <w:t>. Springer New York, New York, NY. https://doi.org/10.1007/978-0-387-98141-3</w:t>
      </w:r>
    </w:p>
    <w:p w:rsidR="00E55686" w:rsidRPr="00E55686" w:rsidRDefault="00E55686" w:rsidP="00E55686">
      <w:pPr>
        <w:pStyle w:val="Bibliography"/>
        <w:rPr>
          <w:rFonts w:ascii="Calibri" w:hAnsi="Calibri" w:cs="Calibri"/>
          <w:sz w:val="21"/>
          <w:lang w:val="el-GR"/>
        </w:rPr>
      </w:pPr>
      <w:r w:rsidRPr="00E55686">
        <w:rPr>
          <w:rFonts w:ascii="Calibri" w:hAnsi="Calibri" w:cs="Calibri"/>
          <w:sz w:val="21"/>
        </w:rPr>
        <w:t xml:space="preserve">Wickham H, Averick M, Bryan J, Chang W, McGowan L, François R, Grolemund G, Hayes A, Henry L, Hester J, Kuhn M, Pedersen T, Miller E, Bache S, Müller K, Ooms J, Robinson D, Seidel D, Spinu V, Takahashi K, Vaughan D, Wilke C, Woo K, Yutani H (2019) Welcome to the Tidyverse. </w:t>
      </w:r>
      <w:r w:rsidRPr="00E55686">
        <w:rPr>
          <w:rFonts w:ascii="Calibri" w:hAnsi="Calibri" w:cs="Calibri"/>
          <w:i/>
          <w:iCs/>
          <w:sz w:val="21"/>
        </w:rPr>
        <w:t>Journal</w:t>
      </w:r>
      <w:r w:rsidRPr="00E55686">
        <w:rPr>
          <w:rFonts w:ascii="Calibri" w:hAnsi="Calibri" w:cs="Calibri"/>
          <w:i/>
          <w:iCs/>
          <w:sz w:val="21"/>
          <w:lang w:val="el-GR"/>
        </w:rPr>
        <w:t xml:space="preserve"> </w:t>
      </w:r>
      <w:r w:rsidRPr="00E55686">
        <w:rPr>
          <w:rFonts w:ascii="Calibri" w:hAnsi="Calibri" w:cs="Calibri"/>
          <w:i/>
          <w:iCs/>
          <w:sz w:val="21"/>
        </w:rPr>
        <w:t>of</w:t>
      </w:r>
      <w:r w:rsidRPr="00E55686">
        <w:rPr>
          <w:rFonts w:ascii="Calibri" w:hAnsi="Calibri" w:cs="Calibri"/>
          <w:i/>
          <w:iCs/>
          <w:sz w:val="21"/>
          <w:lang w:val="el-GR"/>
        </w:rPr>
        <w:t xml:space="preserve"> </w:t>
      </w:r>
      <w:r w:rsidRPr="00E55686">
        <w:rPr>
          <w:rFonts w:ascii="Calibri" w:hAnsi="Calibri" w:cs="Calibri"/>
          <w:i/>
          <w:iCs/>
          <w:sz w:val="21"/>
        </w:rPr>
        <w:t>Open</w:t>
      </w:r>
      <w:r w:rsidRPr="00E55686">
        <w:rPr>
          <w:rFonts w:ascii="Calibri" w:hAnsi="Calibri" w:cs="Calibri"/>
          <w:i/>
          <w:iCs/>
          <w:sz w:val="21"/>
          <w:lang w:val="el-GR"/>
        </w:rPr>
        <w:t xml:space="preserve"> </w:t>
      </w:r>
      <w:r w:rsidRPr="00E55686">
        <w:rPr>
          <w:rFonts w:ascii="Calibri" w:hAnsi="Calibri" w:cs="Calibri"/>
          <w:i/>
          <w:iCs/>
          <w:sz w:val="21"/>
        </w:rPr>
        <w:t>Source</w:t>
      </w:r>
      <w:r w:rsidRPr="00E55686">
        <w:rPr>
          <w:rFonts w:ascii="Calibri" w:hAnsi="Calibri" w:cs="Calibri"/>
          <w:i/>
          <w:iCs/>
          <w:sz w:val="21"/>
          <w:lang w:val="el-GR"/>
        </w:rPr>
        <w:t xml:space="preserve"> </w:t>
      </w:r>
      <w:r w:rsidRPr="00E55686">
        <w:rPr>
          <w:rFonts w:ascii="Calibri" w:hAnsi="Calibri" w:cs="Calibri"/>
          <w:i/>
          <w:iCs/>
          <w:sz w:val="21"/>
        </w:rPr>
        <w:t>Software</w:t>
      </w:r>
      <w:r w:rsidRPr="00E55686">
        <w:rPr>
          <w:rFonts w:ascii="Calibri" w:hAnsi="Calibri" w:cs="Calibri"/>
          <w:sz w:val="21"/>
          <w:lang w:val="el-GR"/>
        </w:rPr>
        <w:t xml:space="preserve">, </w:t>
      </w:r>
      <w:r w:rsidRPr="00E55686">
        <w:rPr>
          <w:rFonts w:ascii="Calibri" w:hAnsi="Calibri" w:cs="Calibri"/>
          <w:b/>
          <w:bCs/>
          <w:sz w:val="21"/>
          <w:lang w:val="el-GR"/>
        </w:rPr>
        <w:t>4</w:t>
      </w:r>
      <w:r w:rsidRPr="00E55686">
        <w:rPr>
          <w:rFonts w:ascii="Calibri" w:hAnsi="Calibri" w:cs="Calibri"/>
          <w:sz w:val="21"/>
          <w:lang w:val="el-GR"/>
        </w:rPr>
        <w:t xml:space="preserve">, 1686. </w:t>
      </w:r>
      <w:r w:rsidRPr="00E55686">
        <w:rPr>
          <w:rFonts w:ascii="Calibri" w:hAnsi="Calibri" w:cs="Calibri"/>
          <w:sz w:val="21"/>
        </w:rPr>
        <w:t>https</w:t>
      </w:r>
      <w:r w:rsidRPr="00E55686">
        <w:rPr>
          <w:rFonts w:ascii="Calibri" w:hAnsi="Calibri" w:cs="Calibri"/>
          <w:sz w:val="21"/>
          <w:lang w:val="el-GR"/>
        </w:rPr>
        <w:t>://</w:t>
      </w:r>
      <w:r w:rsidRPr="00E55686">
        <w:rPr>
          <w:rFonts w:ascii="Calibri" w:hAnsi="Calibri" w:cs="Calibri"/>
          <w:sz w:val="21"/>
        </w:rPr>
        <w:t>doi</w:t>
      </w:r>
      <w:r w:rsidRPr="00E55686">
        <w:rPr>
          <w:rFonts w:ascii="Calibri" w:hAnsi="Calibri" w:cs="Calibri"/>
          <w:sz w:val="21"/>
          <w:lang w:val="el-GR"/>
        </w:rPr>
        <w:t>.</w:t>
      </w:r>
      <w:r w:rsidRPr="00E55686">
        <w:rPr>
          <w:rFonts w:ascii="Calibri" w:hAnsi="Calibri" w:cs="Calibri"/>
          <w:sz w:val="21"/>
        </w:rPr>
        <w:t>org</w:t>
      </w:r>
      <w:r w:rsidRPr="00E55686">
        <w:rPr>
          <w:rFonts w:ascii="Calibri" w:hAnsi="Calibri" w:cs="Calibri"/>
          <w:sz w:val="21"/>
          <w:lang w:val="el-GR"/>
        </w:rPr>
        <w:t>/10.21105/</w:t>
      </w:r>
      <w:r w:rsidRPr="00E55686">
        <w:rPr>
          <w:rFonts w:ascii="Calibri" w:hAnsi="Calibri" w:cs="Calibri"/>
          <w:sz w:val="21"/>
        </w:rPr>
        <w:t>joss</w:t>
      </w:r>
      <w:r w:rsidRPr="00E55686">
        <w:rPr>
          <w:rFonts w:ascii="Calibri" w:hAnsi="Calibri" w:cs="Calibri"/>
          <w:sz w:val="21"/>
          <w:lang w:val="el-GR"/>
        </w:rPr>
        <w:t>.01686</w:t>
      </w:r>
    </w:p>
    <w:p w:rsidR="00E55686" w:rsidRPr="00E55686" w:rsidRDefault="00E55686" w:rsidP="00E55686">
      <w:pPr>
        <w:pStyle w:val="Bibliography"/>
        <w:rPr>
          <w:rFonts w:ascii="Calibri" w:hAnsi="Calibri" w:cs="Calibri"/>
          <w:sz w:val="21"/>
          <w:lang w:val="el-GR"/>
        </w:rPr>
      </w:pPr>
      <w:r w:rsidRPr="00E55686">
        <w:rPr>
          <w:rFonts w:ascii="Calibri" w:hAnsi="Calibri" w:cs="Calibri"/>
          <w:sz w:val="21"/>
          <w:lang w:val="el-GR"/>
        </w:rPr>
        <w:t xml:space="preserve">Ελληνική Κυβέρνηση (2015) </w:t>
      </w:r>
      <w:r w:rsidRPr="00E55686">
        <w:rPr>
          <w:rFonts w:ascii="Calibri" w:hAnsi="Calibri" w:cs="Calibri"/>
          <w:i/>
          <w:iCs/>
          <w:sz w:val="21"/>
          <w:lang w:val="el-GR"/>
        </w:rPr>
        <w:t>Εθνική Στρατηγική Έξυπνης Εξειδικευσης</w:t>
      </w:r>
      <w:r w:rsidRPr="00E55686">
        <w:rPr>
          <w:rFonts w:ascii="Calibri" w:hAnsi="Calibri" w:cs="Calibri"/>
          <w:sz w:val="21"/>
          <w:lang w:val="el-GR"/>
        </w:rPr>
        <w:t>.</w:t>
      </w:r>
    </w:p>
    <w:p w:rsidR="00E55686" w:rsidRPr="00E55686" w:rsidRDefault="00E55686" w:rsidP="00E55686">
      <w:pPr>
        <w:pStyle w:val="Bibliography"/>
        <w:rPr>
          <w:rFonts w:ascii="Calibri" w:hAnsi="Calibri" w:cs="Calibri"/>
          <w:sz w:val="21"/>
        </w:rPr>
      </w:pPr>
      <w:r w:rsidRPr="00E55686">
        <w:rPr>
          <w:rFonts w:ascii="Calibri" w:hAnsi="Calibri" w:cs="Calibri"/>
          <w:sz w:val="21"/>
          <w:lang w:val="el-GR"/>
        </w:rPr>
        <w:t xml:space="preserve">Παπαδοπούλου Β, Βάσιος Α, Παπακώστα Δ, Ξανθόπουλος Κ (2021) ΑΠΟΙΚΙΑ Ένα ερευνητικό πρόγραμμα ανασύστασης της πληθυσμιακής εικόνας της Αμβρακίας την εποχή του κορινθιακού αποικισμού. </w:t>
      </w:r>
      <w:r w:rsidRPr="00E55686">
        <w:rPr>
          <w:rFonts w:ascii="Calibri" w:hAnsi="Calibri" w:cs="Calibri"/>
          <w:i/>
          <w:iCs/>
          <w:sz w:val="21"/>
        </w:rPr>
        <w:t>Θέματα Αρχαιολογίας</w:t>
      </w:r>
      <w:r w:rsidRPr="00E55686">
        <w:rPr>
          <w:rFonts w:ascii="Calibri" w:hAnsi="Calibri" w:cs="Calibri"/>
          <w:sz w:val="21"/>
        </w:rPr>
        <w:t xml:space="preserve">, </w:t>
      </w:r>
      <w:r w:rsidRPr="00E55686">
        <w:rPr>
          <w:rFonts w:ascii="Calibri" w:hAnsi="Calibri" w:cs="Calibri"/>
          <w:b/>
          <w:bCs/>
          <w:sz w:val="21"/>
        </w:rPr>
        <w:t>5</w:t>
      </w:r>
      <w:r w:rsidRPr="00E55686">
        <w:rPr>
          <w:rFonts w:ascii="Calibri" w:hAnsi="Calibri" w:cs="Calibri"/>
          <w:sz w:val="21"/>
        </w:rPr>
        <w:t>, 112–123.</w:t>
      </w:r>
    </w:p>
    <w:p w:rsidR="00066A52" w:rsidRPr="00D637A6" w:rsidRDefault="0081779B" w:rsidP="002E311E">
      <w:pPr>
        <w:pBdr>
          <w:top w:val="nil"/>
          <w:left w:val="nil"/>
          <w:bottom w:val="nil"/>
          <w:right w:val="nil"/>
          <w:between w:val="nil"/>
        </w:pBdr>
        <w:ind w:left="289" w:hanging="289"/>
        <w:rPr>
          <w:rFonts w:asciiTheme="majorHAnsi" w:eastAsia="Calibri" w:hAnsiTheme="majorHAnsi" w:cstheme="majorHAnsi"/>
          <w:color w:val="000000"/>
          <w:sz w:val="21"/>
          <w:szCs w:val="21"/>
        </w:rPr>
      </w:pPr>
      <w:r>
        <w:rPr>
          <w:rFonts w:asciiTheme="majorHAnsi" w:eastAsia="Calibri" w:hAnsiTheme="majorHAnsi" w:cstheme="majorHAnsi"/>
          <w:color w:val="000000"/>
          <w:sz w:val="21"/>
          <w:szCs w:val="21"/>
        </w:rPr>
        <w:fldChar w:fldCharType="end"/>
      </w:r>
    </w:p>
    <w:sectPr w:rsidR="00066A52" w:rsidRPr="00D637A6" w:rsidSect="00FC678F">
      <w:footerReference w:type="default" r:id="rId14"/>
      <w:headerReference w:type="first" r:id="rId15"/>
      <w:footerReference w:type="first" r:id="rId16"/>
      <w:pgSz w:w="11901" w:h="16817"/>
      <w:pgMar w:top="1440" w:right="1440" w:bottom="1440" w:left="1440" w:header="862" w:footer="709" w:gutter="0"/>
      <w:lnNumType w:countBy="1" w:restart="continuous"/>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Kiriakos Xanthopoulos" w:date="2024-05-08T23:02:00Z" w:initials="KX">
    <w:p w:rsidR="00DE573D" w:rsidRDefault="00DE573D">
      <w:pPr>
        <w:pStyle w:val="CommentText"/>
      </w:pPr>
      <w:r>
        <w:rPr>
          <w:rStyle w:val="CommentReference"/>
        </w:rPr>
        <w:annotationRef/>
      </w:r>
      <w:r>
        <w:t>R2</w:t>
      </w:r>
    </w:p>
    <w:p w:rsidR="00DE573D" w:rsidRDefault="00DE573D" w:rsidP="00E55686">
      <w:pPr>
        <w:pStyle w:val="CommentText"/>
      </w:pPr>
      <w:r>
        <w:t xml:space="preserve"> </w:t>
      </w:r>
    </w:p>
    <w:p w:rsidR="00DE573D" w:rsidRDefault="00DE573D">
      <w:pPr>
        <w:pStyle w:val="CommentText"/>
      </w:pPr>
    </w:p>
    <w:p w:rsidR="00DE573D" w:rsidRDefault="00DE573D">
      <w:pPr>
        <w:pStyle w:val="CommentText"/>
      </w:pPr>
      <w:r>
        <w:t>d) In the beginning of the paper the authors mention R Scripts. For the task the authors are describing R markdown notebooks seem appropriate. Ha</w:t>
      </w:r>
      <w:r w:rsidR="00E55686">
        <w:t>ve the authors considered them?</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730A" w:rsidRDefault="00CD730A">
      <w:r>
        <w:separator/>
      </w:r>
    </w:p>
  </w:endnote>
  <w:endnote w:type="continuationSeparator" w:id="1">
    <w:p w:rsidR="00CD730A" w:rsidRDefault="00CD730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573D" w:rsidRDefault="00DE573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573D" w:rsidRDefault="00DE573D">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Pr>
        <w:color w:val="000000"/>
      </w:rPr>
      <w:fldChar w:fldCharType="end"/>
    </w:r>
  </w:p>
  <w:p w:rsidR="00DE573D" w:rsidRDefault="00DE573D">
    <w:pPr>
      <w:pBdr>
        <w:top w:val="nil"/>
        <w:left w:val="nil"/>
        <w:bottom w:val="nil"/>
        <w:right w:val="nil"/>
        <w:between w:val="nil"/>
      </w:pBdr>
      <w:tabs>
        <w:tab w:val="center" w:pos="4536"/>
        <w:tab w:val="right" w:pos="9072"/>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730A" w:rsidRDefault="00CD730A">
      <w:r>
        <w:separator/>
      </w:r>
    </w:p>
  </w:footnote>
  <w:footnote w:type="continuationSeparator" w:id="1">
    <w:p w:rsidR="00CD730A" w:rsidRDefault="00CD730A">
      <w:r>
        <w:continuationSeparator/>
      </w:r>
    </w:p>
  </w:footnote>
  <w:footnote w:id="2">
    <w:p w:rsidR="00DE573D" w:rsidRPr="00FF37CD" w:rsidRDefault="00DE573D">
      <w:pPr>
        <w:pStyle w:val="FootnoteText"/>
        <w:rPr>
          <w:lang w:val="en-US"/>
        </w:rPr>
      </w:pPr>
      <w:r>
        <w:rPr>
          <w:rStyle w:val="FootnoteReference"/>
        </w:rPr>
        <w:footnoteRef/>
      </w:r>
      <w:r>
        <w:t xml:space="preserve"> a</w:t>
      </w:r>
      <w:r w:rsidRPr="00AA719D">
        <w:t xml:space="preserve"> </w:t>
      </w:r>
      <w:r>
        <w:t>short but comprehensive list of the relevant packages includes</w:t>
      </w:r>
      <w:r>
        <w:rPr>
          <w:lang w:val="en-US"/>
        </w:rPr>
        <w:t xml:space="preserve"> </w:t>
      </w:r>
      <w:r w:rsidRPr="00C1790E">
        <w:rPr>
          <w:i/>
          <w:lang w:val="en-US"/>
        </w:rPr>
        <w:t>readxl</w:t>
      </w:r>
      <w:r>
        <w:rPr>
          <w:lang w:val="en-US"/>
        </w:rPr>
        <w:t xml:space="preserve"> </w:t>
      </w:r>
      <w:r>
        <w:rPr>
          <w:lang w:val="en-US"/>
        </w:rPr>
        <w:fldChar w:fldCharType="begin"/>
      </w:r>
      <w:r>
        <w:rPr>
          <w:lang w:val="en-US"/>
        </w:rPr>
        <w:instrText xml:space="preserve"> ADDIN ZOTERO_ITEM CSL_CITATION {"citationID":"b7yXLLy0","properties":{"formattedCitation":"(\\uc0\\u8220{}tidyverse/readxl,\\uc0\\u8221{} 2024)","plainCitation":"(“tidyverse/readxl,” 2024)","noteIndex":1},"citationItems":[{"id":28081,"uris":["http://zotero.org/users/859559/items/Z8X5BWLQ"],"itemData":{"id":28081,"type":"software","abstract":"Read excel files (.xls and .xlsx) into R 🖇","genre":"C++","note":"original-date: 2015-03-13T14:50:20Z","publisher":"tidyverse","source":"GitHub","title":"tidyverse/readxl","URL":"https://github.com/tidyverse/readxl","accessed":{"date-parts":[["2024",5,8]]},"issued":{"date-parts":[["2024",4,12]]},"citation-key":"noauthor_tidyversereadxl_2024"}}],"schema":"https://github.com/citation-style-language/schema/raw/master/csl-citation.json"} </w:instrText>
      </w:r>
      <w:r>
        <w:rPr>
          <w:lang w:val="en-US"/>
        </w:rPr>
        <w:fldChar w:fldCharType="separate"/>
      </w:r>
      <w:r w:rsidRPr="00D62E74">
        <w:rPr>
          <w:szCs w:val="24"/>
        </w:rPr>
        <w:t>(“tidyverse/readxl,” 2024)</w:t>
      </w:r>
      <w:r>
        <w:rPr>
          <w:lang w:val="en-US"/>
        </w:rPr>
        <w:fldChar w:fldCharType="end"/>
      </w:r>
      <w:r>
        <w:rPr>
          <w:lang w:val="en-US"/>
        </w:rPr>
        <w:t xml:space="preserve">, </w:t>
      </w:r>
      <w:r w:rsidRPr="00C1790E">
        <w:rPr>
          <w:i/>
          <w:lang w:val="en-US"/>
        </w:rPr>
        <w:t>tidyverse</w:t>
      </w:r>
      <w:r>
        <w:rPr>
          <w:lang w:val="en-US"/>
        </w:rPr>
        <w:fldChar w:fldCharType="begin"/>
      </w:r>
      <w:r>
        <w:rPr>
          <w:lang w:val="en-US"/>
        </w:rPr>
        <w:instrText xml:space="preserve"> ADDIN ZOTERO_ITEM CSL_CITATION {"citationID":"9ggiRK2t","properties":{"formattedCitation":"(Wickham et al., 2019)","plainCitation":"(Wickham et al., 2019)","noteIndex":1},"citationItems":[{"id":28079,"uris":["http://zotero.org/users/859559/items/CMUAVFTQ"],"itemData":{"id":28079,"type":"article-journal","container-title":"Journal of Open Source Software","DOI":"10.21105/joss.01686","ISSN":"2475-9066","issue":"43","journalAbbreviation":"JOSS","license":"http://creativecommons.org/licenses/by/4.0/","page":"1686","source":"DOI.org (Crossref)","title":"Welcome to the Tidyverse","volume":"4","author":[{"family":"Wickham","given":"Hadley"},{"family":"Averick","given":"Mara"},{"family":"Bryan","given":"Jennifer"},{"family":"Chang","given":"Winston"},{"family":"McGowan","given":"Lucy"},{"family":"François","given":"Romain"},{"family":"Grolemund","given":"Garrett"},{"family":"Hayes","given":"Alex"},{"family":"Henry","given":"Lionel"},{"family":"Hester","given":"Jim"},{"family":"Kuhn","given":"Max"},{"family":"Pedersen","given":"Thomas"},{"family":"Miller","given":"Evan"},{"family":"Bache","given":"Stephan"},{"family":"Müller","given":"Kirill"},{"family":"Ooms","given":"Jeroen"},{"family":"Robinson","given":"David"},{"family":"Seidel","given":"Dana"},{"family":"Spinu","given":"Vitalie"},{"family":"Takahashi","given":"Kohske"},{"family":"Vaughan","given":"Davis"},{"family":"Wilke","given":"Claus"},{"family":"Woo","given":"Kara"},{"family":"Yutani","given":"Hiroaki"}],"issued":{"date-parts":[["2019",11,21]]},"citation-key":"wickham_welcome_2019"}}],"schema":"https://github.com/citation-style-language/schema/raw/master/csl-citation.json"} </w:instrText>
      </w:r>
      <w:r>
        <w:rPr>
          <w:lang w:val="en-US"/>
        </w:rPr>
        <w:fldChar w:fldCharType="separate"/>
      </w:r>
      <w:r w:rsidRPr="00D62E74">
        <w:t>(Wickham et al., 2019)</w:t>
      </w:r>
      <w:r>
        <w:rPr>
          <w:lang w:val="en-US"/>
        </w:rPr>
        <w:fldChar w:fldCharType="end"/>
      </w:r>
      <w:r>
        <w:rPr>
          <w:lang w:val="en-US"/>
        </w:rPr>
        <w:t xml:space="preserve">, </w:t>
      </w:r>
      <w:r w:rsidRPr="00C1790E">
        <w:rPr>
          <w:i/>
          <w:lang w:val="en-US"/>
        </w:rPr>
        <w:t>writexl</w:t>
      </w:r>
      <w:r>
        <w:rPr>
          <w:lang w:val="en-US"/>
        </w:rPr>
        <w:t xml:space="preserve"> </w:t>
      </w:r>
      <w:r>
        <w:rPr>
          <w:lang w:val="en-US"/>
        </w:rPr>
        <w:fldChar w:fldCharType="begin"/>
      </w:r>
      <w:r>
        <w:rPr>
          <w:lang w:val="en-US"/>
        </w:rPr>
        <w:instrText xml:space="preserve"> ADDIN ZOTERO_ITEM CSL_CITATION {"citationID":"VQ22zZhq","properties":{"formattedCitation":"(\\uc0\\u8220{}ropensci/writexl,\\uc0\\u8221{} 2024)","plainCitation":"(“ropensci/writexl,” 2024)","noteIndex":1},"citationItems":[{"id":28082,"uris":["http://zotero.org/users/859559/items/GPBZMBES"],"itemData":{"id":28082,"type":"software","abstract":"Portable, light-weight data frame to xlsx exporter for R","genre":"C","note":"original-date: 2017-08-20T23:10:57Z","publisher":"rOpenSci","source":"GitHub","title":"ropensci/writexl","URL":"https://github.com/ropensci/writexl","accessed":{"date-parts":[["2024",5,8]]},"issued":{"date-parts":[["2024",5,2]]},"citation-key":"noauthor_ropensciwritexl_2024"}}],"schema":"https://github.com/citation-style-language/schema/raw/master/csl-citation.json"} </w:instrText>
      </w:r>
      <w:r>
        <w:rPr>
          <w:lang w:val="en-US"/>
        </w:rPr>
        <w:fldChar w:fldCharType="separate"/>
      </w:r>
      <w:r w:rsidRPr="00C1790E">
        <w:rPr>
          <w:szCs w:val="24"/>
        </w:rPr>
        <w:t>(“ropensci/writexl,” 2024)</w:t>
      </w:r>
      <w:r>
        <w:rPr>
          <w:lang w:val="en-US"/>
        </w:rPr>
        <w:fldChar w:fldCharType="end"/>
      </w:r>
      <w:r>
        <w:rPr>
          <w:lang w:val="en-US"/>
        </w:rPr>
        <w:t xml:space="preserve">, </w:t>
      </w:r>
      <w:r w:rsidRPr="00C1790E">
        <w:rPr>
          <w:i/>
          <w:lang w:val="en-US"/>
        </w:rPr>
        <w:t>gtsummary</w:t>
      </w:r>
      <w:r>
        <w:rPr>
          <w:lang w:val="en-US"/>
        </w:rPr>
        <w:t xml:space="preserve"> </w:t>
      </w:r>
      <w:r>
        <w:rPr>
          <w:lang w:val="en-US"/>
        </w:rPr>
        <w:fldChar w:fldCharType="begin"/>
      </w:r>
      <w:r>
        <w:rPr>
          <w:lang w:val="en-US"/>
        </w:rPr>
        <w:instrText xml:space="preserve"> ADDIN ZOTERO_ITEM CSL_CITATION {"citationID":"wJ7MEiOf","properties":{"formattedCitation":"(Sjoberg et al., 2021)","plainCitation":"(Sjoberg et al., 2021)","noteIndex":1},"citationItems":[{"id":24819,"uris":["http://zotero.org/users/859559/items/ZX68KXQG"],"itemData":{"id":24819,"type":"software","abstract":"Presentation-Ready Data Summary and Analytic Result Tables","genre":"R","note":"DOI: 10.32614/RJ-2021-053\nissue: 1\npage: 570–580\ncontainer-title: The R Journal\nvolume: 13\noriginal-date: 2019-02-27T02:44:33Z","source":"GitHub","title":"Reproducible Summary Tables with the gtsummary Package","URL":"https://doi.org/10.32614/RJ-2021-053","version":"1.4.2","author":[{"family":"Sjoberg","given":"Daniel D."},{"family":"Whiting","given":"Karissa"},{"family":"Curry","given":"Michael"},{"family":"Lavery","given":"Jessica A."},{"family":"Larmarange","given":"Joseph"}],"accessed":{"date-parts":[["2023",7,17]]},"issued":{"date-parts":[["2021"]]},"citation-key":"sjoberg_reproducible_2021"}}],"schema":"https://github.com/citation-style-language/schema/raw/master/csl-citation.json"} </w:instrText>
      </w:r>
      <w:r>
        <w:rPr>
          <w:lang w:val="en-US"/>
        </w:rPr>
        <w:fldChar w:fldCharType="separate"/>
      </w:r>
      <w:r w:rsidRPr="00C1790E">
        <w:t>(Sjoberg et al., 2021)</w:t>
      </w:r>
      <w:r>
        <w:rPr>
          <w:lang w:val="en-US"/>
        </w:rPr>
        <w:fldChar w:fldCharType="end"/>
      </w:r>
      <w:r>
        <w:rPr>
          <w:lang w:val="en-US"/>
        </w:rPr>
        <w:t xml:space="preserve"> </w:t>
      </w:r>
      <w:r w:rsidRPr="00C1790E">
        <w:rPr>
          <w:lang w:val="en-US"/>
        </w:rPr>
        <w:t xml:space="preserve">, </w:t>
      </w:r>
      <w:r w:rsidRPr="00C1790E">
        <w:rPr>
          <w:i/>
          <w:lang w:val="en-US"/>
        </w:rPr>
        <w:t>ggplot2</w:t>
      </w:r>
      <w:r>
        <w:rPr>
          <w:lang w:val="en-US"/>
        </w:rPr>
        <w:t xml:space="preserve"> </w:t>
      </w:r>
      <w:r>
        <w:rPr>
          <w:lang w:val="en-US"/>
        </w:rPr>
        <w:fldChar w:fldCharType="begin"/>
      </w:r>
      <w:r>
        <w:rPr>
          <w:lang w:val="en-US"/>
        </w:rPr>
        <w:instrText xml:space="preserve"> ADDIN ZOTERO_ITEM CSL_CITATION {"citationID":"ybE5zmyU","properties":{"formattedCitation":"(Wickham, 2009)","plainCitation":"(Wickham, 2009)","noteIndex":1},"citationItems":[{"id":22193,"uris":["http://zotero.org/users/859559/items/RLIUXHB6"],"itemData":{"id":22193,"type":"book","event-place":"New York, NY","ISBN":"978-0-387-98140-6","language":"en","note":"DOI: 10.1007/978-0-387-98141-3","publisher":"Springer New York","publisher-place":"New York, NY","source":"DOI.org (Crossref)","title":"ggplot2","URL":"http://link.springer.com/10.1007/978-0-387-98141-3","author":[{"family":"Wickham","given":"Hadley"}],"accessed":{"date-parts":[["2021",1,9]]},"issued":{"date-parts":[["2009"]]},"citation-key":"wickham_ggplot2_2009"}}],"schema":"https://github.com/citation-style-language/schema/raw/master/csl-citation.json"} </w:instrText>
      </w:r>
      <w:r>
        <w:rPr>
          <w:lang w:val="en-US"/>
        </w:rPr>
        <w:fldChar w:fldCharType="separate"/>
      </w:r>
      <w:r w:rsidRPr="00C1790E">
        <w:t>(Wickham, 2009)</w:t>
      </w:r>
      <w:r>
        <w:rPr>
          <w:lang w:val="en-US"/>
        </w:rPr>
        <w:fldChar w:fldCharType="end"/>
      </w:r>
      <w:r>
        <w:rPr>
          <w:lang w:val="en-US"/>
        </w:rPr>
        <w:t xml:space="preserve">, </w:t>
      </w:r>
      <w:r w:rsidRPr="00C1790E">
        <w:rPr>
          <w:i/>
          <w:lang w:val="en-US"/>
        </w:rPr>
        <w:t>shiny</w:t>
      </w:r>
      <w:r>
        <w:rPr>
          <w:lang w:val="en-US"/>
        </w:rPr>
        <w:t xml:space="preserve"> </w:t>
      </w:r>
      <w:r>
        <w:rPr>
          <w:lang w:val="en-US"/>
        </w:rPr>
        <w:fldChar w:fldCharType="begin"/>
      </w:r>
      <w:r>
        <w:rPr>
          <w:lang w:val="en-US"/>
        </w:rPr>
        <w:instrText xml:space="preserve"> ADDIN ZOTERO_ITEM CSL_CITATION {"citationID":"8VUNj0H1","properties":{"formattedCitation":"(\\uc0\\u8220{}rstudio/shiny,\\uc0\\u8221{} 2022)","plainCitation":"(“rstudio/shiny,” 2022)","noteIndex":1},"citationItems":[{"id":24059,"uris":["http://zotero.org/users/859559/items/HGQ2983J"],"itemData":{"id":24059,"type":"software","abstract":"Easy interactive web applications with R","genre":"R","note":"original-date: 2012-06-20T18:45:11Z","publisher":"RStudio","source":"GitHub","title":"rstudio/shiny","URL":"https://github.com/rstudio/shiny","accessed":{"date-parts":[["2022",11,13]]},"issued":{"date-parts":[["2022",11,13]]},"citation-key":"noauthor_rstudioshiny_2022"}}],"schema":"https://github.com/citation-style-language/schema/raw/master/csl-citation.json"} </w:instrText>
      </w:r>
      <w:r>
        <w:rPr>
          <w:lang w:val="en-US"/>
        </w:rPr>
        <w:fldChar w:fldCharType="separate"/>
      </w:r>
      <w:r w:rsidRPr="00FF37CD">
        <w:rPr>
          <w:szCs w:val="24"/>
        </w:rPr>
        <w:t>(“rstudio/shiny,” 2022)</w:t>
      </w:r>
      <w:r>
        <w:rPr>
          <w:lang w:val="en-US"/>
        </w:rPr>
        <w:fldChar w:fldCharType="end"/>
      </w:r>
      <w:r>
        <w:rPr>
          <w:lang w:val="en-US"/>
        </w:rPr>
        <w:t>.</w:t>
      </w:r>
    </w:p>
  </w:footnote>
  <w:footnote w:id="3">
    <w:p w:rsidR="00DE573D" w:rsidRPr="00D67BB4" w:rsidRDefault="00DE573D" w:rsidP="00D67BB4">
      <w:pPr>
        <w:pStyle w:val="FootnoteText"/>
      </w:pPr>
      <w:r>
        <w:rPr>
          <w:rStyle w:val="FootnoteReference"/>
        </w:rPr>
        <w:footnoteRef/>
      </w:r>
      <w:r>
        <w:t xml:space="preserve"> </w:t>
      </w:r>
      <w:r w:rsidRPr="00D67BB4">
        <w:t xml:space="preserve">for more detailed bibliography on the </w:t>
      </w:r>
      <w:r>
        <w:t xml:space="preserve">relevant fields </w:t>
      </w:r>
      <w:r w:rsidRPr="00D67BB4">
        <w:t xml:space="preserve">of bioarchaeological analysis see: </w:t>
      </w:r>
      <w:r w:rsidRPr="00D67BB4">
        <w:rPr>
          <w:b/>
        </w:rPr>
        <w:t>age calculation</w:t>
      </w:r>
      <w:r w:rsidRPr="00D67BB4">
        <w:t xml:space="preserve"> (AlQahtani, Hector, and Liversidge 2010; Buckberry and Chamberlain 2002; Kemkes-Grottenthaler 2002; Papageorgopoulou et al. 2015b; Schaefer, Scheuer, and Black 2009), </w:t>
      </w:r>
      <w:r w:rsidRPr="00D67BB4">
        <w:rPr>
          <w:b/>
        </w:rPr>
        <w:t>sex determination</w:t>
      </w:r>
      <w:r w:rsidRPr="00D67BB4">
        <w:t xml:space="preserve"> (Brůžek et al. 2017; Klales, Ousley, and Vollner 2012; Papageorgopoulou et al. 2015b; Passalacqua, Zhang, and Pierce 2013; Rennie and Ohman 2014; Viciano, López‐Lázaro, and Alemán 2013; Walker 2008; Walrath, Turner, and Bruzek 2004), </w:t>
      </w:r>
      <w:r w:rsidRPr="00D67BB4">
        <w:rPr>
          <w:b/>
        </w:rPr>
        <w:t>height estimation</w:t>
      </w:r>
      <w:r w:rsidRPr="00D67BB4">
        <w:t xml:space="preserve">(Papageorgopoulou et al. 2015a; Raxter, Auerbach, and Ruff 2006; Raxter and Ruff 2018), </w:t>
      </w:r>
      <w:r w:rsidRPr="00D67BB4">
        <w:rPr>
          <w:b/>
        </w:rPr>
        <w:t>dental pathology</w:t>
      </w:r>
      <w:r w:rsidRPr="00D67BB4">
        <w:t xml:space="preserve"> (Beck and Smith 2019; Boldsen 2007; D’Anastasio et al. 2013; Garcin et al. 2010; Keenleyside 2008; Primeau, Homøe, and Lynnerup 2018; H. Rathmann, Semerari, and Harvati 2017; Hannes Rathmann et al. 2019; E. C. Scott 1979; Šlaus, Pećina-Šlaus, and Brkić 2004; Smith 1984) and </w:t>
      </w:r>
      <w:r w:rsidRPr="00D67BB4">
        <w:rPr>
          <w:b/>
        </w:rPr>
        <w:t>isotope data</w:t>
      </w:r>
      <w:r w:rsidRPr="00D67BB4">
        <w:t xml:space="preserve"> (Reitsema et al. 2022).</w:t>
      </w:r>
      <w:r w:rsidRPr="00D67BB4">
        <w:annotationRef/>
      </w:r>
    </w:p>
    <w:p w:rsidR="00DE573D" w:rsidRPr="00D67BB4" w:rsidRDefault="00DE573D">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573D" w:rsidRDefault="00DE573D">
    <w:pPr>
      <w:pBdr>
        <w:top w:val="nil"/>
        <w:left w:val="nil"/>
        <w:bottom w:val="nil"/>
        <w:right w:val="nil"/>
        <w:between w:val="nil"/>
      </w:pBdr>
      <w:tabs>
        <w:tab w:val="center" w:pos="4536"/>
        <w:tab w:val="right" w:pos="9072"/>
        <w:tab w:val="left" w:pos="8204"/>
      </w:tabs>
      <w:ind w:left="-284"/>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FB1A8B"/>
    <w:multiLevelType w:val="multilevel"/>
    <w:tmpl w:val="0426A4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A5F31A7"/>
    <w:multiLevelType w:val="multilevel"/>
    <w:tmpl w:val="1E90F42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1"/>
  <w:defaultTabStop w:val="720"/>
  <w:characterSpacingControl w:val="doNotCompress"/>
  <w:footnotePr>
    <w:footnote w:id="0"/>
    <w:footnote w:id="1"/>
  </w:footnotePr>
  <w:endnotePr>
    <w:endnote w:id="0"/>
    <w:endnote w:id="1"/>
  </w:endnotePr>
  <w:compat/>
  <w:rsids>
    <w:rsidRoot w:val="00066A52"/>
    <w:rsid w:val="00066A52"/>
    <w:rsid w:val="000768B3"/>
    <w:rsid w:val="000965B2"/>
    <w:rsid w:val="000B2F84"/>
    <w:rsid w:val="000C5161"/>
    <w:rsid w:val="00166483"/>
    <w:rsid w:val="001C147D"/>
    <w:rsid w:val="001C23BD"/>
    <w:rsid w:val="001E163C"/>
    <w:rsid w:val="001F1CE1"/>
    <w:rsid w:val="00207D3B"/>
    <w:rsid w:val="00210482"/>
    <w:rsid w:val="002971AF"/>
    <w:rsid w:val="002A5A8D"/>
    <w:rsid w:val="002D3261"/>
    <w:rsid w:val="002E311E"/>
    <w:rsid w:val="00300360"/>
    <w:rsid w:val="00344EF2"/>
    <w:rsid w:val="00471EAF"/>
    <w:rsid w:val="00481758"/>
    <w:rsid w:val="00510563"/>
    <w:rsid w:val="0056298F"/>
    <w:rsid w:val="00565450"/>
    <w:rsid w:val="00586FE7"/>
    <w:rsid w:val="00592E27"/>
    <w:rsid w:val="005D254E"/>
    <w:rsid w:val="005E0048"/>
    <w:rsid w:val="00635C21"/>
    <w:rsid w:val="0068036B"/>
    <w:rsid w:val="006A0198"/>
    <w:rsid w:val="006E6CCB"/>
    <w:rsid w:val="006F2DFC"/>
    <w:rsid w:val="00732EA5"/>
    <w:rsid w:val="0076031A"/>
    <w:rsid w:val="007A4D0D"/>
    <w:rsid w:val="00803C1D"/>
    <w:rsid w:val="0081779B"/>
    <w:rsid w:val="0086646B"/>
    <w:rsid w:val="00896EBA"/>
    <w:rsid w:val="008A5D31"/>
    <w:rsid w:val="008D4330"/>
    <w:rsid w:val="008E17D7"/>
    <w:rsid w:val="00900991"/>
    <w:rsid w:val="009558F0"/>
    <w:rsid w:val="00962FA4"/>
    <w:rsid w:val="009A6236"/>
    <w:rsid w:val="009C232A"/>
    <w:rsid w:val="009D68E5"/>
    <w:rsid w:val="009E10A1"/>
    <w:rsid w:val="00A00F22"/>
    <w:rsid w:val="00A01E1D"/>
    <w:rsid w:val="00A465AA"/>
    <w:rsid w:val="00AA07E7"/>
    <w:rsid w:val="00AA719D"/>
    <w:rsid w:val="00AF1389"/>
    <w:rsid w:val="00B14162"/>
    <w:rsid w:val="00B67765"/>
    <w:rsid w:val="00B83B09"/>
    <w:rsid w:val="00B91A3B"/>
    <w:rsid w:val="00BD7908"/>
    <w:rsid w:val="00C07823"/>
    <w:rsid w:val="00C1790E"/>
    <w:rsid w:val="00C20E60"/>
    <w:rsid w:val="00C31CEA"/>
    <w:rsid w:val="00C63347"/>
    <w:rsid w:val="00C751E6"/>
    <w:rsid w:val="00C8755D"/>
    <w:rsid w:val="00CD730A"/>
    <w:rsid w:val="00D25904"/>
    <w:rsid w:val="00D439CD"/>
    <w:rsid w:val="00D50684"/>
    <w:rsid w:val="00D62E74"/>
    <w:rsid w:val="00D637A6"/>
    <w:rsid w:val="00D67BB4"/>
    <w:rsid w:val="00DE4A04"/>
    <w:rsid w:val="00DE573D"/>
    <w:rsid w:val="00E01C9D"/>
    <w:rsid w:val="00E10B94"/>
    <w:rsid w:val="00E46FD7"/>
    <w:rsid w:val="00E55686"/>
    <w:rsid w:val="00E9202D"/>
    <w:rsid w:val="00F3798F"/>
    <w:rsid w:val="00FA590A"/>
    <w:rsid w:val="00FB488B"/>
    <w:rsid w:val="00FC678F"/>
    <w:rsid w:val="00FF37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GB" w:eastAsia="el-GR"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78F"/>
  </w:style>
  <w:style w:type="paragraph" w:styleId="Heading1">
    <w:name w:val="heading 1"/>
    <w:basedOn w:val="Normal"/>
    <w:next w:val="Normal"/>
    <w:uiPriority w:val="9"/>
    <w:qFormat/>
    <w:rsid w:val="00FC678F"/>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rsid w:val="00FC678F"/>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rsid w:val="00FC678F"/>
    <w:pPr>
      <w:keepNext/>
      <w:keepLines/>
      <w:spacing w:before="40"/>
      <w:ind w:left="720" w:hanging="720"/>
      <w:outlineLvl w:val="2"/>
    </w:pPr>
    <w:rPr>
      <w:rFonts w:ascii="Calibri" w:eastAsia="Calibri" w:hAnsi="Calibri" w:cs="Calibri"/>
      <w:color w:val="1F3863"/>
      <w:sz w:val="24"/>
      <w:szCs w:val="24"/>
    </w:rPr>
  </w:style>
  <w:style w:type="paragraph" w:styleId="Heading4">
    <w:name w:val="heading 4"/>
    <w:basedOn w:val="Normal"/>
    <w:next w:val="Normal"/>
    <w:uiPriority w:val="9"/>
    <w:semiHidden/>
    <w:unhideWhenUsed/>
    <w:qFormat/>
    <w:rsid w:val="00FC678F"/>
    <w:pPr>
      <w:keepNext/>
      <w:keepLines/>
      <w:spacing w:before="4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rsid w:val="00FC678F"/>
    <w:pPr>
      <w:keepNext/>
      <w:keepLines/>
      <w:spacing w:before="4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rsid w:val="00FC678F"/>
    <w:pPr>
      <w:keepNext/>
      <w:keepLines/>
      <w:spacing w:before="40"/>
      <w:ind w:left="1152" w:hanging="1152"/>
      <w:outlineLvl w:val="5"/>
    </w:pPr>
    <w:rPr>
      <w:rFonts w:ascii="Calibri" w:eastAsia="Calibri" w:hAnsi="Calibri" w:cs="Calibri"/>
      <w:color w:val="1F3863"/>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FC678F"/>
    <w:tblPr>
      <w:tblCellMar>
        <w:top w:w="0" w:type="dxa"/>
        <w:left w:w="0" w:type="dxa"/>
        <w:bottom w:w="0" w:type="dxa"/>
        <w:right w:w="0" w:type="dxa"/>
      </w:tblCellMar>
    </w:tblPr>
  </w:style>
  <w:style w:type="paragraph" w:styleId="Title">
    <w:name w:val="Title"/>
    <w:basedOn w:val="Normal"/>
    <w:next w:val="Normal"/>
    <w:uiPriority w:val="10"/>
    <w:qFormat/>
    <w:rsid w:val="00FC678F"/>
    <w:rPr>
      <w:rFonts w:ascii="Calibri" w:eastAsia="Calibri" w:hAnsi="Calibri" w:cs="Calibri"/>
      <w:sz w:val="56"/>
      <w:szCs w:val="56"/>
    </w:rPr>
  </w:style>
  <w:style w:type="paragraph" w:styleId="Subtitle">
    <w:name w:val="Subtitle"/>
    <w:basedOn w:val="Normal"/>
    <w:next w:val="Normal"/>
    <w:uiPriority w:val="11"/>
    <w:qFormat/>
    <w:rsid w:val="00FC678F"/>
    <w:pPr>
      <w:spacing w:after="160"/>
    </w:pPr>
    <w:rPr>
      <w:color w:val="5A5A5A"/>
    </w:rPr>
  </w:style>
  <w:style w:type="character" w:styleId="LineNumber">
    <w:name w:val="line number"/>
    <w:basedOn w:val="DefaultParagraphFont"/>
    <w:uiPriority w:val="99"/>
    <w:semiHidden/>
    <w:unhideWhenUsed/>
    <w:rsid w:val="00C751E6"/>
  </w:style>
  <w:style w:type="paragraph" w:styleId="DocumentMap">
    <w:name w:val="Document Map"/>
    <w:basedOn w:val="Normal"/>
    <w:link w:val="DocumentMapChar"/>
    <w:uiPriority w:val="99"/>
    <w:semiHidden/>
    <w:unhideWhenUsed/>
    <w:rsid w:val="00DE4A04"/>
    <w:rPr>
      <w:rFonts w:ascii="Tahoma" w:hAnsi="Tahoma" w:cs="Tahoma"/>
      <w:sz w:val="16"/>
      <w:szCs w:val="16"/>
    </w:rPr>
  </w:style>
  <w:style w:type="character" w:customStyle="1" w:styleId="DocumentMapChar">
    <w:name w:val="Document Map Char"/>
    <w:basedOn w:val="DefaultParagraphFont"/>
    <w:link w:val="DocumentMap"/>
    <w:uiPriority w:val="99"/>
    <w:semiHidden/>
    <w:rsid w:val="00DE4A04"/>
    <w:rPr>
      <w:rFonts w:ascii="Tahoma" w:hAnsi="Tahoma" w:cs="Tahoma"/>
      <w:sz w:val="16"/>
      <w:szCs w:val="16"/>
    </w:rPr>
  </w:style>
  <w:style w:type="paragraph" w:styleId="BalloonText">
    <w:name w:val="Balloon Text"/>
    <w:basedOn w:val="Normal"/>
    <w:link w:val="BalloonTextChar"/>
    <w:uiPriority w:val="99"/>
    <w:semiHidden/>
    <w:unhideWhenUsed/>
    <w:rsid w:val="00DE4A04"/>
    <w:rPr>
      <w:rFonts w:ascii="Tahoma" w:hAnsi="Tahoma" w:cs="Tahoma"/>
      <w:sz w:val="16"/>
      <w:szCs w:val="16"/>
    </w:rPr>
  </w:style>
  <w:style w:type="character" w:customStyle="1" w:styleId="BalloonTextChar">
    <w:name w:val="Balloon Text Char"/>
    <w:basedOn w:val="DefaultParagraphFont"/>
    <w:link w:val="BalloonText"/>
    <w:uiPriority w:val="99"/>
    <w:semiHidden/>
    <w:rsid w:val="00DE4A04"/>
    <w:rPr>
      <w:rFonts w:ascii="Tahoma" w:hAnsi="Tahoma" w:cs="Tahoma"/>
      <w:sz w:val="16"/>
      <w:szCs w:val="16"/>
    </w:rPr>
  </w:style>
  <w:style w:type="character" w:styleId="Hyperlink">
    <w:name w:val="Hyperlink"/>
    <w:basedOn w:val="DefaultParagraphFont"/>
    <w:uiPriority w:val="99"/>
    <w:unhideWhenUsed/>
    <w:rsid w:val="00DE4A04"/>
    <w:rPr>
      <w:color w:val="0000FF" w:themeColor="hyperlink"/>
      <w:u w:val="single"/>
    </w:rPr>
  </w:style>
  <w:style w:type="character" w:styleId="CommentReference">
    <w:name w:val="annotation reference"/>
    <w:basedOn w:val="DefaultParagraphFont"/>
    <w:uiPriority w:val="99"/>
    <w:semiHidden/>
    <w:unhideWhenUsed/>
    <w:rsid w:val="00F3798F"/>
    <w:rPr>
      <w:sz w:val="16"/>
      <w:szCs w:val="16"/>
    </w:rPr>
  </w:style>
  <w:style w:type="paragraph" w:styleId="CommentText">
    <w:name w:val="annotation text"/>
    <w:basedOn w:val="Normal"/>
    <w:link w:val="CommentTextChar"/>
    <w:uiPriority w:val="99"/>
    <w:unhideWhenUsed/>
    <w:rsid w:val="00F3798F"/>
    <w:rPr>
      <w:sz w:val="20"/>
      <w:szCs w:val="20"/>
    </w:rPr>
  </w:style>
  <w:style w:type="character" w:customStyle="1" w:styleId="CommentTextChar">
    <w:name w:val="Comment Text Char"/>
    <w:basedOn w:val="DefaultParagraphFont"/>
    <w:link w:val="CommentText"/>
    <w:uiPriority w:val="99"/>
    <w:rsid w:val="00F3798F"/>
    <w:rPr>
      <w:sz w:val="20"/>
      <w:szCs w:val="20"/>
    </w:rPr>
  </w:style>
  <w:style w:type="paragraph" w:styleId="CommentSubject">
    <w:name w:val="annotation subject"/>
    <w:basedOn w:val="CommentText"/>
    <w:next w:val="CommentText"/>
    <w:link w:val="CommentSubjectChar"/>
    <w:uiPriority w:val="99"/>
    <w:semiHidden/>
    <w:unhideWhenUsed/>
    <w:rsid w:val="00F3798F"/>
    <w:rPr>
      <w:b/>
      <w:bCs/>
    </w:rPr>
  </w:style>
  <w:style w:type="character" w:customStyle="1" w:styleId="CommentSubjectChar">
    <w:name w:val="Comment Subject Char"/>
    <w:basedOn w:val="CommentTextChar"/>
    <w:link w:val="CommentSubject"/>
    <w:uiPriority w:val="99"/>
    <w:semiHidden/>
    <w:rsid w:val="00F3798F"/>
    <w:rPr>
      <w:b/>
      <w:bCs/>
    </w:rPr>
  </w:style>
  <w:style w:type="paragraph" w:styleId="Bibliography">
    <w:name w:val="Bibliography"/>
    <w:basedOn w:val="Normal"/>
    <w:next w:val="Normal"/>
    <w:uiPriority w:val="37"/>
    <w:unhideWhenUsed/>
    <w:rsid w:val="00166483"/>
    <w:pPr>
      <w:spacing w:line="480" w:lineRule="auto"/>
      <w:ind w:left="720" w:hanging="720"/>
    </w:pPr>
  </w:style>
  <w:style w:type="paragraph" w:styleId="Header">
    <w:name w:val="header"/>
    <w:basedOn w:val="Normal"/>
    <w:link w:val="HeaderChar"/>
    <w:uiPriority w:val="99"/>
    <w:semiHidden/>
    <w:unhideWhenUsed/>
    <w:rsid w:val="00D67BB4"/>
    <w:pPr>
      <w:tabs>
        <w:tab w:val="center" w:pos="4680"/>
        <w:tab w:val="right" w:pos="9360"/>
      </w:tabs>
    </w:pPr>
  </w:style>
  <w:style w:type="character" w:customStyle="1" w:styleId="HeaderChar">
    <w:name w:val="Header Char"/>
    <w:basedOn w:val="DefaultParagraphFont"/>
    <w:link w:val="Header"/>
    <w:uiPriority w:val="99"/>
    <w:semiHidden/>
    <w:rsid w:val="00D67BB4"/>
  </w:style>
  <w:style w:type="paragraph" w:styleId="Footer">
    <w:name w:val="footer"/>
    <w:basedOn w:val="Normal"/>
    <w:link w:val="FooterChar"/>
    <w:uiPriority w:val="99"/>
    <w:unhideWhenUsed/>
    <w:rsid w:val="00D67BB4"/>
    <w:pPr>
      <w:tabs>
        <w:tab w:val="center" w:pos="4680"/>
        <w:tab w:val="right" w:pos="9360"/>
      </w:tabs>
    </w:pPr>
  </w:style>
  <w:style w:type="character" w:customStyle="1" w:styleId="FooterChar">
    <w:name w:val="Footer Char"/>
    <w:basedOn w:val="DefaultParagraphFont"/>
    <w:link w:val="Footer"/>
    <w:uiPriority w:val="99"/>
    <w:rsid w:val="00D67BB4"/>
  </w:style>
  <w:style w:type="paragraph" w:styleId="FootnoteText">
    <w:name w:val="footnote text"/>
    <w:basedOn w:val="Normal"/>
    <w:link w:val="FootnoteTextChar"/>
    <w:uiPriority w:val="99"/>
    <w:semiHidden/>
    <w:unhideWhenUsed/>
    <w:rsid w:val="00D67BB4"/>
    <w:rPr>
      <w:sz w:val="20"/>
      <w:szCs w:val="20"/>
    </w:rPr>
  </w:style>
  <w:style w:type="character" w:customStyle="1" w:styleId="FootnoteTextChar">
    <w:name w:val="Footnote Text Char"/>
    <w:basedOn w:val="DefaultParagraphFont"/>
    <w:link w:val="FootnoteText"/>
    <w:uiPriority w:val="99"/>
    <w:semiHidden/>
    <w:rsid w:val="00D67BB4"/>
    <w:rPr>
      <w:sz w:val="20"/>
      <w:szCs w:val="20"/>
    </w:rPr>
  </w:style>
  <w:style w:type="character" w:styleId="FootnoteReference">
    <w:name w:val="footnote reference"/>
    <w:basedOn w:val="DefaultParagraphFont"/>
    <w:uiPriority w:val="99"/>
    <w:semiHidden/>
    <w:unhideWhenUsed/>
    <w:rsid w:val="00D67BB4"/>
    <w:rPr>
      <w:vertAlign w:val="superscript"/>
    </w:rPr>
  </w:style>
  <w:style w:type="paragraph" w:styleId="NormalWeb">
    <w:name w:val="Normal (Web)"/>
    <w:basedOn w:val="Normal"/>
    <w:uiPriority w:val="99"/>
    <w:semiHidden/>
    <w:unhideWhenUsed/>
    <w:rsid w:val="002E311E"/>
    <w:pPr>
      <w:spacing w:before="100" w:beforeAutospacing="1" w:after="100" w:afterAutospacing="1"/>
      <w:jc w:val="left"/>
    </w:pPr>
    <w:rPr>
      <w:sz w:val="24"/>
      <w:szCs w:val="24"/>
      <w:lang w:val="en-US" w:eastAsia="en-US"/>
    </w:rPr>
  </w:style>
  <w:style w:type="character" w:styleId="Strong">
    <w:name w:val="Strong"/>
    <w:basedOn w:val="DefaultParagraphFont"/>
    <w:uiPriority w:val="22"/>
    <w:qFormat/>
    <w:rsid w:val="002E311E"/>
    <w:rPr>
      <w:b/>
      <w:bCs/>
    </w:rPr>
  </w:style>
  <w:style w:type="paragraph" w:styleId="Revision">
    <w:name w:val="Revision"/>
    <w:hidden/>
    <w:uiPriority w:val="99"/>
    <w:semiHidden/>
    <w:rsid w:val="002E311E"/>
    <w:pPr>
      <w:jc w:val="left"/>
    </w:pPr>
  </w:style>
</w:styles>
</file>

<file path=word/webSettings.xml><?xml version="1.0" encoding="utf-8"?>
<w:webSettings xmlns:r="http://schemas.openxmlformats.org/officeDocument/2006/relationships" xmlns:w="http://schemas.openxmlformats.org/wordprocessingml/2006/main">
  <w:divs>
    <w:div w:id="1136408964">
      <w:bodyDiv w:val="1"/>
      <w:marLeft w:val="0"/>
      <w:marRight w:val="0"/>
      <w:marTop w:val="0"/>
      <w:marBottom w:val="0"/>
      <w:divBdr>
        <w:top w:val="none" w:sz="0" w:space="0" w:color="auto"/>
        <w:left w:val="none" w:sz="0" w:space="0" w:color="auto"/>
        <w:bottom w:val="none" w:sz="0" w:space="0" w:color="auto"/>
        <w:right w:val="none" w:sz="0" w:space="0" w:color="auto"/>
      </w:divBdr>
    </w:div>
    <w:div w:id="1188060793">
      <w:bodyDiv w:val="1"/>
      <w:marLeft w:val="0"/>
      <w:marRight w:val="0"/>
      <w:marTop w:val="0"/>
      <w:marBottom w:val="0"/>
      <w:divBdr>
        <w:top w:val="none" w:sz="0" w:space="0" w:color="auto"/>
        <w:left w:val="none" w:sz="0" w:space="0" w:color="auto"/>
        <w:bottom w:val="none" w:sz="0" w:space="0" w:color="auto"/>
        <w:right w:val="none" w:sz="0" w:space="0" w:color="auto"/>
      </w:divBdr>
    </w:div>
    <w:div w:id="1313364674">
      <w:bodyDiv w:val="1"/>
      <w:marLeft w:val="0"/>
      <w:marRight w:val="0"/>
      <w:marTop w:val="0"/>
      <w:marBottom w:val="0"/>
      <w:divBdr>
        <w:top w:val="none" w:sz="0" w:space="0" w:color="auto"/>
        <w:left w:val="none" w:sz="0" w:space="0" w:color="auto"/>
        <w:bottom w:val="none" w:sz="0" w:space="0" w:color="auto"/>
        <w:right w:val="none" w:sz="0" w:space="0" w:color="auto"/>
      </w:divBdr>
    </w:div>
    <w:div w:id="1362559676">
      <w:bodyDiv w:val="1"/>
      <w:marLeft w:val="0"/>
      <w:marRight w:val="0"/>
      <w:marTop w:val="0"/>
      <w:marBottom w:val="0"/>
      <w:divBdr>
        <w:top w:val="none" w:sz="0" w:space="0" w:color="auto"/>
        <w:left w:val="none" w:sz="0" w:space="0" w:color="auto"/>
        <w:bottom w:val="none" w:sz="0" w:space="0" w:color="auto"/>
        <w:right w:val="none" w:sz="0" w:space="0" w:color="auto"/>
      </w:divBdr>
    </w:div>
    <w:div w:id="1383139043">
      <w:bodyDiv w:val="1"/>
      <w:marLeft w:val="0"/>
      <w:marRight w:val="0"/>
      <w:marTop w:val="0"/>
      <w:marBottom w:val="0"/>
      <w:divBdr>
        <w:top w:val="none" w:sz="0" w:space="0" w:color="auto"/>
        <w:left w:val="none" w:sz="0" w:space="0" w:color="auto"/>
        <w:bottom w:val="none" w:sz="0" w:space="0" w:color="auto"/>
        <w:right w:val="none" w:sz="0" w:space="0" w:color="auto"/>
      </w:divBdr>
    </w:div>
    <w:div w:id="1429697588">
      <w:bodyDiv w:val="1"/>
      <w:marLeft w:val="0"/>
      <w:marRight w:val="0"/>
      <w:marTop w:val="0"/>
      <w:marBottom w:val="0"/>
      <w:divBdr>
        <w:top w:val="none" w:sz="0" w:space="0" w:color="auto"/>
        <w:left w:val="none" w:sz="0" w:space="0" w:color="auto"/>
        <w:bottom w:val="none" w:sz="0" w:space="0" w:color="auto"/>
        <w:right w:val="none" w:sz="0" w:space="0" w:color="auto"/>
      </w:divBdr>
    </w:div>
    <w:div w:id="1444374666">
      <w:bodyDiv w:val="1"/>
      <w:marLeft w:val="0"/>
      <w:marRight w:val="0"/>
      <w:marTop w:val="0"/>
      <w:marBottom w:val="0"/>
      <w:divBdr>
        <w:top w:val="none" w:sz="0" w:space="0" w:color="auto"/>
        <w:left w:val="none" w:sz="0" w:space="0" w:color="auto"/>
        <w:bottom w:val="none" w:sz="0" w:space="0" w:color="auto"/>
        <w:right w:val="none" w:sz="0" w:space="0" w:color="auto"/>
      </w:divBdr>
      <w:divsChild>
        <w:div w:id="1620137448">
          <w:marLeft w:val="480"/>
          <w:marRight w:val="0"/>
          <w:marTop w:val="0"/>
          <w:marBottom w:val="0"/>
          <w:divBdr>
            <w:top w:val="none" w:sz="0" w:space="0" w:color="auto"/>
            <w:left w:val="none" w:sz="0" w:space="0" w:color="auto"/>
            <w:bottom w:val="none" w:sz="0" w:space="0" w:color="auto"/>
            <w:right w:val="none" w:sz="0" w:space="0" w:color="auto"/>
          </w:divBdr>
          <w:divsChild>
            <w:div w:id="434904071">
              <w:marLeft w:val="0"/>
              <w:marRight w:val="0"/>
              <w:marTop w:val="0"/>
              <w:marBottom w:val="0"/>
              <w:divBdr>
                <w:top w:val="none" w:sz="0" w:space="0" w:color="auto"/>
                <w:left w:val="none" w:sz="0" w:space="0" w:color="auto"/>
                <w:bottom w:val="none" w:sz="0" w:space="0" w:color="auto"/>
                <w:right w:val="none" w:sz="0" w:space="0" w:color="auto"/>
              </w:divBdr>
            </w:div>
            <w:div w:id="1039167318">
              <w:marLeft w:val="0"/>
              <w:marRight w:val="0"/>
              <w:marTop w:val="0"/>
              <w:marBottom w:val="0"/>
              <w:divBdr>
                <w:top w:val="none" w:sz="0" w:space="0" w:color="auto"/>
                <w:left w:val="none" w:sz="0" w:space="0" w:color="auto"/>
                <w:bottom w:val="none" w:sz="0" w:space="0" w:color="auto"/>
                <w:right w:val="none" w:sz="0" w:space="0" w:color="auto"/>
              </w:divBdr>
            </w:div>
            <w:div w:id="1725448892">
              <w:marLeft w:val="0"/>
              <w:marRight w:val="0"/>
              <w:marTop w:val="0"/>
              <w:marBottom w:val="0"/>
              <w:divBdr>
                <w:top w:val="none" w:sz="0" w:space="0" w:color="auto"/>
                <w:left w:val="none" w:sz="0" w:space="0" w:color="auto"/>
                <w:bottom w:val="none" w:sz="0" w:space="0" w:color="auto"/>
                <w:right w:val="none" w:sz="0" w:space="0" w:color="auto"/>
              </w:divBdr>
            </w:div>
            <w:div w:id="940719919">
              <w:marLeft w:val="0"/>
              <w:marRight w:val="0"/>
              <w:marTop w:val="0"/>
              <w:marBottom w:val="0"/>
              <w:divBdr>
                <w:top w:val="none" w:sz="0" w:space="0" w:color="auto"/>
                <w:left w:val="none" w:sz="0" w:space="0" w:color="auto"/>
                <w:bottom w:val="none" w:sz="0" w:space="0" w:color="auto"/>
                <w:right w:val="none" w:sz="0" w:space="0" w:color="auto"/>
              </w:divBdr>
            </w:div>
            <w:div w:id="362369811">
              <w:marLeft w:val="0"/>
              <w:marRight w:val="0"/>
              <w:marTop w:val="0"/>
              <w:marBottom w:val="0"/>
              <w:divBdr>
                <w:top w:val="none" w:sz="0" w:space="0" w:color="auto"/>
                <w:left w:val="none" w:sz="0" w:space="0" w:color="auto"/>
                <w:bottom w:val="none" w:sz="0" w:space="0" w:color="auto"/>
                <w:right w:val="none" w:sz="0" w:space="0" w:color="auto"/>
              </w:divBdr>
            </w:div>
            <w:div w:id="465245721">
              <w:marLeft w:val="0"/>
              <w:marRight w:val="0"/>
              <w:marTop w:val="0"/>
              <w:marBottom w:val="0"/>
              <w:divBdr>
                <w:top w:val="none" w:sz="0" w:space="0" w:color="auto"/>
                <w:left w:val="none" w:sz="0" w:space="0" w:color="auto"/>
                <w:bottom w:val="none" w:sz="0" w:space="0" w:color="auto"/>
                <w:right w:val="none" w:sz="0" w:space="0" w:color="auto"/>
              </w:divBdr>
            </w:div>
            <w:div w:id="1189027425">
              <w:marLeft w:val="0"/>
              <w:marRight w:val="0"/>
              <w:marTop w:val="0"/>
              <w:marBottom w:val="0"/>
              <w:divBdr>
                <w:top w:val="none" w:sz="0" w:space="0" w:color="auto"/>
                <w:left w:val="none" w:sz="0" w:space="0" w:color="auto"/>
                <w:bottom w:val="none" w:sz="0" w:space="0" w:color="auto"/>
                <w:right w:val="none" w:sz="0" w:space="0" w:color="auto"/>
              </w:divBdr>
            </w:div>
            <w:div w:id="16467118">
              <w:marLeft w:val="0"/>
              <w:marRight w:val="0"/>
              <w:marTop w:val="0"/>
              <w:marBottom w:val="0"/>
              <w:divBdr>
                <w:top w:val="none" w:sz="0" w:space="0" w:color="auto"/>
                <w:left w:val="none" w:sz="0" w:space="0" w:color="auto"/>
                <w:bottom w:val="none" w:sz="0" w:space="0" w:color="auto"/>
                <w:right w:val="none" w:sz="0" w:space="0" w:color="auto"/>
              </w:divBdr>
            </w:div>
            <w:div w:id="1471434438">
              <w:marLeft w:val="0"/>
              <w:marRight w:val="0"/>
              <w:marTop w:val="0"/>
              <w:marBottom w:val="0"/>
              <w:divBdr>
                <w:top w:val="none" w:sz="0" w:space="0" w:color="auto"/>
                <w:left w:val="none" w:sz="0" w:space="0" w:color="auto"/>
                <w:bottom w:val="none" w:sz="0" w:space="0" w:color="auto"/>
                <w:right w:val="none" w:sz="0" w:space="0" w:color="auto"/>
              </w:divBdr>
            </w:div>
            <w:div w:id="47869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7827">
      <w:bodyDiv w:val="1"/>
      <w:marLeft w:val="0"/>
      <w:marRight w:val="0"/>
      <w:marTop w:val="0"/>
      <w:marBottom w:val="0"/>
      <w:divBdr>
        <w:top w:val="none" w:sz="0" w:space="0" w:color="auto"/>
        <w:left w:val="none" w:sz="0" w:space="0" w:color="auto"/>
        <w:bottom w:val="none" w:sz="0" w:space="0" w:color="auto"/>
        <w:right w:val="none" w:sz="0" w:space="0" w:color="auto"/>
      </w:divBdr>
    </w:div>
    <w:div w:id="1948388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poikia.or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F730D-46D2-4E73-9F72-82FABA0BD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3561</TotalTime>
  <Pages>1</Pages>
  <Words>12080</Words>
  <Characters>68861</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Kiriakos Xanthopoulos</dc:creator>
  <cp:lastModifiedBy>Kiriakos Xanthopoulos</cp:lastModifiedBy>
  <cp:revision>11</cp:revision>
  <dcterms:created xsi:type="dcterms:W3CDTF">2024-04-30T11:25:00Z</dcterms:created>
  <dcterms:modified xsi:type="dcterms:W3CDTF">2024-05-08T21:31:00Z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id="SWKdrv4r"/&gt;&lt;style id="http://www.zotero.org/styles/peer-community-journal" hasBibliography="1" bibliographyStyleHasBeenSet="1"/&gt;&lt;prefs&gt;&lt;pref name="fieldType" value="Field"/&gt;&lt;/prefs&gt;&lt;/data&gt;</vt:lpwstr>
  </property>
</Properties>
</file>