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583210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583210" w:rsidRPr="00583210">
        <w:rPr>
          <w:sz w:val="28"/>
          <w:szCs w:val="28"/>
        </w:rPr>
        <w:t>Ильин Кирилл Игоревич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16278D"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0713FE" w:rsidRPr="0016278D" w:rsidRDefault="000713FE">
      <w:pPr>
        <w:ind w:firstLine="709"/>
        <w:jc w:val="both"/>
        <w:rPr>
          <w:b/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Цель:</w:t>
      </w:r>
      <w:r w:rsidRPr="0016278D"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Задание: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1. Выделить действующих лиц и прецеденты.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прецеденты и действующие лица.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3. Вставить отношения между вариантами использования и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действующими лицами.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6278D" w:rsidRDefault="0058321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="0016278D" w:rsidRPr="0016278D">
        <w:rPr>
          <w:b/>
          <w:sz w:val="28"/>
          <w:szCs w:val="28"/>
        </w:rPr>
        <w:t>:</w:t>
      </w:r>
    </w:p>
    <w:p w:rsidR="00583210" w:rsidRPr="0016278D" w:rsidRDefault="00583210">
      <w:pPr>
        <w:ind w:firstLine="709"/>
        <w:jc w:val="both"/>
        <w:rPr>
          <w:b/>
          <w:sz w:val="28"/>
          <w:szCs w:val="28"/>
        </w:rPr>
      </w:pPr>
      <w:bookmarkStart w:id="1" w:name="_GoBack"/>
      <w:bookmarkEnd w:id="1"/>
    </w:p>
    <w:p w:rsidR="0016278D" w:rsidRPr="0016278D" w:rsidRDefault="00583210">
      <w:pPr>
        <w:ind w:firstLine="709"/>
        <w:jc w:val="both"/>
        <w:rPr>
          <w:b/>
          <w:sz w:val="28"/>
          <w:szCs w:val="28"/>
        </w:rPr>
      </w:pPr>
      <w:r w:rsidRPr="00583210">
        <w:rPr>
          <w:b/>
          <w:sz w:val="28"/>
          <w:szCs w:val="28"/>
        </w:rPr>
        <w:drawing>
          <wp:inline distT="0" distB="0" distL="0" distR="0" wp14:anchorId="6999972C" wp14:editId="2A601A53">
            <wp:extent cx="6299835" cy="40690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B9" w:rsidRDefault="00DE13B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6278D" w:rsidRPr="0016278D" w:rsidRDefault="0058321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</w:t>
      </w:r>
      <w:r w:rsidR="0016278D" w:rsidRPr="0016278D">
        <w:rPr>
          <w:b/>
          <w:sz w:val="28"/>
          <w:szCs w:val="28"/>
        </w:rPr>
        <w:t>: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Пользователь – устанавливает приложение и оплачивает нужные услуги</w:t>
      </w:r>
    </w:p>
    <w:p w:rsidR="0016278D" w:rsidRPr="0016278D" w:rsidRDefault="0016278D" w:rsidP="0016278D">
      <w:pPr>
        <w:ind w:firstLine="720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16278D" w:rsidRPr="0016278D" w:rsidRDefault="0016278D" w:rsidP="0016278D">
      <w:p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предоставлять им возможность выполнять необходимые функции.</w:t>
      </w:r>
    </w:p>
    <w:p w:rsidR="0016278D" w:rsidRPr="0016278D" w:rsidRDefault="00583210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</w:t>
      </w:r>
      <w:r w:rsidR="0016278D" w:rsidRPr="0016278D">
        <w:rPr>
          <w:sz w:val="28"/>
          <w:szCs w:val="28"/>
        </w:rPr>
        <w:t xml:space="preserve"> – чтобы пользователь появился в системе</w:t>
      </w:r>
    </w:p>
    <w:p w:rsidR="0016278D" w:rsidRPr="0016278D" w:rsidRDefault="00583210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Вводит</w:t>
      </w:r>
      <w:r w:rsidR="00C442C7">
        <w:rPr>
          <w:sz w:val="28"/>
          <w:szCs w:val="28"/>
        </w:rPr>
        <w:t xml:space="preserve"> данные</w:t>
      </w:r>
      <w:r w:rsidR="0016278D" w:rsidRPr="0016278D">
        <w:rPr>
          <w:sz w:val="28"/>
          <w:szCs w:val="28"/>
        </w:rPr>
        <w:t xml:space="preserve"> для регистрации необходимо ввести </w:t>
      </w:r>
      <w:r w:rsidR="00C442C7">
        <w:rPr>
          <w:sz w:val="28"/>
          <w:szCs w:val="28"/>
        </w:rPr>
        <w:t>ФИО, лицевой счет и</w:t>
      </w:r>
      <w:r w:rsidR="0016278D" w:rsidRPr="0016278D">
        <w:rPr>
          <w:sz w:val="28"/>
          <w:szCs w:val="28"/>
        </w:rPr>
        <w:t xml:space="preserve"> пароль.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 xml:space="preserve">Указывает данные банковской карты – не обязательный элемент 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Авторизоваться – вход в систему для дальнейших действий в программе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 xml:space="preserve">Оплата услуги – оплатить </w:t>
      </w:r>
      <w:r w:rsidR="00583210">
        <w:rPr>
          <w:sz w:val="28"/>
          <w:szCs w:val="28"/>
        </w:rPr>
        <w:t>необходимую</w:t>
      </w:r>
      <w:r w:rsidRPr="0016278D">
        <w:rPr>
          <w:sz w:val="28"/>
          <w:szCs w:val="28"/>
        </w:rPr>
        <w:t xml:space="preserve"> услугу</w:t>
      </w:r>
    </w:p>
    <w:p w:rsidR="0016278D" w:rsidRPr="00C442C7" w:rsidRDefault="00C442C7" w:rsidP="00C442C7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C442C7">
        <w:rPr>
          <w:sz w:val="28"/>
          <w:szCs w:val="28"/>
        </w:rPr>
        <w:t>Ввести показания прибора учета</w:t>
      </w:r>
      <w:r w:rsidR="0016278D" w:rsidRPr="00C442C7">
        <w:rPr>
          <w:sz w:val="28"/>
          <w:szCs w:val="28"/>
        </w:rPr>
        <w:t>– необходим</w:t>
      </w:r>
      <w:r w:rsidR="00583210">
        <w:rPr>
          <w:sz w:val="28"/>
          <w:szCs w:val="28"/>
        </w:rPr>
        <w:t>о</w:t>
      </w:r>
      <w:r w:rsidR="0016278D" w:rsidRPr="00C442C7">
        <w:rPr>
          <w:sz w:val="28"/>
          <w:szCs w:val="28"/>
        </w:rPr>
        <w:t xml:space="preserve"> для оплаты услуги</w:t>
      </w:r>
    </w:p>
    <w:p w:rsid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Запросить отчет – пользователь может узнать оплату своего лицевого счета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Скачать квитанцию – после оплаты приложение генерирует квитанцию, котор</w:t>
      </w:r>
      <w:r w:rsidR="00C442C7">
        <w:rPr>
          <w:sz w:val="28"/>
          <w:szCs w:val="28"/>
        </w:rPr>
        <w:t>ую клиент может скачать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 w:rsidR="00583210">
        <w:rPr>
          <w:sz w:val="28"/>
          <w:szCs w:val="28"/>
        </w:rPr>
        <w:t>Зарегистрироваться” и “Ввести</w:t>
      </w:r>
      <w:r w:rsidRPr="0016278D">
        <w:rPr>
          <w:sz w:val="28"/>
          <w:szCs w:val="28"/>
        </w:rPr>
        <w:t xml:space="preserve"> </w:t>
      </w:r>
      <w:r w:rsidR="00583210">
        <w:rPr>
          <w:sz w:val="28"/>
          <w:szCs w:val="28"/>
        </w:rPr>
        <w:t>данные</w:t>
      </w:r>
      <w:r w:rsidRPr="0016278D">
        <w:rPr>
          <w:sz w:val="28"/>
          <w:szCs w:val="28"/>
        </w:rPr>
        <w:t>” будет отношением включение (фигура “Включить”), так как для регистрации необходим</w:t>
      </w:r>
      <w:r w:rsidR="00C442C7">
        <w:rPr>
          <w:sz w:val="28"/>
          <w:szCs w:val="28"/>
        </w:rPr>
        <w:t xml:space="preserve">а ввести </w:t>
      </w:r>
      <w:r w:rsidR="00583210">
        <w:rPr>
          <w:sz w:val="28"/>
          <w:szCs w:val="28"/>
        </w:rPr>
        <w:t xml:space="preserve">анкетные </w:t>
      </w:r>
      <w:r w:rsidR="00C442C7">
        <w:rPr>
          <w:sz w:val="28"/>
          <w:szCs w:val="28"/>
        </w:rPr>
        <w:t>данные</w:t>
      </w:r>
      <w:r w:rsidR="00583210">
        <w:rPr>
          <w:sz w:val="28"/>
          <w:szCs w:val="28"/>
        </w:rPr>
        <w:t>.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 w:rsidR="00583210">
        <w:rPr>
          <w:sz w:val="28"/>
          <w:szCs w:val="28"/>
        </w:rPr>
        <w:t>Зарегистрироваться</w:t>
      </w:r>
      <w:r w:rsidR="00583210">
        <w:rPr>
          <w:sz w:val="28"/>
          <w:szCs w:val="28"/>
        </w:rPr>
        <w:t>” и “Ввести</w:t>
      </w:r>
      <w:r w:rsidRPr="0016278D">
        <w:rPr>
          <w:sz w:val="28"/>
          <w:szCs w:val="28"/>
        </w:rPr>
        <w:t xml:space="preserve"> банк</w:t>
      </w:r>
      <w:r w:rsidR="00583210">
        <w:rPr>
          <w:sz w:val="28"/>
          <w:szCs w:val="28"/>
        </w:rPr>
        <w:t>овскую карту</w:t>
      </w:r>
      <w:r w:rsidRPr="0016278D">
        <w:rPr>
          <w:sz w:val="28"/>
          <w:szCs w:val="28"/>
        </w:rPr>
        <w:t xml:space="preserve">” будет отношением расширением (фигура “Расширить”), так как ввод </w:t>
      </w:r>
      <w:r w:rsidR="00C442C7">
        <w:rPr>
          <w:sz w:val="28"/>
          <w:szCs w:val="28"/>
        </w:rPr>
        <w:t>банковской</w:t>
      </w:r>
      <w:r w:rsidRPr="0016278D">
        <w:rPr>
          <w:sz w:val="28"/>
          <w:szCs w:val="28"/>
        </w:rPr>
        <w:t xml:space="preserve"> карты не обязателе</w:t>
      </w:r>
      <w:r w:rsidR="00C442C7">
        <w:rPr>
          <w:sz w:val="28"/>
          <w:szCs w:val="28"/>
        </w:rPr>
        <w:t xml:space="preserve">н при </w:t>
      </w:r>
      <w:r w:rsidR="00583210">
        <w:rPr>
          <w:sz w:val="28"/>
          <w:szCs w:val="28"/>
        </w:rPr>
        <w:t>регистрации.</w:t>
      </w:r>
    </w:p>
    <w:p w:rsidR="0016278D" w:rsidRPr="0016278D" w:rsidRDefault="00C442C7" w:rsidP="001627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прецедентами “</w:t>
      </w:r>
      <w:r w:rsidR="00583210">
        <w:rPr>
          <w:sz w:val="28"/>
          <w:szCs w:val="28"/>
        </w:rPr>
        <w:t>Авторизоваться” и “ Оплатить</w:t>
      </w:r>
      <w:r w:rsidR="0016278D" w:rsidRPr="0016278D">
        <w:rPr>
          <w:sz w:val="28"/>
          <w:szCs w:val="28"/>
        </w:rPr>
        <w:t xml:space="preserve"> услуг</w:t>
      </w:r>
      <w:r>
        <w:rPr>
          <w:sz w:val="28"/>
          <w:szCs w:val="28"/>
        </w:rPr>
        <w:t>и</w:t>
      </w:r>
      <w:r w:rsidR="0016278D" w:rsidRPr="0016278D">
        <w:rPr>
          <w:sz w:val="28"/>
          <w:szCs w:val="28"/>
        </w:rPr>
        <w:t xml:space="preserve">” будет отношением включения (фигура “включить”), так как для оплаты услуг пользователю необходимо </w:t>
      </w:r>
      <w:r>
        <w:rPr>
          <w:sz w:val="28"/>
          <w:szCs w:val="28"/>
        </w:rPr>
        <w:t>авторизоваться</w:t>
      </w:r>
    </w:p>
    <w:p w:rsidR="0016278D" w:rsidRPr="0016278D" w:rsidRDefault="00C442C7" w:rsidP="001627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прецедентами “</w:t>
      </w:r>
      <w:r w:rsidR="00583210">
        <w:rPr>
          <w:sz w:val="28"/>
          <w:szCs w:val="28"/>
        </w:rPr>
        <w:t>Оплатить</w:t>
      </w:r>
      <w:r w:rsidR="0016278D" w:rsidRPr="0016278D">
        <w:rPr>
          <w:sz w:val="28"/>
          <w:szCs w:val="28"/>
        </w:rPr>
        <w:t xml:space="preserve"> услуг</w:t>
      </w:r>
      <w:r w:rsidR="00583210">
        <w:rPr>
          <w:sz w:val="28"/>
          <w:szCs w:val="28"/>
        </w:rPr>
        <w:t>и</w:t>
      </w:r>
      <w:r w:rsidR="0016278D" w:rsidRPr="0016278D">
        <w:rPr>
          <w:sz w:val="28"/>
          <w:szCs w:val="28"/>
        </w:rPr>
        <w:t>” и “ Ввести показания прибора учета” будет отношением включения (фигура “включить”), так как для оплаты услуг</w:t>
      </w:r>
      <w:r>
        <w:rPr>
          <w:sz w:val="28"/>
          <w:szCs w:val="28"/>
        </w:rPr>
        <w:t>и</w:t>
      </w:r>
      <w:r w:rsidR="0016278D" w:rsidRPr="0016278D">
        <w:rPr>
          <w:sz w:val="28"/>
          <w:szCs w:val="28"/>
        </w:rPr>
        <w:t xml:space="preserve"> пользователю необходимо указать </w:t>
      </w:r>
      <w:r>
        <w:rPr>
          <w:sz w:val="28"/>
          <w:szCs w:val="28"/>
        </w:rPr>
        <w:t>показания</w:t>
      </w:r>
      <w:r w:rsidR="00583210">
        <w:rPr>
          <w:sz w:val="28"/>
          <w:szCs w:val="28"/>
        </w:rPr>
        <w:t xml:space="preserve"> индивидуального</w:t>
      </w:r>
      <w:r w:rsidR="0016278D" w:rsidRPr="0016278D">
        <w:rPr>
          <w:sz w:val="28"/>
          <w:szCs w:val="28"/>
        </w:rPr>
        <w:t xml:space="preserve"> прибор</w:t>
      </w:r>
      <w:r>
        <w:rPr>
          <w:sz w:val="28"/>
          <w:szCs w:val="28"/>
        </w:rPr>
        <w:t>а</w:t>
      </w:r>
      <w:r w:rsidR="0016278D" w:rsidRPr="0016278D">
        <w:rPr>
          <w:sz w:val="28"/>
          <w:szCs w:val="28"/>
        </w:rPr>
        <w:t xml:space="preserve"> учета</w:t>
      </w:r>
      <w:r w:rsidR="00583210">
        <w:rPr>
          <w:sz w:val="28"/>
          <w:szCs w:val="28"/>
        </w:rPr>
        <w:t>.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“Ввести показания прибора учета” и “Запросить отчет” будет отношением расширением (фигура “Рас</w:t>
      </w:r>
      <w:r w:rsidR="00583210">
        <w:rPr>
          <w:sz w:val="28"/>
          <w:szCs w:val="28"/>
        </w:rPr>
        <w:t>ширить”), так как пользователю необязательно запрашивать</w:t>
      </w:r>
      <w:r w:rsidRPr="0016278D">
        <w:rPr>
          <w:sz w:val="28"/>
          <w:szCs w:val="28"/>
        </w:rPr>
        <w:t xml:space="preserve"> отчет</w:t>
      </w:r>
      <w:r w:rsidR="00583210">
        <w:rPr>
          <w:sz w:val="28"/>
          <w:szCs w:val="28"/>
        </w:rPr>
        <w:t>.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</w:t>
      </w:r>
      <w:r w:rsidR="00583210">
        <w:rPr>
          <w:sz w:val="28"/>
          <w:szCs w:val="28"/>
        </w:rPr>
        <w:t>ения между прецедентами “ Оплатить</w:t>
      </w:r>
      <w:r w:rsidRPr="0016278D">
        <w:rPr>
          <w:sz w:val="28"/>
          <w:szCs w:val="28"/>
        </w:rPr>
        <w:t xml:space="preserve"> услуг</w:t>
      </w:r>
      <w:r w:rsidR="00583210">
        <w:rPr>
          <w:sz w:val="28"/>
          <w:szCs w:val="28"/>
        </w:rPr>
        <w:t>и” и “ Ввести банковскую карту</w:t>
      </w:r>
      <w:r w:rsidRPr="0016278D">
        <w:rPr>
          <w:sz w:val="28"/>
          <w:szCs w:val="28"/>
        </w:rPr>
        <w:t>” будет отношением включения (фигура “включить”), так как для оплаты услуг</w:t>
      </w:r>
      <w:r w:rsidR="00583210">
        <w:rPr>
          <w:sz w:val="28"/>
          <w:szCs w:val="28"/>
        </w:rPr>
        <w:t>и</w:t>
      </w:r>
      <w:r w:rsidRPr="0016278D">
        <w:rPr>
          <w:sz w:val="28"/>
          <w:szCs w:val="28"/>
        </w:rPr>
        <w:t xml:space="preserve"> пользователю необходимо ввести данные банковской карты</w:t>
      </w:r>
      <w:r w:rsidR="00583210">
        <w:rPr>
          <w:sz w:val="28"/>
          <w:szCs w:val="28"/>
        </w:rPr>
        <w:t>.</w:t>
      </w:r>
    </w:p>
    <w:p w:rsidR="0016278D" w:rsidRDefault="0016278D" w:rsidP="0016278D">
      <w:pPr>
        <w:ind w:firstLine="709"/>
        <w:jc w:val="both"/>
        <w:rPr>
          <w:noProof/>
          <w:sz w:val="28"/>
          <w:szCs w:val="28"/>
        </w:rPr>
      </w:pPr>
      <w:r w:rsidRPr="0016278D">
        <w:rPr>
          <w:sz w:val="28"/>
          <w:szCs w:val="28"/>
        </w:rPr>
        <w:t>Отнош</w:t>
      </w:r>
      <w:r w:rsidR="00583210">
        <w:rPr>
          <w:sz w:val="28"/>
          <w:szCs w:val="28"/>
        </w:rPr>
        <w:t>ение между прецедентами “ Оплатить</w:t>
      </w:r>
      <w:r w:rsidRPr="0016278D">
        <w:rPr>
          <w:sz w:val="28"/>
          <w:szCs w:val="28"/>
        </w:rPr>
        <w:t xml:space="preserve"> услуг</w:t>
      </w:r>
      <w:r w:rsidR="00583210">
        <w:rPr>
          <w:sz w:val="28"/>
          <w:szCs w:val="28"/>
        </w:rPr>
        <w:t>и</w:t>
      </w:r>
      <w:r w:rsidRPr="0016278D">
        <w:rPr>
          <w:sz w:val="28"/>
          <w:szCs w:val="28"/>
        </w:rPr>
        <w:t>” и “Скачать квитанцию” будет отношением расширением (фигура “Расширить”), так как пользовател</w:t>
      </w:r>
      <w:r w:rsidR="00583210">
        <w:rPr>
          <w:sz w:val="28"/>
          <w:szCs w:val="28"/>
        </w:rPr>
        <w:t>ю необязательно скачивать</w:t>
      </w:r>
      <w:r w:rsidRPr="0016278D">
        <w:rPr>
          <w:sz w:val="28"/>
          <w:szCs w:val="28"/>
        </w:rPr>
        <w:t xml:space="preserve"> квитанцию</w:t>
      </w:r>
      <w:r w:rsidR="00583210">
        <w:rPr>
          <w:noProof/>
        </w:rPr>
        <w:t>.</w:t>
      </w:r>
    </w:p>
    <w:p w:rsidR="00583210" w:rsidRDefault="00583210" w:rsidP="0016278D">
      <w:pPr>
        <w:ind w:firstLine="709"/>
        <w:jc w:val="both"/>
        <w:rPr>
          <w:sz w:val="28"/>
          <w:szCs w:val="28"/>
        </w:rPr>
      </w:pPr>
      <w:r w:rsidRPr="00583210">
        <w:rPr>
          <w:sz w:val="28"/>
          <w:szCs w:val="28"/>
        </w:rPr>
        <w:lastRenderedPageBreak/>
        <w:drawing>
          <wp:inline distT="0" distB="0" distL="0" distR="0" wp14:anchorId="2ABD0336" wp14:editId="5ABFFB3B">
            <wp:extent cx="5910016" cy="3590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019" cy="35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DB" w:rsidRDefault="00583210" w:rsidP="0058321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C442C7" w:rsidRDefault="00583210" w:rsidP="00C442C7">
      <w:pPr>
        <w:ind w:firstLine="709"/>
        <w:jc w:val="both"/>
        <w:rPr>
          <w:b/>
          <w:sz w:val="28"/>
          <w:szCs w:val="28"/>
        </w:rPr>
      </w:pPr>
      <w:r w:rsidRPr="00583210">
        <w:rPr>
          <w:b/>
          <w:sz w:val="28"/>
          <w:szCs w:val="28"/>
        </w:rPr>
        <w:drawing>
          <wp:inline distT="0" distB="0" distL="0" distR="0" wp14:anchorId="2024DBF6" wp14:editId="06316A3C">
            <wp:extent cx="5911469" cy="523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496" cy="52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210">
        <w:rPr>
          <w:b/>
          <w:sz w:val="28"/>
          <w:szCs w:val="28"/>
        </w:rPr>
        <w:t xml:space="preserve"> </w:t>
      </w:r>
      <w:r w:rsidR="00C442C7">
        <w:rPr>
          <w:b/>
          <w:sz w:val="28"/>
          <w:szCs w:val="28"/>
        </w:rPr>
        <w:br w:type="page"/>
      </w:r>
    </w:p>
    <w:p w:rsidR="0016278D" w:rsidRDefault="00583210" w:rsidP="00C442C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</w:p>
    <w:p w:rsidR="00583210" w:rsidRDefault="00583210" w:rsidP="00C442C7">
      <w:pPr>
        <w:ind w:firstLine="709"/>
        <w:jc w:val="both"/>
        <w:rPr>
          <w:b/>
          <w:sz w:val="28"/>
          <w:szCs w:val="28"/>
        </w:rPr>
      </w:pPr>
    </w:p>
    <w:p w:rsidR="001841BE" w:rsidRDefault="00583210">
      <w:pPr>
        <w:ind w:firstLine="709"/>
        <w:jc w:val="both"/>
        <w:rPr>
          <w:b/>
          <w:sz w:val="28"/>
          <w:szCs w:val="28"/>
        </w:rPr>
      </w:pPr>
      <w:r w:rsidRPr="00583210">
        <w:rPr>
          <w:b/>
          <w:sz w:val="28"/>
          <w:szCs w:val="28"/>
        </w:rPr>
        <w:drawing>
          <wp:inline distT="0" distB="0" distL="0" distR="0" wp14:anchorId="2050C848" wp14:editId="75D7CEE5">
            <wp:extent cx="5096586" cy="556337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C7" w:rsidRDefault="00C442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0018" w:rsidRDefault="0058321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</w:p>
    <w:p w:rsidR="00583210" w:rsidRDefault="00583210">
      <w:pPr>
        <w:ind w:firstLine="709"/>
        <w:jc w:val="both"/>
        <w:rPr>
          <w:b/>
          <w:sz w:val="28"/>
          <w:szCs w:val="28"/>
        </w:rPr>
      </w:pPr>
    </w:p>
    <w:p w:rsidR="00D10018" w:rsidRPr="0016278D" w:rsidRDefault="00583210">
      <w:pPr>
        <w:ind w:firstLine="709"/>
        <w:jc w:val="both"/>
        <w:rPr>
          <w:b/>
          <w:sz w:val="28"/>
          <w:szCs w:val="28"/>
        </w:rPr>
      </w:pPr>
      <w:r w:rsidRPr="00583210">
        <w:rPr>
          <w:b/>
          <w:sz w:val="28"/>
          <w:szCs w:val="28"/>
        </w:rPr>
        <w:drawing>
          <wp:inline distT="0" distB="0" distL="0" distR="0" wp14:anchorId="15767357" wp14:editId="7F2A39AA">
            <wp:extent cx="6299835" cy="427672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18" w:rsidRPr="0016278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A1" w:rsidRDefault="00F33BA1">
      <w:r>
        <w:separator/>
      </w:r>
    </w:p>
  </w:endnote>
  <w:endnote w:type="continuationSeparator" w:id="0">
    <w:p w:rsidR="00F33BA1" w:rsidRDefault="00F3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83210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A1" w:rsidRDefault="00F33BA1">
      <w:r>
        <w:separator/>
      </w:r>
    </w:p>
  </w:footnote>
  <w:footnote w:type="continuationSeparator" w:id="0">
    <w:p w:rsidR="00F33BA1" w:rsidRDefault="00F33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583210"/>
    <w:rsid w:val="005E63CB"/>
    <w:rsid w:val="00615581"/>
    <w:rsid w:val="0072057A"/>
    <w:rsid w:val="00C442C7"/>
    <w:rsid w:val="00D10018"/>
    <w:rsid w:val="00D912DB"/>
    <w:rsid w:val="00DE13B9"/>
    <w:rsid w:val="00F3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223D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9</cp:revision>
  <dcterms:created xsi:type="dcterms:W3CDTF">2023-10-12T06:53:00Z</dcterms:created>
  <dcterms:modified xsi:type="dcterms:W3CDTF">2024-02-08T13:39:00Z</dcterms:modified>
</cp:coreProperties>
</file>